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360" w:lineRule="auto"/>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附件</w:t>
      </w:r>
      <w:r>
        <w:rPr>
          <w:rFonts w:hint="eastAsia" w:ascii="Times New Roman" w:hAnsi="Times New Roman" w:eastAsia="黑体" w:cs="Times New Roman"/>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黑体" w:cs="Times New Roman"/>
          <w:bCs/>
          <w:color w:val="000000" w:themeColor="text1"/>
          <w:sz w:val="32"/>
          <w:szCs w:val="32"/>
          <w:highlight w:val="none"/>
          <w14:textFill>
            <w14:solidFill>
              <w14:schemeClr w14:val="tx1"/>
            </w14:solidFill>
          </w14:textFill>
        </w:rPr>
        <w:t>2</w:t>
      </w:r>
    </w:p>
    <w:p>
      <w:pPr>
        <w:keepNext w:val="0"/>
        <w:keepLines w:val="0"/>
        <w:pageBreakBefore w:val="0"/>
        <w:kinsoku/>
        <w:wordWrap/>
        <w:overflowPunct/>
        <w:topLinePunct w:val="0"/>
        <w:autoSpaceDE/>
        <w:autoSpaceDN/>
        <w:bidi w:val="0"/>
        <w:snapToGrid w:val="0"/>
        <w:spacing w:line="360" w:lineRule="auto"/>
        <w:jc w:val="center"/>
        <w:textAlignment w:val="auto"/>
        <w:rPr>
          <w:rFonts w:hint="default" w:ascii="Times New Roman" w:hAnsi="Times New Roman" w:eastAsia="仿宋_GB2312" w:cs="Times New Roman"/>
          <w:b/>
          <w:color w:val="000000" w:themeColor="text1"/>
          <w:sz w:val="44"/>
          <w:szCs w:val="44"/>
          <w:highlight w:val="none"/>
          <w14:textFill>
            <w14:solidFill>
              <w14:schemeClr w14:val="tx1"/>
            </w14:solidFill>
          </w14:textFill>
        </w:rPr>
      </w:pPr>
      <w:r>
        <w:rPr>
          <w:rFonts w:hint="default" w:ascii="Times New Roman" w:hAnsi="Times New Roman" w:eastAsia="仿宋_GB2312" w:cs="Times New Roman"/>
          <w:b/>
          <w:color w:val="000000" w:themeColor="text1"/>
          <w:sz w:val="44"/>
          <w:szCs w:val="44"/>
          <w:highlight w:val="none"/>
          <w:lang w:eastAsia="zh-CN"/>
          <w14:textFill>
            <w14:solidFill>
              <w14:schemeClr w14:val="tx1"/>
            </w14:solidFill>
          </w14:textFill>
        </w:rPr>
        <w:t>《</w:t>
      </w:r>
      <w:r>
        <w:rPr>
          <w:rFonts w:hint="default" w:ascii="Times New Roman" w:hAnsi="Times New Roman" w:eastAsia="仿宋_GB2312" w:cs="Times New Roman"/>
          <w:b/>
          <w:color w:val="000000" w:themeColor="text1"/>
          <w:sz w:val="44"/>
          <w:szCs w:val="44"/>
          <w:highlight w:val="none"/>
          <w14:textFill>
            <w14:solidFill>
              <w14:schemeClr w14:val="tx1"/>
            </w14:solidFill>
          </w14:textFill>
        </w:rPr>
        <w:t>急性吸入毒性试验-急性毒性分类法</w:t>
      </w:r>
      <w:r>
        <w:rPr>
          <w:rFonts w:hint="default" w:ascii="Times New Roman" w:hAnsi="Times New Roman" w:eastAsia="仿宋_GB2312" w:cs="Times New Roman"/>
          <w:b/>
          <w:color w:val="000000" w:themeColor="text1"/>
          <w:sz w:val="44"/>
          <w:szCs w:val="44"/>
          <w:highlight w:val="none"/>
          <w:lang w:val="en-US" w:eastAsia="zh-CN"/>
          <w14:textFill>
            <w14:solidFill>
              <w14:schemeClr w14:val="tx1"/>
            </w14:solidFill>
          </w14:textFill>
        </w:rPr>
        <w:t>技术指导原则（征求意见稿）</w:t>
      </w:r>
      <w:r>
        <w:rPr>
          <w:rFonts w:hint="default" w:ascii="Times New Roman" w:hAnsi="Times New Roman" w:eastAsia="仿宋_GB2312" w:cs="Times New Roman"/>
          <w:b/>
          <w:color w:val="000000" w:themeColor="text1"/>
          <w:sz w:val="44"/>
          <w:szCs w:val="44"/>
          <w:highlight w:val="none"/>
          <w:lang w:eastAsia="zh-CN"/>
          <w14:textFill>
            <w14:solidFill>
              <w14:schemeClr w14:val="tx1"/>
            </w14:solidFill>
          </w14:textFill>
        </w:rPr>
        <w:t>》</w:t>
      </w:r>
      <w:r>
        <w:rPr>
          <w:rFonts w:hint="default" w:ascii="Times New Roman" w:hAnsi="Times New Roman" w:eastAsia="仿宋_GB2312" w:cs="Times New Roman"/>
          <w:b/>
          <w:color w:val="000000" w:themeColor="text1"/>
          <w:sz w:val="44"/>
          <w:szCs w:val="44"/>
          <w:highlight w:val="none"/>
          <w14:textFill>
            <w14:solidFill>
              <w14:schemeClr w14:val="tx1"/>
            </w14:solidFill>
          </w14:textFill>
        </w:rPr>
        <w:t>起草说明</w:t>
      </w:r>
    </w:p>
    <w:p>
      <w:pPr>
        <w:keepNext w:val="0"/>
        <w:keepLines w:val="0"/>
        <w:pageBreakBefore w:val="0"/>
        <w:kinsoku/>
        <w:wordWrap/>
        <w:overflowPunct/>
        <w:topLinePunct w:val="0"/>
        <w:autoSpaceDE/>
        <w:autoSpaceDN/>
        <w:bidi w:val="0"/>
        <w:snapToGrid w:val="0"/>
        <w:spacing w:line="360" w:lineRule="auto"/>
        <w:jc w:val="center"/>
        <w:textAlignment w:val="auto"/>
        <w:rPr>
          <w:rFonts w:hint="default" w:ascii="Times New Roman" w:hAnsi="Times New Roman" w:eastAsia="仿宋_GB2312" w:cs="Times New Roman"/>
          <w:b/>
          <w:color w:val="000000" w:themeColor="text1"/>
          <w:sz w:val="44"/>
          <w:szCs w:val="44"/>
          <w:highlight w:val="none"/>
          <w14:textFill>
            <w14:solidFill>
              <w14:schemeClr w14:val="tx1"/>
            </w14:solidFill>
          </w14:textFill>
        </w:rPr>
      </w:pP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default" w:ascii="Times New Roman" w:hAnsi="Times New Roman" w:eastAsia="仿宋" w:cs="Times New Roman"/>
          <w:bCs/>
          <w:color w:val="000000" w:themeColor="text1"/>
          <w:sz w:val="32"/>
          <w:szCs w:val="32"/>
          <w:highlight w:val="none"/>
          <w14:textFill>
            <w14:solidFill>
              <w14:schemeClr w14:val="tx1"/>
            </w14:solidFill>
          </w14:textFill>
        </w:rPr>
      </w:pPr>
      <w:r>
        <w:rPr>
          <w:rFonts w:hint="default" w:ascii="Times New Roman" w:hAnsi="Times New Roman" w:eastAsia="仿宋" w:cs="Times New Roman"/>
          <w:bCs/>
          <w:color w:val="000000" w:themeColor="text1"/>
          <w:sz w:val="32"/>
          <w:szCs w:val="32"/>
          <w:highlight w:val="none"/>
          <w14:textFill>
            <w14:solidFill>
              <w14:schemeClr w14:val="tx1"/>
            </w14:solidFill>
          </w14:textFill>
        </w:rPr>
        <w:t>为规范开展化妆品原料的安全评价工作，</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根据</w:t>
      </w:r>
      <w:r>
        <w:rPr>
          <w:rFonts w:hint="eastAsia" w:eastAsia="仿宋_GB2312"/>
          <w:color w:val="000000" w:themeColor="text1"/>
          <w:sz w:val="32"/>
          <w:szCs w:val="32"/>
          <w:highlight w:val="none"/>
          <w14:textFill>
            <w14:solidFill>
              <w14:schemeClr w14:val="tx1"/>
            </w14:solidFill>
          </w14:textFill>
        </w:rPr>
        <w:t>《化妆品监督管理条例》</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《化妆品安全技术规范》</w:t>
      </w:r>
      <w:r>
        <w:rPr>
          <w:rFonts w:hint="eastAsia" w:eastAsia="仿宋_GB2312"/>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《化妆品新原料注册备案资料管理规定》</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和《化妆品安全评估技术导则》等</w:t>
      </w:r>
      <w:r>
        <w:rPr>
          <w:rFonts w:hint="default" w:ascii="Times New Roman" w:hAnsi="Times New Roman" w:eastAsia="仿宋" w:cs="Times New Roman"/>
          <w:bCs/>
          <w:color w:val="000000" w:themeColor="text1"/>
          <w:sz w:val="32"/>
          <w:szCs w:val="32"/>
          <w:highlight w:val="none"/>
          <w14:textFill>
            <w14:solidFill>
              <w14:schemeClr w14:val="tx1"/>
            </w14:solidFill>
          </w14:textFill>
        </w:rPr>
        <w:t>相关法律法规、强制性国家标准</w:t>
      </w:r>
      <w:r>
        <w:rPr>
          <w:rFonts w:hint="default" w:ascii="Times New Roman" w:hAnsi="Times New Roman" w:eastAsia="仿宋" w:cs="Times New Roman"/>
          <w:bCs/>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 w:cs="Times New Roman"/>
          <w:bCs/>
          <w:color w:val="000000" w:themeColor="text1"/>
          <w:sz w:val="32"/>
          <w:szCs w:val="32"/>
          <w:highlight w:val="none"/>
          <w14:textFill>
            <w14:solidFill>
              <w14:schemeClr w14:val="tx1"/>
            </w14:solidFill>
          </w14:textFill>
        </w:rPr>
        <w:t>技术规范的要求</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bCs/>
          <w:color w:val="000000" w:themeColor="text1"/>
          <w:sz w:val="32"/>
          <w:szCs w:val="32"/>
          <w:highlight w:val="none"/>
          <w14:textFill>
            <w14:solidFill>
              <w14:schemeClr w14:val="tx1"/>
            </w14:solidFill>
          </w14:textFill>
        </w:rPr>
        <w:t>中国食品药品检定研究院（以下简称中检院）</w:t>
      </w:r>
      <w:r>
        <w:rPr>
          <w:rFonts w:hint="eastAsia" w:ascii="Times New Roman" w:hAnsi="Times New Roman" w:eastAsia="仿宋" w:cs="Times New Roman"/>
          <w:bCs/>
          <w:color w:val="000000" w:themeColor="text1"/>
          <w:sz w:val="32"/>
          <w:szCs w:val="32"/>
          <w:highlight w:val="none"/>
          <w:lang w:val="en-US" w:eastAsia="zh-CN"/>
          <w14:textFill>
            <w14:solidFill>
              <w14:schemeClr w14:val="tx1"/>
            </w14:solidFill>
          </w14:textFill>
        </w:rPr>
        <w:t>组织</w:t>
      </w:r>
      <w:r>
        <w:rPr>
          <w:rFonts w:hint="default" w:ascii="Times New Roman" w:hAnsi="Times New Roman" w:eastAsia="仿宋" w:cs="Times New Roman"/>
          <w:bCs/>
          <w:color w:val="000000" w:themeColor="text1"/>
          <w:sz w:val="32"/>
          <w:szCs w:val="32"/>
          <w:highlight w:val="none"/>
          <w14:textFill>
            <w14:solidFill>
              <w14:schemeClr w14:val="tx1"/>
            </w14:solidFill>
          </w14:textFill>
        </w:rPr>
        <w:t>起草了</w:t>
      </w:r>
      <w:r>
        <w:rPr>
          <w:rFonts w:hint="default" w:ascii="Times New Roman" w:hAnsi="Times New Roman" w:eastAsia="仿宋" w:cs="Times New Roman"/>
          <w:color w:val="000000" w:themeColor="text1"/>
          <w:sz w:val="32"/>
          <w:szCs w:val="32"/>
          <w:highlight w:val="none"/>
          <w14:textFill>
            <w14:solidFill>
              <w14:schemeClr w14:val="tx1"/>
            </w14:solidFill>
          </w14:textFill>
        </w:rPr>
        <w:t>《急性吸入毒性试验-急性毒性分类法</w:t>
      </w:r>
      <w:r>
        <w:rPr>
          <w:rFonts w:hint="default" w:ascii="Times New Roman" w:hAnsi="Times New Roman" w:eastAsia="仿宋" w:cs="Times New Roman"/>
          <w:bCs/>
          <w:color w:val="000000" w:themeColor="text1"/>
          <w:sz w:val="32"/>
          <w:szCs w:val="32"/>
          <w:highlight w:val="none"/>
          <w14:textFill>
            <w14:solidFill>
              <w14:schemeClr w14:val="tx1"/>
            </w14:solidFill>
          </w14:textFill>
        </w:rPr>
        <w:t>技术指导原则</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征求意见稿</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bCs/>
          <w:color w:val="000000" w:themeColor="text1"/>
          <w:sz w:val="32"/>
          <w:szCs w:val="32"/>
          <w:highlight w:val="none"/>
          <w14:textFill>
            <w14:solidFill>
              <w14:schemeClr w14:val="tx1"/>
            </w14:solidFill>
          </w14:textFill>
        </w:rPr>
        <w:t>（以下简称《技术指导原则（征求意见稿）》）。现将起草的有关情况说明如下：</w:t>
      </w:r>
    </w:p>
    <w:p>
      <w:pPr>
        <w:pStyle w:val="13"/>
        <w:keepNext w:val="0"/>
        <w:keepLines w:val="0"/>
        <w:pageBreakBefore w:val="0"/>
        <w:numPr>
          <w:ilvl w:val="0"/>
          <w:numId w:val="0"/>
        </w:numPr>
        <w:kinsoku/>
        <w:wordWrap/>
        <w:overflowPunct/>
        <w:topLinePunct w:val="0"/>
        <w:autoSpaceDE/>
        <w:autoSpaceDN/>
        <w:bidi w:val="0"/>
        <w:adjustRightInd/>
        <w:snapToGrid/>
        <w:spacing w:line="360" w:lineRule="auto"/>
        <w:ind w:leftChars="0" w:firstLine="643" w:firstLineChars="200"/>
        <w:jc w:val="both"/>
        <w:textAlignment w:val="auto"/>
        <w:rPr>
          <w:rFonts w:hint="default" w:ascii="Times New Roman" w:hAnsi="Times New Roman" w:eastAsia="仿宋" w:cs="Times New Roman"/>
          <w:b/>
          <w:bCs/>
          <w:color w:val="000000" w:themeColor="text1"/>
          <w:sz w:val="32"/>
          <w:szCs w:val="32"/>
          <w:highlight w:val="none"/>
          <w14:textFill>
            <w14:solidFill>
              <w14:schemeClr w14:val="tx1"/>
            </w14:solidFill>
          </w14:textFill>
        </w:rPr>
      </w:pPr>
      <w:r>
        <w:rPr>
          <w:rFonts w:hint="eastAsia" w:ascii="Times New Roman" w:hAnsi="Times New Roman" w:eastAsia="仿宋" w:cs="Times New Roman"/>
          <w:b/>
          <w:bCs/>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起草的必要性</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default" w:eastAsia="仿宋_GB2312"/>
          <w:color w:val="000000" w:themeColor="text1"/>
          <w:sz w:val="32"/>
          <w:szCs w:val="32"/>
          <w:highlight w:val="none"/>
          <w:lang w:val="en-US" w:eastAsia="zh-CN"/>
          <w14:textFill>
            <w14:solidFill>
              <w14:schemeClr w14:val="tx1"/>
            </w14:solidFill>
          </w14:textFill>
        </w:rPr>
      </w:pPr>
      <w:bookmarkStart w:id="0" w:name="OLE_LINK1"/>
      <w:r>
        <w:rPr>
          <w:rFonts w:hint="default" w:ascii="Times New Roman" w:hAnsi="Times New Roman" w:eastAsia="仿宋" w:cs="Times New Roman"/>
          <w:color w:val="000000" w:themeColor="text1"/>
          <w:sz w:val="32"/>
          <w:szCs w:val="32"/>
          <w:highlight w:val="none"/>
          <w14:textFill>
            <w14:solidFill>
              <w14:schemeClr w14:val="tx1"/>
            </w14:solidFill>
          </w14:textFill>
        </w:rPr>
        <w:t>通过喷洒等方式使用</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化妆品</w:t>
      </w:r>
      <w:bookmarkEnd w:id="0"/>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如化妆品气雾剂和喷雾剂等，通常</w:t>
      </w:r>
      <w:r>
        <w:rPr>
          <w:rFonts w:hint="default" w:ascii="Times New Roman" w:hAnsi="Times New Roman" w:eastAsia="仿宋" w:cs="Times New Roman"/>
          <w:color w:val="000000" w:themeColor="text1"/>
          <w:sz w:val="32"/>
          <w:szCs w:val="32"/>
          <w:highlight w:val="none"/>
          <w14:textFill>
            <w14:solidFill>
              <w14:schemeClr w14:val="tx1"/>
            </w14:solidFill>
          </w14:textFill>
        </w:rPr>
        <w:t>可</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能</w:t>
      </w:r>
      <w:r>
        <w:rPr>
          <w:rFonts w:hint="default" w:ascii="Times New Roman" w:hAnsi="Times New Roman" w:eastAsia="仿宋" w:cs="Times New Roman"/>
          <w:color w:val="000000" w:themeColor="text1"/>
          <w:sz w:val="32"/>
          <w:szCs w:val="32"/>
          <w:highlight w:val="none"/>
          <w14:textFill>
            <w14:solidFill>
              <w14:schemeClr w14:val="tx1"/>
            </w14:solidFill>
          </w14:textFill>
        </w:rPr>
        <w:t>通过吸入的方式进入</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人体。因此，</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有必要</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对其是否具有潜在的吸入毒性安全风险进行评估</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2021年发布</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的</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《化妆品安全评估技术导则》、</w:t>
      </w:r>
      <w:r>
        <w:rPr>
          <w:rFonts w:hint="default" w:ascii="Times New Roman" w:hAnsi="Times New Roman" w:eastAsia="仿宋" w:cs="Times New Roman"/>
          <w:color w:val="000000" w:themeColor="text1"/>
          <w:sz w:val="32"/>
          <w:szCs w:val="32"/>
          <w:highlight w:val="none"/>
          <w14:textFill>
            <w14:solidFill>
              <w14:schemeClr w14:val="tx1"/>
            </w14:solidFill>
          </w14:textFill>
        </w:rPr>
        <w:t>《化妆品新原料注册备案资料管理规定》</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已正式实施</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其中</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要求：“对于有吸入暴露可能的化妆品原料和风险物质进行危害识别”、“</w:t>
      </w:r>
      <w:r>
        <w:rPr>
          <w:rFonts w:eastAsia="仿宋_GB2312"/>
          <w:color w:val="000000" w:themeColor="text1"/>
          <w:sz w:val="32"/>
          <w:szCs w:val="32"/>
          <w:highlight w:val="none"/>
          <w14:textFill>
            <w14:solidFill>
              <w14:schemeClr w14:val="tx1"/>
            </w14:solidFill>
          </w14:textFill>
        </w:rPr>
        <w:t>对可能有吸入暴露风险的</w:t>
      </w:r>
      <w:r>
        <w:rPr>
          <w:rFonts w:hint="eastAsia" w:eastAsia="仿宋_GB2312"/>
          <w:color w:val="000000" w:themeColor="text1"/>
          <w:sz w:val="32"/>
          <w:szCs w:val="32"/>
          <w:highlight w:val="none"/>
          <w:lang w:val="en-US" w:eastAsia="zh-CN"/>
          <w14:textFill>
            <w14:solidFill>
              <w14:schemeClr w14:val="tx1"/>
            </w14:solidFill>
          </w14:textFill>
        </w:rPr>
        <w:t>化妆品</w:t>
      </w:r>
      <w:r>
        <w:rPr>
          <w:rFonts w:eastAsia="仿宋_GB2312"/>
          <w:color w:val="000000" w:themeColor="text1"/>
          <w:sz w:val="32"/>
          <w:szCs w:val="32"/>
          <w:highlight w:val="none"/>
          <w14:textFill>
            <w14:solidFill>
              <w14:schemeClr w14:val="tx1"/>
            </w14:solidFill>
          </w14:textFill>
        </w:rPr>
        <w:t>产品，应评估其吸入暴露对人体可能产生的健康危害效应。</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化妆品原料和/或风险物质</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有经呼吸道吸收可能时，需提供吸入毒性试验资料。”、“如果化妆品原料在有吸入暴露风险的产品中使用，应该明确提及吸入暴露的可能，并且应考虑吸入暴露的健康危害效应。”等等，以及对新原料的注册备案资料中要求提供的毒理学试验资料中包含“</w:t>
      </w:r>
      <w:r>
        <w:rPr>
          <w:rFonts w:eastAsia="仿宋_GB2312"/>
          <w:color w:val="000000" w:themeColor="text1"/>
          <w:sz w:val="32"/>
          <w:szCs w:val="32"/>
          <w:highlight w:val="none"/>
          <w14:textFill>
            <w14:solidFill>
              <w14:schemeClr w14:val="tx1"/>
            </w14:solidFill>
          </w14:textFill>
        </w:rPr>
        <w:t>吸入毒性试验（原料有可能吸入暴露时须做该项试验）</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”。因此，</w:t>
      </w:r>
      <w:r>
        <w:rPr>
          <w:rFonts w:hint="eastAsia" w:ascii="仿宋_GB2312" w:hAnsi="仿宋" w:eastAsia="仿宋_GB2312"/>
          <w:color w:val="000000" w:themeColor="text1"/>
          <w:sz w:val="32"/>
          <w:szCs w:val="32"/>
          <w:highlight w:val="none"/>
          <w14:textFill>
            <w14:solidFill>
              <w14:schemeClr w14:val="tx1"/>
            </w14:solidFill>
          </w14:textFill>
        </w:rPr>
        <w:t>中检院制定《技术指导原则》</w:t>
      </w:r>
      <w:r>
        <w:rPr>
          <w:rFonts w:hint="eastAsia" w:eastAsia="仿宋_GB2312"/>
          <w:color w:val="000000" w:themeColor="text1"/>
          <w:sz w:val="32"/>
          <w:szCs w:val="32"/>
          <w:highlight w:val="none"/>
          <w14:textFill>
            <w14:solidFill>
              <w14:schemeClr w14:val="tx1"/>
            </w14:solidFill>
          </w14:textFill>
        </w:rPr>
        <w:t>（征求意见稿）</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以规范</w:t>
      </w:r>
      <w:r>
        <w:rPr>
          <w:rFonts w:hint="eastAsia" w:eastAsia="仿宋_GB2312"/>
          <w:color w:val="000000" w:themeColor="text1"/>
          <w:sz w:val="32"/>
          <w:szCs w:val="32"/>
          <w:highlight w:val="none"/>
          <w:lang w:val="en-US" w:eastAsia="zh-CN"/>
          <w14:textFill>
            <w14:solidFill>
              <w14:schemeClr w14:val="tx1"/>
            </w14:solidFill>
          </w14:textFill>
        </w:rPr>
        <w:t>存在吸入暴露可能性的化妆品原料的安全性评估及其急性吸入毒性试验-急性毒性分类法。</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需说明的是，</w:t>
      </w:r>
      <w:r>
        <w:rPr>
          <w:rFonts w:eastAsia="仿宋_GB2312"/>
          <w:color w:val="000000" w:themeColor="text1"/>
          <w:sz w:val="32"/>
          <w:szCs w:val="32"/>
          <w:highlight w:val="none"/>
          <w14:textFill>
            <w14:solidFill>
              <w14:schemeClr w14:val="tx1"/>
            </w14:solidFill>
          </w14:textFill>
        </w:rPr>
        <w:t>对于有可能吸入暴露的纳米新原料</w:t>
      </w:r>
      <w:r>
        <w:rPr>
          <w:rFonts w:hint="eastAsia" w:eastAsia="仿宋_GB2312"/>
          <w:color w:val="000000" w:themeColor="text1"/>
          <w:sz w:val="32"/>
          <w:szCs w:val="32"/>
          <w:highlight w:val="none"/>
          <w:lang w:eastAsia="zh-CN"/>
          <w14:textFill>
            <w14:solidFill>
              <w14:schemeClr w14:val="tx1"/>
            </w14:solidFill>
          </w14:textFill>
        </w:rPr>
        <w:t>的</w:t>
      </w:r>
      <w:r>
        <w:rPr>
          <w:rFonts w:hint="eastAsia" w:eastAsia="仿宋_GB2312"/>
          <w:color w:val="000000" w:themeColor="text1"/>
          <w:sz w:val="32"/>
          <w:szCs w:val="32"/>
          <w:highlight w:val="none"/>
          <w:lang w:val="en-US" w:eastAsia="zh-CN"/>
          <w14:textFill>
            <w14:solidFill>
              <w14:schemeClr w14:val="tx1"/>
            </w14:solidFill>
          </w14:textFill>
        </w:rPr>
        <w:t>安全性评估，本导则不适用。</w:t>
      </w:r>
    </w:p>
    <w:p>
      <w:pPr>
        <w:keepNext w:val="0"/>
        <w:keepLines w:val="0"/>
        <w:pageBreakBefore w:val="0"/>
        <w:numPr>
          <w:ilvl w:val="0"/>
          <w:numId w:val="1"/>
        </w:numPr>
        <w:kinsoku/>
        <w:wordWrap/>
        <w:overflowPunct/>
        <w:topLinePunct w:val="0"/>
        <w:autoSpaceDE/>
        <w:autoSpaceDN/>
        <w:bidi w:val="0"/>
        <w:adjustRightInd/>
        <w:snapToGrid/>
        <w:spacing w:line="360" w:lineRule="auto"/>
        <w:ind w:firstLine="643" w:firstLineChars="200"/>
        <w:jc w:val="both"/>
        <w:textAlignment w:val="auto"/>
        <w:rPr>
          <w:rFonts w:hint="eastAsia" w:eastAsia="仿宋_GB2312"/>
          <w:b/>
          <w:bCs/>
          <w:color w:val="000000" w:themeColor="text1"/>
          <w:sz w:val="32"/>
          <w:szCs w:val="32"/>
          <w:highlight w:val="none"/>
          <w:lang w:val="en-US" w:eastAsia="zh-CN"/>
          <w14:textFill>
            <w14:solidFill>
              <w14:schemeClr w14:val="tx1"/>
            </w14:solidFill>
          </w14:textFill>
        </w:rPr>
      </w:pPr>
      <w:r>
        <w:rPr>
          <w:rFonts w:hint="eastAsia" w:eastAsia="仿宋_GB2312"/>
          <w:b/>
          <w:bCs/>
          <w:color w:val="000000" w:themeColor="text1"/>
          <w:sz w:val="32"/>
          <w:szCs w:val="32"/>
          <w:highlight w:val="none"/>
          <w:lang w:val="en-US" w:eastAsia="zh-CN"/>
          <w14:textFill>
            <w14:solidFill>
              <w14:schemeClr w14:val="tx1"/>
            </w14:solidFill>
          </w14:textFill>
        </w:rPr>
        <w:t>起草背景和思路</w:t>
      </w:r>
    </w:p>
    <w:p>
      <w:pPr>
        <w:snapToGrid w:val="0"/>
        <w:spacing w:line="360" w:lineRule="auto"/>
        <w:ind w:firstLine="640" w:firstLineChars="200"/>
        <w:rPr>
          <w:rFonts w:eastAsia="仿宋_GB2312"/>
          <w:b/>
          <w:bCs/>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经济合作与发展组织（Organization for Economic Co-operation and Development，OECD）基于科学技术的发展、管理规定及动物福利等方面的考虑，会定期对其所发布的</w:t>
      </w:r>
      <w:r>
        <w:rPr>
          <w:rFonts w:hint="eastAsia" w:ascii="Times New Roman" w:hAnsi="Times New Roman" w:eastAsia="仿宋" w:cs="Times New Roman"/>
          <w:color w:val="000000" w:themeColor="text1"/>
          <w:sz w:val="32"/>
          <w:szCs w:val="32"/>
          <w14:textFill>
            <w14:solidFill>
              <w14:schemeClr w14:val="tx1"/>
            </w14:solidFill>
          </w14:textFill>
        </w:rPr>
        <w:t>试验</w:t>
      </w:r>
      <w:r>
        <w:rPr>
          <w:rFonts w:ascii="Times New Roman" w:hAnsi="Times New Roman" w:eastAsia="仿宋" w:cs="Times New Roman"/>
          <w:color w:val="000000" w:themeColor="text1"/>
          <w:sz w:val="32"/>
          <w:szCs w:val="32"/>
          <w14:textFill>
            <w14:solidFill>
              <w14:schemeClr w14:val="tx1"/>
            </w14:solidFill>
          </w14:textFill>
        </w:rPr>
        <w:t>导则进行修订。OECD于1981年公布实施了急性吸入毒性</w:t>
      </w:r>
      <w:r>
        <w:rPr>
          <w:rFonts w:hint="eastAsia" w:ascii="Times New Roman" w:hAnsi="Times New Roman" w:eastAsia="仿宋" w:cs="Times New Roman"/>
          <w:color w:val="000000" w:themeColor="text1"/>
          <w:sz w:val="32"/>
          <w:szCs w:val="32"/>
          <w14:textFill>
            <w14:solidFill>
              <w14:schemeClr w14:val="tx1"/>
            </w14:solidFill>
          </w14:textFill>
        </w:rPr>
        <w:t>试验</w:t>
      </w:r>
      <w:r>
        <w:rPr>
          <w:rFonts w:ascii="Times New Roman" w:hAnsi="Times New Roman" w:eastAsia="仿宋" w:cs="Times New Roman"/>
          <w:color w:val="000000" w:themeColor="text1"/>
          <w:sz w:val="32"/>
          <w:szCs w:val="32"/>
          <w14:textFill>
            <w14:solidFill>
              <w14:schemeClr w14:val="tx1"/>
            </w14:solidFill>
          </w14:textFill>
        </w:rPr>
        <w:t>导则（OECD 403），后因2001年公布实施了急性经口毒性分类法（TG 423），才考虑编制相应的急性吸入毒性分类法（Acute toxic class, ATC）。对急性吸入毒性分类法（ATC）数据质量的回顾性评估表明该方法非常适合</w:t>
      </w:r>
      <w:r>
        <w:rPr>
          <w:rFonts w:hint="eastAsia" w:ascii="Times New Roman" w:hAnsi="Times New Roman" w:eastAsia="仿宋" w:cs="Times New Roman"/>
          <w:color w:val="000000" w:themeColor="text1"/>
          <w:sz w:val="32"/>
          <w:szCs w:val="32"/>
          <w14:textFill>
            <w14:solidFill>
              <w14:schemeClr w14:val="tx1"/>
            </w14:solidFill>
          </w14:textFill>
        </w:rPr>
        <w:t>于</w:t>
      </w:r>
      <w:r>
        <w:rPr>
          <w:rFonts w:ascii="Times New Roman" w:hAnsi="Times New Roman" w:eastAsia="仿宋" w:cs="Times New Roman"/>
          <w:color w:val="000000" w:themeColor="text1"/>
          <w:sz w:val="32"/>
          <w:szCs w:val="32"/>
          <w14:textFill>
            <w14:solidFill>
              <w14:schemeClr w14:val="tx1"/>
            </w14:solidFill>
          </w14:textFill>
        </w:rPr>
        <w:t xml:space="preserve">对化学品的毒性分级和产品标签规定的需要。2009年9月OECD公布实施了化学品测试导则NO.436（2009）《急性吸入毒性试验：急性毒性分类法》，对急性吸入毒性的试验原则、方法、数据和试验报告、附录等内容进行了规定。2012年7月，中华人民共和国国家质量监督检验检疫总局、中国国家标准化管理委员会发布了中华人民共和国国家标准《化学品 </w:t>
      </w:r>
      <w:r>
        <w:rPr>
          <w:rFonts w:hint="eastAsia" w:ascii="Times New Roman" w:hAnsi="Times New Roman" w:eastAsia="仿宋" w:cs="Times New Roman"/>
          <w:color w:val="000000" w:themeColor="text1"/>
          <w:sz w:val="32"/>
          <w:szCs w:val="32"/>
          <w14:textFill>
            <w14:solidFill>
              <w14:schemeClr w14:val="tx1"/>
            </w14:solidFill>
          </w14:textFill>
        </w:rPr>
        <w:t>急性吸入毒性试验-急</w:t>
      </w:r>
      <w:r>
        <w:rPr>
          <w:rFonts w:ascii="Times New Roman" w:hAnsi="Times New Roman" w:eastAsia="仿宋" w:cs="Times New Roman"/>
          <w:color w:val="000000" w:themeColor="text1"/>
          <w:sz w:val="32"/>
          <w:szCs w:val="32"/>
          <w14:textFill>
            <w14:solidFill>
              <w14:schemeClr w14:val="tx1"/>
            </w14:solidFill>
          </w14:textFill>
        </w:rPr>
        <w:t>性毒性分类法》GB/T 28648-2012，对化学品急性吸入毒性试验急性毒性分类法的适用范围，原则、方法、数据、报告等内容进行了规定，其核心内容是针对化学品的急性吸入毒性进行分类。</w:t>
      </w:r>
    </w:p>
    <w:p>
      <w:pPr>
        <w:keepNext w:val="0"/>
        <w:keepLines w:val="0"/>
        <w:pageBreakBefore w:val="0"/>
        <w:kinsoku/>
        <w:wordWrap/>
        <w:overflowPunct/>
        <w:topLinePunct w:val="0"/>
        <w:autoSpaceDE/>
        <w:autoSpaceDN/>
        <w:bidi w:val="0"/>
        <w:snapToGrid w:val="0"/>
        <w:spacing w:line="360" w:lineRule="auto"/>
        <w:ind w:firstLine="640" w:firstLineChars="200"/>
        <w:jc w:val="both"/>
        <w:textAlignment w:val="auto"/>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查阅国内外关于化学品急性吸</w:t>
      </w:r>
      <w:r>
        <w:rPr>
          <w:rFonts w:hint="eastAsia" w:ascii="Times New Roman" w:hAnsi="Times New Roman" w:eastAsia="仿宋" w:cs="Times New Roman"/>
          <w:color w:val="000000" w:themeColor="text1"/>
          <w:sz w:val="32"/>
          <w:szCs w:val="32"/>
          <w14:textFill>
            <w14:solidFill>
              <w14:schemeClr w14:val="tx1"/>
            </w14:solidFill>
          </w14:textFill>
        </w:rPr>
        <w:t>入</w:t>
      </w:r>
      <w:r>
        <w:rPr>
          <w:rFonts w:ascii="Times New Roman" w:hAnsi="Times New Roman" w:eastAsia="仿宋" w:cs="Times New Roman"/>
          <w:color w:val="000000" w:themeColor="text1"/>
          <w:sz w:val="32"/>
          <w:szCs w:val="32"/>
          <w14:textFill>
            <w14:solidFill>
              <w14:schemeClr w14:val="tx1"/>
            </w14:solidFill>
          </w14:textFill>
        </w:rPr>
        <w:t>毒性的试验方法，</w:t>
      </w:r>
      <w:r>
        <w:rPr>
          <w:rFonts w:hint="eastAsia" w:ascii="Times New Roman" w:hAnsi="Times New Roman" w:eastAsia="仿宋" w:cs="Times New Roman"/>
          <w:color w:val="000000" w:themeColor="text1"/>
          <w:sz w:val="32"/>
          <w:szCs w:val="32"/>
          <w14:textFill>
            <w14:solidFill>
              <w14:schemeClr w14:val="tx1"/>
            </w14:solidFill>
          </w14:textFill>
        </w:rPr>
        <w:t>主要参考</w:t>
      </w:r>
      <w:r>
        <w:rPr>
          <w:rFonts w:ascii="Times New Roman" w:hAnsi="Times New Roman" w:eastAsia="仿宋" w:cs="Times New Roman"/>
          <w:color w:val="000000" w:themeColor="text1"/>
          <w:sz w:val="32"/>
          <w:szCs w:val="32"/>
          <w14:textFill>
            <w14:solidFill>
              <w14:schemeClr w14:val="tx1"/>
            </w14:solidFill>
          </w14:textFill>
        </w:rPr>
        <w:t xml:space="preserve">OECD NO.436（2009）《急性吸入毒性试验：急性毒性分类法》试验导则、中华人民共和国国家标准《化学品 </w:t>
      </w:r>
      <w:r>
        <w:rPr>
          <w:rFonts w:hint="eastAsia" w:ascii="Times New Roman" w:hAnsi="Times New Roman" w:eastAsia="仿宋" w:cs="Times New Roman"/>
          <w:color w:val="000000" w:themeColor="text1"/>
          <w:sz w:val="32"/>
          <w:szCs w:val="32"/>
          <w14:textFill>
            <w14:solidFill>
              <w14:schemeClr w14:val="tx1"/>
            </w14:solidFill>
          </w14:textFill>
        </w:rPr>
        <w:t>急性吸入毒性试验-急</w:t>
      </w:r>
      <w:r>
        <w:rPr>
          <w:rFonts w:ascii="Times New Roman" w:hAnsi="Times New Roman" w:eastAsia="仿宋" w:cs="Times New Roman"/>
          <w:color w:val="000000" w:themeColor="text1"/>
          <w:sz w:val="32"/>
          <w:szCs w:val="32"/>
          <w14:textFill>
            <w14:solidFill>
              <w14:schemeClr w14:val="tx1"/>
            </w14:solidFill>
          </w14:textFill>
        </w:rPr>
        <w:t>性毒性分类法》GB/T 28648-2012中规定的相关内容，</w:t>
      </w:r>
      <w:r>
        <w:rPr>
          <w:rFonts w:hint="eastAsia" w:ascii="Times New Roman" w:hAnsi="Times New Roman" w:eastAsia="仿宋" w:cs="Times New Roman"/>
          <w:color w:val="000000" w:themeColor="text1"/>
          <w:sz w:val="32"/>
          <w:szCs w:val="32"/>
          <w14:textFill>
            <w14:solidFill>
              <w14:schemeClr w14:val="tx1"/>
            </w14:solidFill>
          </w14:textFill>
        </w:rPr>
        <w:t>并</w:t>
      </w:r>
      <w:r>
        <w:rPr>
          <w:rFonts w:ascii="Times New Roman" w:hAnsi="Times New Roman" w:eastAsia="仿宋" w:cs="Times New Roman"/>
          <w:color w:val="000000" w:themeColor="text1"/>
          <w:sz w:val="32"/>
          <w:szCs w:val="32"/>
          <w14:textFill>
            <w14:solidFill>
              <w14:schemeClr w14:val="tx1"/>
            </w14:solidFill>
          </w14:textFill>
        </w:rPr>
        <w:t>对相应的试验方法进行比对、分析，</w:t>
      </w:r>
      <w:r>
        <w:rPr>
          <w:rFonts w:hint="eastAsia" w:ascii="Times New Roman" w:hAnsi="Times New Roman" w:eastAsia="仿宋" w:cs="Times New Roman"/>
          <w:color w:val="000000" w:themeColor="text1"/>
          <w:sz w:val="32"/>
          <w:szCs w:val="32"/>
          <w14:textFill>
            <w14:solidFill>
              <w14:schemeClr w14:val="tx1"/>
            </w14:solidFill>
          </w14:textFill>
        </w:rPr>
        <w:t>结合我国化妆品及其原料的特性和管理要求进行</w:t>
      </w:r>
      <w:r>
        <w:rPr>
          <w:rFonts w:ascii="Times New Roman" w:hAnsi="Times New Roman" w:eastAsia="仿宋" w:cs="Times New Roman"/>
          <w:color w:val="000000" w:themeColor="text1"/>
          <w:sz w:val="32"/>
          <w:szCs w:val="32"/>
          <w14:textFill>
            <w14:solidFill>
              <w14:schemeClr w14:val="tx1"/>
            </w14:solidFill>
          </w14:textFill>
        </w:rPr>
        <w:t>转化，建立适用于化妆品原料安全性评价的急性吸入毒性试验</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急性毒性分类法</w:t>
      </w:r>
      <w:r>
        <w:rPr>
          <w:rFonts w:hint="eastAsia" w:ascii="Times New Roman" w:hAnsi="Times New Roman" w:eastAsia="仿宋" w:cs="Times New Roman"/>
          <w:color w:val="000000" w:themeColor="text1"/>
          <w:sz w:val="32"/>
          <w:szCs w:val="32"/>
          <w14:textFill>
            <w14:solidFill>
              <w14:schemeClr w14:val="tx1"/>
            </w14:solidFill>
          </w14:textFill>
        </w:rPr>
        <w:t>。其中，</w:t>
      </w:r>
      <w:r>
        <w:rPr>
          <w:rFonts w:ascii="Times New Roman" w:hAnsi="Times New Roman" w:eastAsia="仿宋" w:cs="Times New Roman"/>
          <w:color w:val="000000" w:themeColor="text1"/>
          <w:sz w:val="32"/>
          <w:szCs w:val="32"/>
          <w14:textFill>
            <w14:solidFill>
              <w14:schemeClr w14:val="tx1"/>
            </w14:solidFill>
          </w14:textFill>
        </w:rPr>
        <w:t>明确了该方法适应于化妆品原料</w:t>
      </w:r>
      <w:r>
        <w:rPr>
          <w:rFonts w:hint="eastAsia" w:ascii="Times New Roman" w:hAnsi="Times New Roman" w:eastAsia="仿宋" w:cs="Times New Roman"/>
          <w:color w:val="000000" w:themeColor="text1"/>
          <w:sz w:val="32"/>
          <w:szCs w:val="32"/>
          <w14:textFill>
            <w14:solidFill>
              <w14:schemeClr w14:val="tx1"/>
            </w14:solidFill>
          </w14:textFill>
        </w:rPr>
        <w:t>安全性</w:t>
      </w:r>
      <w:r>
        <w:rPr>
          <w:rFonts w:ascii="Times New Roman" w:hAnsi="Times New Roman" w:eastAsia="仿宋" w:cs="Times New Roman"/>
          <w:color w:val="000000" w:themeColor="text1"/>
          <w:sz w:val="32"/>
          <w:szCs w:val="32"/>
          <w14:textFill>
            <w14:solidFill>
              <w14:schemeClr w14:val="tx1"/>
            </w14:solidFill>
          </w14:textFill>
        </w:rPr>
        <w:t>评价，</w:t>
      </w:r>
      <w:r>
        <w:rPr>
          <w:rFonts w:hint="eastAsia" w:ascii="Times New Roman" w:hAnsi="Times New Roman" w:eastAsia="仿宋" w:cs="Times New Roman"/>
          <w:color w:val="000000" w:themeColor="text1"/>
          <w:sz w:val="32"/>
          <w:szCs w:val="32"/>
          <w14:textFill>
            <w14:solidFill>
              <w14:schemeClr w14:val="tx1"/>
            </w14:solidFill>
          </w14:textFill>
        </w:rPr>
        <w:t>并</w:t>
      </w:r>
      <w:r>
        <w:rPr>
          <w:rFonts w:ascii="Times New Roman" w:hAnsi="Times New Roman" w:eastAsia="仿宋" w:cs="Times New Roman"/>
          <w:color w:val="000000" w:themeColor="text1"/>
          <w:sz w:val="32"/>
          <w:szCs w:val="32"/>
          <w14:textFill>
            <w14:solidFill>
              <w14:schemeClr w14:val="tx1"/>
            </w14:solidFill>
          </w14:textFill>
        </w:rPr>
        <w:t>对试验目的、</w:t>
      </w:r>
      <w:r>
        <w:rPr>
          <w:rFonts w:hint="eastAsia" w:ascii="Times New Roman" w:hAnsi="Times New Roman" w:eastAsia="仿宋" w:cs="Times New Roman"/>
          <w:color w:val="000000" w:themeColor="text1"/>
          <w:sz w:val="32"/>
          <w:szCs w:val="32"/>
          <w14:textFill>
            <w14:solidFill>
              <w14:schemeClr w14:val="tx1"/>
            </w14:solidFill>
          </w14:textFill>
        </w:rPr>
        <w:t>试验</w:t>
      </w:r>
      <w:r>
        <w:rPr>
          <w:rFonts w:ascii="Times New Roman" w:hAnsi="Times New Roman" w:eastAsia="仿宋" w:cs="Times New Roman"/>
          <w:color w:val="000000" w:themeColor="text1"/>
          <w:sz w:val="32"/>
          <w:szCs w:val="32"/>
          <w14:textFill>
            <w14:solidFill>
              <w14:schemeClr w14:val="tx1"/>
            </w14:solidFill>
          </w14:textFill>
        </w:rPr>
        <w:t>原则、</w:t>
      </w:r>
      <w:r>
        <w:rPr>
          <w:rFonts w:hint="eastAsia" w:ascii="Times New Roman" w:hAnsi="Times New Roman" w:eastAsia="仿宋" w:cs="Times New Roman"/>
          <w:color w:val="000000" w:themeColor="text1"/>
          <w:sz w:val="32"/>
          <w:szCs w:val="32"/>
          <w14:textFill>
            <w14:solidFill>
              <w14:schemeClr w14:val="tx1"/>
            </w14:solidFill>
          </w14:textFill>
        </w:rPr>
        <w:t>试验</w:t>
      </w:r>
      <w:r>
        <w:rPr>
          <w:rFonts w:ascii="Times New Roman" w:hAnsi="Times New Roman" w:eastAsia="仿宋" w:cs="Times New Roman"/>
          <w:color w:val="000000" w:themeColor="text1"/>
          <w:sz w:val="32"/>
          <w:szCs w:val="32"/>
          <w14:textFill>
            <w14:solidFill>
              <w14:schemeClr w14:val="tx1"/>
            </w14:solidFill>
          </w14:textFill>
        </w:rPr>
        <w:t>方法中涉及的</w:t>
      </w:r>
      <w:r>
        <w:rPr>
          <w:rFonts w:hint="eastAsia" w:ascii="Times New Roman" w:hAnsi="Times New Roman" w:eastAsia="仿宋" w:cs="Times New Roman"/>
          <w:color w:val="000000" w:themeColor="text1"/>
          <w:sz w:val="32"/>
          <w:szCs w:val="32"/>
          <w14:textFill>
            <w14:solidFill>
              <w14:schemeClr w14:val="tx1"/>
            </w14:solidFill>
          </w14:textFill>
        </w:rPr>
        <w:t>实验</w:t>
      </w:r>
      <w:r>
        <w:rPr>
          <w:rFonts w:ascii="Times New Roman" w:hAnsi="Times New Roman" w:eastAsia="仿宋" w:cs="Times New Roman"/>
          <w:color w:val="000000" w:themeColor="text1"/>
          <w:sz w:val="32"/>
          <w:szCs w:val="32"/>
          <w14:textFill>
            <w14:solidFill>
              <w14:schemeClr w14:val="tx1"/>
            </w14:solidFill>
          </w14:textFill>
        </w:rPr>
        <w:t>动物、吸入染毒装置、暴露监测、试验操作、试验观察、组织病理学结果、试验数据及报告等内容，进行了详细梳理和规定，起草了《急性吸入毒性试验</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急性毒性分类法</w:t>
      </w:r>
      <w:r>
        <w:rPr>
          <w:rFonts w:hint="eastAsia" w:ascii="Times New Roman" w:hAnsi="Times New Roman" w:eastAsia="仿宋" w:cs="Times New Roman"/>
          <w:color w:val="000000" w:themeColor="text1"/>
          <w:sz w:val="32"/>
          <w:szCs w:val="32"/>
          <w14:textFill>
            <w14:solidFill>
              <w14:schemeClr w14:val="tx1"/>
            </w14:solidFill>
          </w14:textFill>
        </w:rPr>
        <w:t>技术指导原则</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（征求意见稿）</w:t>
      </w:r>
      <w:r>
        <w:rPr>
          <w:rFonts w:ascii="Times New Roman" w:hAnsi="Times New Roman" w:eastAsia="仿宋"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4876165" cy="2305050"/>
            <wp:effectExtent l="0" t="0" r="63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876165" cy="230505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pacing w:line="360" w:lineRule="auto"/>
        <w:ind w:firstLine="643" w:firstLineChars="200"/>
        <w:textAlignment w:val="auto"/>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
          <w:color w:val="000000" w:themeColor="text1"/>
          <w:sz w:val="32"/>
          <w:szCs w:val="32"/>
          <w:highlight w:val="none"/>
          <w14:textFill>
            <w14:solidFill>
              <w14:schemeClr w14:val="tx1"/>
            </w14:solidFill>
          </w14:textFill>
        </w:rPr>
        <w:t>制定原则</w:t>
      </w:r>
    </w:p>
    <w:p>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hint="eastAsia" w:eastAsia="仿宋_GB2312"/>
          <w:b/>
          <w:bCs/>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（一）依法依规原则。</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《技术指导原则（征求意见稿）》遵循依法依规原则，贯彻落实《化妆品监督管理条例》及配套法规文件中关于化妆品和新原料的法规要求，研究</w:t>
      </w:r>
      <w:r>
        <w:rPr>
          <w:rFonts w:hint="eastAsia" w:eastAsia="仿宋_GB2312"/>
          <w:color w:val="000000" w:themeColor="text1"/>
          <w:sz w:val="32"/>
          <w:szCs w:val="32"/>
          <w:highlight w:val="none"/>
          <w:lang w:val="en-US" w:eastAsia="zh-CN"/>
          <w14:textFill>
            <w14:solidFill>
              <w14:schemeClr w14:val="tx1"/>
            </w14:solidFill>
          </w14:textFill>
        </w:rPr>
        <w:t>急性吸入毒性试验-急性毒性试验分类法</w:t>
      </w:r>
      <w:r>
        <w:rPr>
          <w:rFonts w:hint="eastAsia" w:eastAsia="仿宋_GB2312"/>
          <w:color w:val="000000" w:themeColor="text1"/>
          <w:sz w:val="32"/>
          <w:szCs w:val="32"/>
          <w:highlight w:val="none"/>
          <w14:textFill>
            <w14:solidFill>
              <w14:schemeClr w14:val="tx1"/>
            </w14:solidFill>
          </w14:textFill>
        </w:rPr>
        <w:t>的</w:t>
      </w:r>
      <w:r>
        <w:rPr>
          <w:rFonts w:hint="eastAsia" w:eastAsia="仿宋_GB2312"/>
          <w:color w:val="000000" w:themeColor="text1"/>
          <w:sz w:val="32"/>
          <w:szCs w:val="32"/>
          <w:highlight w:val="none"/>
          <w:lang w:val="en-US" w:eastAsia="zh-CN"/>
          <w14:textFill>
            <w14:solidFill>
              <w14:schemeClr w14:val="tx1"/>
            </w14:solidFill>
          </w14:textFill>
        </w:rPr>
        <w:t>适用范围和</w:t>
      </w:r>
      <w:r>
        <w:rPr>
          <w:rFonts w:hint="eastAsia" w:eastAsia="仿宋_GB2312"/>
          <w:color w:val="000000" w:themeColor="text1"/>
          <w:sz w:val="32"/>
          <w:szCs w:val="32"/>
          <w:highlight w:val="none"/>
          <w14:textFill>
            <w14:solidFill>
              <w14:schemeClr w14:val="tx1"/>
            </w14:solidFill>
          </w14:textFill>
        </w:rPr>
        <w:t>具体要求，切实为化妆品新原料的安全评价提供技术指导，也为技术审评以及</w:t>
      </w:r>
      <w:r>
        <w:rPr>
          <w:rFonts w:hint="eastAsia" w:eastAsia="仿宋_GB2312"/>
          <w:color w:val="000000" w:themeColor="text1"/>
          <w:sz w:val="32"/>
          <w:szCs w:val="32"/>
          <w:highlight w:val="none"/>
          <w:lang w:val="en-US" w:eastAsia="zh-CN"/>
          <w14:textFill>
            <w14:solidFill>
              <w14:schemeClr w14:val="tx1"/>
            </w14:solidFill>
          </w14:textFill>
        </w:rPr>
        <w:t>安全</w:t>
      </w:r>
      <w:r>
        <w:rPr>
          <w:rFonts w:hint="eastAsia" w:eastAsia="仿宋_GB2312"/>
          <w:color w:val="000000" w:themeColor="text1"/>
          <w:sz w:val="32"/>
          <w:szCs w:val="32"/>
          <w:highlight w:val="none"/>
          <w14:textFill>
            <w14:solidFill>
              <w14:schemeClr w14:val="tx1"/>
            </w14:solidFill>
          </w14:textFill>
        </w:rPr>
        <w:t>监管提供依据。</w:t>
      </w:r>
    </w:p>
    <w:p>
      <w:pPr>
        <w:keepNext w:val="0"/>
        <w:keepLines w:val="0"/>
        <w:pageBreakBefore w:val="0"/>
        <w:numPr>
          <w:ilvl w:val="0"/>
          <w:numId w:val="2"/>
        </w:numPr>
        <w:kinsoku/>
        <w:wordWrap/>
        <w:overflowPunct/>
        <w:topLinePunct w:val="0"/>
        <w:autoSpaceDE/>
        <w:autoSpaceDN/>
        <w:bidi w:val="0"/>
        <w:spacing w:line="360" w:lineRule="auto"/>
        <w:ind w:firstLine="643" w:firstLineChars="200"/>
        <w:textAlignment w:val="auto"/>
        <w:rPr>
          <w:rFonts w:hint="eastAsia" w:eastAsia="仿宋_GB2312"/>
          <w:b/>
          <w:bCs/>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公开透明原则。</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ascii="仿宋" w:hAnsi="仿宋" w:eastAsia="仿宋" w:cs="仿宋"/>
          <w:b/>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技术指导原则（征求意见稿）》起草过程中，坚持“公开透明、广泛参与”原则，充分参考国内外相关法规和技术标准，积极征求监管部门、专家、行业协会意见，同时根据意见反馈情况科学合理地进行修改完善。</w:t>
      </w:r>
    </w:p>
    <w:p>
      <w:pPr>
        <w:keepNext w:val="0"/>
        <w:keepLines w:val="0"/>
        <w:pageBreakBefore w:val="0"/>
        <w:numPr>
          <w:ilvl w:val="0"/>
          <w:numId w:val="0"/>
        </w:numPr>
        <w:kinsoku/>
        <w:wordWrap/>
        <w:overflowPunct/>
        <w:topLinePunct w:val="0"/>
        <w:autoSpaceDE/>
        <w:autoSpaceDN/>
        <w:bidi w:val="0"/>
        <w:spacing w:line="360" w:lineRule="auto"/>
        <w:ind w:firstLine="643" w:firstLineChars="200"/>
        <w:textAlignment w:val="auto"/>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
          <w:color w:val="000000" w:themeColor="text1"/>
          <w:sz w:val="32"/>
          <w:szCs w:val="32"/>
          <w:highlight w:val="none"/>
          <w14:textFill>
            <w14:solidFill>
              <w14:schemeClr w14:val="tx1"/>
            </w14:solidFill>
          </w14:textFill>
        </w:rPr>
        <w:t>主要内容</w:t>
      </w:r>
    </w:p>
    <w:p>
      <w:pPr>
        <w:keepNext w:val="0"/>
        <w:keepLines w:val="0"/>
        <w:pageBreakBefore w:val="0"/>
        <w:kinsoku/>
        <w:wordWrap/>
        <w:overflowPunct/>
        <w:topLinePunct w:val="0"/>
        <w:autoSpaceDE/>
        <w:autoSpaceDN/>
        <w:bidi w:val="0"/>
        <w:adjustRightInd w:val="0"/>
        <w:snapToGrid w:val="0"/>
        <w:spacing w:line="360" w:lineRule="auto"/>
        <w:ind w:firstLine="320" w:firstLineChars="1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《技术指导原则（征求意见稿）》主要内容包括制定背景和法规依据、适用范围和基本原则；</w:t>
      </w:r>
      <w:r>
        <w:rPr>
          <w:rFonts w:hint="eastAsia" w:ascii="仿宋" w:hAnsi="仿宋" w:eastAsia="仿宋" w:cs="仿宋"/>
          <w:color w:val="000000" w:themeColor="text1"/>
          <w:sz w:val="32"/>
          <w:szCs w:val="32"/>
          <w:highlight w:val="none"/>
          <w14:textFill>
            <w14:solidFill>
              <w14:schemeClr w14:val="tx1"/>
            </w14:solidFill>
          </w14:textFill>
        </w:rPr>
        <w:t>受试物制备和质量控制、实验动物选择、染毒条件控制</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试验组别设置、观察与检测指标</w:t>
      </w:r>
      <w:r>
        <w:rPr>
          <w:rFonts w:hint="eastAsia" w:ascii="仿宋" w:hAnsi="仿宋" w:eastAsia="仿宋" w:cs="仿宋"/>
          <w:color w:val="000000" w:themeColor="text1"/>
          <w:sz w:val="32"/>
          <w:szCs w:val="32"/>
          <w:highlight w:val="none"/>
          <w14:textFill>
            <w14:solidFill>
              <w14:schemeClr w14:val="tx1"/>
            </w14:solidFill>
          </w14:textFill>
        </w:rPr>
        <w:t>；结果判定原则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参考文献；术语及释义；附录</w:t>
      </w:r>
      <w:r>
        <w:rPr>
          <w:rFonts w:hint="eastAsia" w:ascii="仿宋" w:hAnsi="仿宋" w:eastAsia="仿宋" w:cs="仿宋"/>
          <w:color w:val="000000" w:themeColor="text1"/>
          <w:sz w:val="32"/>
          <w:szCs w:val="32"/>
          <w:highlight w:val="none"/>
          <w14:textFill>
            <w14:solidFill>
              <w14:schemeClr w14:val="tx1"/>
            </w14:solidFill>
          </w14:textFill>
        </w:rPr>
        <w:t>等。</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六、</w:t>
      </w:r>
      <w:r>
        <w:rPr>
          <w:rFonts w:hint="eastAsia" w:ascii="仿宋" w:hAnsi="仿宋" w:eastAsia="仿宋" w:cs="仿宋"/>
          <w:b/>
          <w:color w:val="000000" w:themeColor="text1"/>
          <w:sz w:val="32"/>
          <w:szCs w:val="32"/>
          <w:highlight w:val="none"/>
          <w14:textFill>
            <w14:solidFill>
              <w14:schemeClr w14:val="tx1"/>
            </w14:solidFill>
          </w14:textFill>
        </w:rPr>
        <w:t>需要说明的问题</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关于《急性吸入毒性试验</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急性毒性分类法》适用范围的问题</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参考</w:t>
      </w:r>
      <w:r>
        <w:rPr>
          <w:rFonts w:hint="default" w:ascii="Times New Roman" w:hAnsi="Times New Roman" w:eastAsia="仿宋" w:cs="Times New Roman"/>
          <w:color w:val="000000" w:themeColor="text1"/>
          <w:sz w:val="32"/>
          <w:szCs w:val="32"/>
          <w:highlight w:val="none"/>
          <w14:textFill>
            <w14:solidFill>
              <w14:schemeClr w14:val="tx1"/>
            </w14:solidFill>
          </w14:textFill>
        </w:rPr>
        <w:t>OECD</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试验导则</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NO.436（2009）《急性吸入毒性试验：急性毒性分类法》、中华人民共和国国家标准《化学品 </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急性吸入毒性试验-急</w:t>
      </w:r>
      <w:r>
        <w:rPr>
          <w:rFonts w:hint="default" w:ascii="Times New Roman" w:hAnsi="Times New Roman" w:eastAsia="仿宋" w:cs="Times New Roman"/>
          <w:color w:val="000000" w:themeColor="text1"/>
          <w:sz w:val="32"/>
          <w:szCs w:val="32"/>
          <w:highlight w:val="none"/>
          <w14:textFill>
            <w14:solidFill>
              <w14:schemeClr w14:val="tx1"/>
            </w14:solidFill>
          </w14:textFill>
        </w:rPr>
        <w:t>性毒性分类法》GB/T 28648-2012</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适用范围均为“化学品”。经专家讨论，初步确定本导则中的方</w:t>
      </w:r>
      <w:r>
        <w:rPr>
          <w:rFonts w:hint="default" w:ascii="Times New Roman" w:hAnsi="Times New Roman" w:eastAsia="仿宋" w:cs="Times New Roman"/>
          <w:color w:val="000000" w:themeColor="text1"/>
          <w:sz w:val="32"/>
          <w:szCs w:val="32"/>
          <w:highlight w:val="none"/>
          <w14:textFill>
            <w14:solidFill>
              <w14:schemeClr w14:val="tx1"/>
            </w14:solidFill>
          </w14:textFill>
        </w:rPr>
        <w:t>法主要适用于</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化妆品</w:t>
      </w:r>
      <w:r>
        <w:rPr>
          <w:rFonts w:hint="default" w:ascii="Times New Roman" w:hAnsi="Times New Roman" w:eastAsia="仿宋" w:cs="Times New Roman"/>
          <w:color w:val="000000" w:themeColor="text1"/>
          <w:sz w:val="32"/>
          <w:szCs w:val="32"/>
          <w:highlight w:val="none"/>
          <w14:textFill>
            <w14:solidFill>
              <w14:schemeClr w14:val="tx1"/>
            </w14:solidFill>
          </w14:textFill>
        </w:rPr>
        <w:t>原料</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成分</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单一且结构</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较为明确的原料，如</w:t>
      </w:r>
      <w:bookmarkStart w:id="1" w:name="_GoBack"/>
      <w:bookmarkEnd w:id="1"/>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单一组分原料</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 w:cs="Times New Roman"/>
          <w:color w:val="000000" w:themeColor="text1"/>
          <w:sz w:val="32"/>
          <w:szCs w:val="32"/>
          <w:highlight w:val="none"/>
          <w14:textFill>
            <w14:solidFill>
              <w14:schemeClr w14:val="tx1"/>
            </w14:solidFill>
          </w14:textFill>
        </w:rPr>
        <w:t>急性</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吸入</w:t>
      </w:r>
      <w:r>
        <w:rPr>
          <w:rFonts w:hint="default" w:ascii="Times New Roman" w:hAnsi="Times New Roman" w:eastAsia="仿宋" w:cs="Times New Roman"/>
          <w:color w:val="000000" w:themeColor="text1"/>
          <w:sz w:val="32"/>
          <w:szCs w:val="32"/>
          <w:highlight w:val="none"/>
          <w14:textFill>
            <w14:solidFill>
              <w14:schemeClr w14:val="tx1"/>
            </w14:solidFill>
          </w14:textFill>
        </w:rPr>
        <w:t>毒性分类，该方法暂不适用于化妆品产品。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EFF32"/>
    <w:multiLevelType w:val="singleLevel"/>
    <w:tmpl w:val="D64EFF32"/>
    <w:lvl w:ilvl="0" w:tentative="0">
      <w:start w:val="2"/>
      <w:numFmt w:val="chineseCounting"/>
      <w:suff w:val="nothing"/>
      <w:lvlText w:val="%1、"/>
      <w:lvlJc w:val="left"/>
      <w:rPr>
        <w:rFonts w:hint="eastAsia"/>
      </w:rPr>
    </w:lvl>
  </w:abstractNum>
  <w:abstractNum w:abstractNumId="1">
    <w:nsid w:val="26A29B72"/>
    <w:multiLevelType w:val="singleLevel"/>
    <w:tmpl w:val="26A29B7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zA0NTJjZTE3ZmM3MGI4ZjQ4ZmZjZjg5OGZiOGEifQ=="/>
  </w:docVars>
  <w:rsids>
    <w:rsidRoot w:val="772652D2"/>
    <w:rsid w:val="00047358"/>
    <w:rsid w:val="000B5127"/>
    <w:rsid w:val="000C0B77"/>
    <w:rsid w:val="000C30D4"/>
    <w:rsid w:val="000E25A3"/>
    <w:rsid w:val="00133A6C"/>
    <w:rsid w:val="00157FD6"/>
    <w:rsid w:val="001644A8"/>
    <w:rsid w:val="00165448"/>
    <w:rsid w:val="001A5450"/>
    <w:rsid w:val="001E0733"/>
    <w:rsid w:val="00294CEF"/>
    <w:rsid w:val="002A51FA"/>
    <w:rsid w:val="003C468C"/>
    <w:rsid w:val="003D4DA9"/>
    <w:rsid w:val="00410C92"/>
    <w:rsid w:val="00495063"/>
    <w:rsid w:val="005159AE"/>
    <w:rsid w:val="005706DB"/>
    <w:rsid w:val="00596419"/>
    <w:rsid w:val="005A64E1"/>
    <w:rsid w:val="00605131"/>
    <w:rsid w:val="00625344"/>
    <w:rsid w:val="006765CC"/>
    <w:rsid w:val="00686D0B"/>
    <w:rsid w:val="006A3C88"/>
    <w:rsid w:val="006A58D0"/>
    <w:rsid w:val="006F78E2"/>
    <w:rsid w:val="00774443"/>
    <w:rsid w:val="007A758F"/>
    <w:rsid w:val="007B1A70"/>
    <w:rsid w:val="007D4509"/>
    <w:rsid w:val="0080586E"/>
    <w:rsid w:val="00816543"/>
    <w:rsid w:val="0088340F"/>
    <w:rsid w:val="008B70E7"/>
    <w:rsid w:val="008E3916"/>
    <w:rsid w:val="008F0EFA"/>
    <w:rsid w:val="008F6EB2"/>
    <w:rsid w:val="00A84A5C"/>
    <w:rsid w:val="00A94F40"/>
    <w:rsid w:val="00AA34B3"/>
    <w:rsid w:val="00B91704"/>
    <w:rsid w:val="00BC57CD"/>
    <w:rsid w:val="00C44FF1"/>
    <w:rsid w:val="00C87B26"/>
    <w:rsid w:val="00CA40F3"/>
    <w:rsid w:val="00CB3697"/>
    <w:rsid w:val="00CD3181"/>
    <w:rsid w:val="00D61F12"/>
    <w:rsid w:val="00DA4E12"/>
    <w:rsid w:val="00DF31FF"/>
    <w:rsid w:val="00DF77BD"/>
    <w:rsid w:val="00E208ED"/>
    <w:rsid w:val="00E30FAA"/>
    <w:rsid w:val="00E96E4A"/>
    <w:rsid w:val="00EC3F35"/>
    <w:rsid w:val="00F252B9"/>
    <w:rsid w:val="00F32153"/>
    <w:rsid w:val="00F61B04"/>
    <w:rsid w:val="01CB0F78"/>
    <w:rsid w:val="01FD23F6"/>
    <w:rsid w:val="023C2116"/>
    <w:rsid w:val="025130CD"/>
    <w:rsid w:val="02624152"/>
    <w:rsid w:val="02D5113B"/>
    <w:rsid w:val="03655B57"/>
    <w:rsid w:val="036E42B8"/>
    <w:rsid w:val="037D572F"/>
    <w:rsid w:val="03C6441F"/>
    <w:rsid w:val="040B66DE"/>
    <w:rsid w:val="040F5AE1"/>
    <w:rsid w:val="04421903"/>
    <w:rsid w:val="048C5A1D"/>
    <w:rsid w:val="057E5747"/>
    <w:rsid w:val="05DD246D"/>
    <w:rsid w:val="067C2ABC"/>
    <w:rsid w:val="06B4072D"/>
    <w:rsid w:val="06D46E8A"/>
    <w:rsid w:val="070677A2"/>
    <w:rsid w:val="07AF3996"/>
    <w:rsid w:val="07C03DF5"/>
    <w:rsid w:val="07FA6D1B"/>
    <w:rsid w:val="08274D71"/>
    <w:rsid w:val="082A4C62"/>
    <w:rsid w:val="08316AA1"/>
    <w:rsid w:val="085A0E45"/>
    <w:rsid w:val="0869623A"/>
    <w:rsid w:val="08B37E08"/>
    <w:rsid w:val="08D5567E"/>
    <w:rsid w:val="09150170"/>
    <w:rsid w:val="0997754E"/>
    <w:rsid w:val="0998469B"/>
    <w:rsid w:val="0A216696"/>
    <w:rsid w:val="0A60541B"/>
    <w:rsid w:val="0AEE75C3"/>
    <w:rsid w:val="0B216DBD"/>
    <w:rsid w:val="0B3D575C"/>
    <w:rsid w:val="0B8213C1"/>
    <w:rsid w:val="0BFF5782"/>
    <w:rsid w:val="0C273A5D"/>
    <w:rsid w:val="0C685A7A"/>
    <w:rsid w:val="0C9078FD"/>
    <w:rsid w:val="0CC170B3"/>
    <w:rsid w:val="0CE57E5A"/>
    <w:rsid w:val="0D061EB3"/>
    <w:rsid w:val="0DA4527B"/>
    <w:rsid w:val="0DB67D34"/>
    <w:rsid w:val="0DC57BAE"/>
    <w:rsid w:val="0DF15987"/>
    <w:rsid w:val="0E2F10C9"/>
    <w:rsid w:val="0E9A3933"/>
    <w:rsid w:val="0F1D3ABF"/>
    <w:rsid w:val="0F3F1AA3"/>
    <w:rsid w:val="0F57704C"/>
    <w:rsid w:val="101C0036"/>
    <w:rsid w:val="107F7EB6"/>
    <w:rsid w:val="10EC7A09"/>
    <w:rsid w:val="110671EB"/>
    <w:rsid w:val="1134315E"/>
    <w:rsid w:val="119D06BE"/>
    <w:rsid w:val="11BF6559"/>
    <w:rsid w:val="12147F69"/>
    <w:rsid w:val="12445622"/>
    <w:rsid w:val="12766290"/>
    <w:rsid w:val="12A3059B"/>
    <w:rsid w:val="1302591A"/>
    <w:rsid w:val="130848A2"/>
    <w:rsid w:val="13E0137B"/>
    <w:rsid w:val="14DF4723"/>
    <w:rsid w:val="15F335E7"/>
    <w:rsid w:val="16023A61"/>
    <w:rsid w:val="164B613B"/>
    <w:rsid w:val="17CA1879"/>
    <w:rsid w:val="17E84BB2"/>
    <w:rsid w:val="182F3777"/>
    <w:rsid w:val="189866C8"/>
    <w:rsid w:val="19083AB2"/>
    <w:rsid w:val="1917583F"/>
    <w:rsid w:val="19241D0A"/>
    <w:rsid w:val="195B5257"/>
    <w:rsid w:val="197518F0"/>
    <w:rsid w:val="19FD4A34"/>
    <w:rsid w:val="1A01018F"/>
    <w:rsid w:val="1A321862"/>
    <w:rsid w:val="1A5832EE"/>
    <w:rsid w:val="1ADF0DD3"/>
    <w:rsid w:val="1AF06368"/>
    <w:rsid w:val="1B2F7EE3"/>
    <w:rsid w:val="1BBD091F"/>
    <w:rsid w:val="1BE13EE2"/>
    <w:rsid w:val="1BE42AD4"/>
    <w:rsid w:val="1C1C53D0"/>
    <w:rsid w:val="1C746B04"/>
    <w:rsid w:val="1D0F6E9D"/>
    <w:rsid w:val="1E0C3498"/>
    <w:rsid w:val="1E2C58E8"/>
    <w:rsid w:val="1E390005"/>
    <w:rsid w:val="1E7218B0"/>
    <w:rsid w:val="1E957931"/>
    <w:rsid w:val="1F6A2B6C"/>
    <w:rsid w:val="1F784B5D"/>
    <w:rsid w:val="1F8D22A9"/>
    <w:rsid w:val="1FF82DDD"/>
    <w:rsid w:val="202F7912"/>
    <w:rsid w:val="203647FC"/>
    <w:rsid w:val="217B23A3"/>
    <w:rsid w:val="21BA431D"/>
    <w:rsid w:val="227F4065"/>
    <w:rsid w:val="22B2027A"/>
    <w:rsid w:val="22CE16A0"/>
    <w:rsid w:val="236C180A"/>
    <w:rsid w:val="236E69A3"/>
    <w:rsid w:val="239017C6"/>
    <w:rsid w:val="23CB5BA3"/>
    <w:rsid w:val="23D63CD1"/>
    <w:rsid w:val="242170A2"/>
    <w:rsid w:val="243A03DE"/>
    <w:rsid w:val="24DF76D6"/>
    <w:rsid w:val="25617C25"/>
    <w:rsid w:val="258E0C37"/>
    <w:rsid w:val="261B2F3C"/>
    <w:rsid w:val="26B50445"/>
    <w:rsid w:val="26F40F6D"/>
    <w:rsid w:val="26F868E4"/>
    <w:rsid w:val="270311B0"/>
    <w:rsid w:val="27315D1D"/>
    <w:rsid w:val="273C77B9"/>
    <w:rsid w:val="27537B93"/>
    <w:rsid w:val="27935170"/>
    <w:rsid w:val="27AC1848"/>
    <w:rsid w:val="280E605F"/>
    <w:rsid w:val="286345E6"/>
    <w:rsid w:val="28A80261"/>
    <w:rsid w:val="28D56B7C"/>
    <w:rsid w:val="28FC05AD"/>
    <w:rsid w:val="297C434A"/>
    <w:rsid w:val="29F924A3"/>
    <w:rsid w:val="2A4D7312"/>
    <w:rsid w:val="2AA93CDE"/>
    <w:rsid w:val="2B0025D7"/>
    <w:rsid w:val="2B395AE8"/>
    <w:rsid w:val="2B532195"/>
    <w:rsid w:val="2BF2332E"/>
    <w:rsid w:val="2C491D5B"/>
    <w:rsid w:val="2C6F2782"/>
    <w:rsid w:val="2C9E3E55"/>
    <w:rsid w:val="2CA34747"/>
    <w:rsid w:val="2CDB6DF8"/>
    <w:rsid w:val="2CEF2903"/>
    <w:rsid w:val="2D410E5A"/>
    <w:rsid w:val="2D7D3228"/>
    <w:rsid w:val="2DF14458"/>
    <w:rsid w:val="2E275EF5"/>
    <w:rsid w:val="2EA17C2D"/>
    <w:rsid w:val="2EA360FA"/>
    <w:rsid w:val="2EE452D9"/>
    <w:rsid w:val="2EE77277"/>
    <w:rsid w:val="2F0C6614"/>
    <w:rsid w:val="2F807A1F"/>
    <w:rsid w:val="2FB44D63"/>
    <w:rsid w:val="2FDC1D90"/>
    <w:rsid w:val="30161F54"/>
    <w:rsid w:val="30274098"/>
    <w:rsid w:val="303C312D"/>
    <w:rsid w:val="305B1720"/>
    <w:rsid w:val="3069135E"/>
    <w:rsid w:val="31484367"/>
    <w:rsid w:val="31505F30"/>
    <w:rsid w:val="31B25CAD"/>
    <w:rsid w:val="31FF6DC2"/>
    <w:rsid w:val="32180206"/>
    <w:rsid w:val="32780CA4"/>
    <w:rsid w:val="32E14A9C"/>
    <w:rsid w:val="33294694"/>
    <w:rsid w:val="33E34843"/>
    <w:rsid w:val="340A6B94"/>
    <w:rsid w:val="34C8451A"/>
    <w:rsid w:val="35243365"/>
    <w:rsid w:val="35A95619"/>
    <w:rsid w:val="35F07C5A"/>
    <w:rsid w:val="366C4FC4"/>
    <w:rsid w:val="36AB79D7"/>
    <w:rsid w:val="37712166"/>
    <w:rsid w:val="37C254A8"/>
    <w:rsid w:val="383D41FD"/>
    <w:rsid w:val="388365F5"/>
    <w:rsid w:val="38A24CCD"/>
    <w:rsid w:val="38E21652"/>
    <w:rsid w:val="38E6798D"/>
    <w:rsid w:val="390D3926"/>
    <w:rsid w:val="3961128B"/>
    <w:rsid w:val="396D0A20"/>
    <w:rsid w:val="39A72EC5"/>
    <w:rsid w:val="39B20F40"/>
    <w:rsid w:val="39F1694C"/>
    <w:rsid w:val="3A4D2A17"/>
    <w:rsid w:val="3A971EE4"/>
    <w:rsid w:val="3AD4138A"/>
    <w:rsid w:val="3B034A35"/>
    <w:rsid w:val="3B0C28D2"/>
    <w:rsid w:val="3B614F44"/>
    <w:rsid w:val="3B846744"/>
    <w:rsid w:val="3BDB4052"/>
    <w:rsid w:val="3C484FA9"/>
    <w:rsid w:val="3C5C33E5"/>
    <w:rsid w:val="3C905E26"/>
    <w:rsid w:val="3D2A5291"/>
    <w:rsid w:val="3D346110"/>
    <w:rsid w:val="3D4611CB"/>
    <w:rsid w:val="3D793F1A"/>
    <w:rsid w:val="3DC47494"/>
    <w:rsid w:val="3DC6573E"/>
    <w:rsid w:val="3DD516A1"/>
    <w:rsid w:val="3DD701C8"/>
    <w:rsid w:val="3E2D328B"/>
    <w:rsid w:val="3E595FF5"/>
    <w:rsid w:val="3E9C2ACE"/>
    <w:rsid w:val="3EC040FF"/>
    <w:rsid w:val="3F112B3C"/>
    <w:rsid w:val="3F32042D"/>
    <w:rsid w:val="3F446ADE"/>
    <w:rsid w:val="3FC20A1F"/>
    <w:rsid w:val="410858E9"/>
    <w:rsid w:val="418E4360"/>
    <w:rsid w:val="419465F0"/>
    <w:rsid w:val="41B5779B"/>
    <w:rsid w:val="41C15678"/>
    <w:rsid w:val="42070B9A"/>
    <w:rsid w:val="42075BA1"/>
    <w:rsid w:val="42185BBC"/>
    <w:rsid w:val="425126CC"/>
    <w:rsid w:val="426B25D4"/>
    <w:rsid w:val="428D5E99"/>
    <w:rsid w:val="43495417"/>
    <w:rsid w:val="43AC1405"/>
    <w:rsid w:val="43C67856"/>
    <w:rsid w:val="43CE713A"/>
    <w:rsid w:val="43D146B8"/>
    <w:rsid w:val="44991EDC"/>
    <w:rsid w:val="453F419B"/>
    <w:rsid w:val="45A03FC7"/>
    <w:rsid w:val="463C6E4E"/>
    <w:rsid w:val="467C3575"/>
    <w:rsid w:val="477535AD"/>
    <w:rsid w:val="47855EE6"/>
    <w:rsid w:val="47AF00AC"/>
    <w:rsid w:val="47CC2509"/>
    <w:rsid w:val="482D3655"/>
    <w:rsid w:val="48A405ED"/>
    <w:rsid w:val="48C7608A"/>
    <w:rsid w:val="493F3E72"/>
    <w:rsid w:val="49B4660E"/>
    <w:rsid w:val="4A2A6383"/>
    <w:rsid w:val="4A6566DB"/>
    <w:rsid w:val="4A884CDB"/>
    <w:rsid w:val="4B691956"/>
    <w:rsid w:val="4BA46B58"/>
    <w:rsid w:val="4BCB2D04"/>
    <w:rsid w:val="4BCF5981"/>
    <w:rsid w:val="4C46595C"/>
    <w:rsid w:val="4CE06773"/>
    <w:rsid w:val="4CE924D7"/>
    <w:rsid w:val="4CEB2B5A"/>
    <w:rsid w:val="4D0D652B"/>
    <w:rsid w:val="4D803B16"/>
    <w:rsid w:val="4DA150FB"/>
    <w:rsid w:val="4DB253E2"/>
    <w:rsid w:val="4E094A4F"/>
    <w:rsid w:val="4E2147CA"/>
    <w:rsid w:val="4E8D1FA1"/>
    <w:rsid w:val="4EF1443B"/>
    <w:rsid w:val="4F3877A3"/>
    <w:rsid w:val="4F722AE8"/>
    <w:rsid w:val="4F9B0FDE"/>
    <w:rsid w:val="4FD33BA4"/>
    <w:rsid w:val="4FEF6B48"/>
    <w:rsid w:val="50936400"/>
    <w:rsid w:val="50F00BBC"/>
    <w:rsid w:val="50FB2D75"/>
    <w:rsid w:val="515F522B"/>
    <w:rsid w:val="51C65942"/>
    <w:rsid w:val="51F6353C"/>
    <w:rsid w:val="5200706D"/>
    <w:rsid w:val="52030371"/>
    <w:rsid w:val="52146C2F"/>
    <w:rsid w:val="524D13AE"/>
    <w:rsid w:val="52583F3C"/>
    <w:rsid w:val="52A00476"/>
    <w:rsid w:val="53AF6213"/>
    <w:rsid w:val="53E65C53"/>
    <w:rsid w:val="5449029B"/>
    <w:rsid w:val="54501629"/>
    <w:rsid w:val="545E35F5"/>
    <w:rsid w:val="54684BC5"/>
    <w:rsid w:val="54AE732D"/>
    <w:rsid w:val="551E6594"/>
    <w:rsid w:val="55283D6C"/>
    <w:rsid w:val="55986DE4"/>
    <w:rsid w:val="55E262B1"/>
    <w:rsid w:val="55F35EFF"/>
    <w:rsid w:val="562714B5"/>
    <w:rsid w:val="56A51FC7"/>
    <w:rsid w:val="56B07CBC"/>
    <w:rsid w:val="56CD0D0F"/>
    <w:rsid w:val="572511A2"/>
    <w:rsid w:val="57324157"/>
    <w:rsid w:val="57A4664F"/>
    <w:rsid w:val="57E9407F"/>
    <w:rsid w:val="58045E10"/>
    <w:rsid w:val="58767185"/>
    <w:rsid w:val="58F17717"/>
    <w:rsid w:val="59B14918"/>
    <w:rsid w:val="5A90262B"/>
    <w:rsid w:val="5A9B4A1E"/>
    <w:rsid w:val="5AFF3461"/>
    <w:rsid w:val="5B343554"/>
    <w:rsid w:val="5B3F7D02"/>
    <w:rsid w:val="5B445089"/>
    <w:rsid w:val="5B6F4A8B"/>
    <w:rsid w:val="5B7B389F"/>
    <w:rsid w:val="5BDC37A3"/>
    <w:rsid w:val="5C18535A"/>
    <w:rsid w:val="5C3929A3"/>
    <w:rsid w:val="5C39760B"/>
    <w:rsid w:val="5C3B72A3"/>
    <w:rsid w:val="5C6E1291"/>
    <w:rsid w:val="5C7F73A0"/>
    <w:rsid w:val="5CE87C69"/>
    <w:rsid w:val="5DC02587"/>
    <w:rsid w:val="5EAE58CA"/>
    <w:rsid w:val="5EF81210"/>
    <w:rsid w:val="5F2931A3"/>
    <w:rsid w:val="5F4678B1"/>
    <w:rsid w:val="606E3563"/>
    <w:rsid w:val="608E7761"/>
    <w:rsid w:val="60EA0710"/>
    <w:rsid w:val="60F64506"/>
    <w:rsid w:val="61123685"/>
    <w:rsid w:val="61447094"/>
    <w:rsid w:val="614E50FB"/>
    <w:rsid w:val="617A7CE6"/>
    <w:rsid w:val="618B3CA1"/>
    <w:rsid w:val="61C227A7"/>
    <w:rsid w:val="622E38B2"/>
    <w:rsid w:val="627D75CB"/>
    <w:rsid w:val="62985C5C"/>
    <w:rsid w:val="62E21FE6"/>
    <w:rsid w:val="631D1D66"/>
    <w:rsid w:val="63CC03F0"/>
    <w:rsid w:val="63E1229E"/>
    <w:rsid w:val="64283B72"/>
    <w:rsid w:val="642C0428"/>
    <w:rsid w:val="64C574CA"/>
    <w:rsid w:val="64F84345"/>
    <w:rsid w:val="651F62A0"/>
    <w:rsid w:val="65E013E2"/>
    <w:rsid w:val="65F029FD"/>
    <w:rsid w:val="6659611C"/>
    <w:rsid w:val="670047E9"/>
    <w:rsid w:val="67772E0A"/>
    <w:rsid w:val="67A57073"/>
    <w:rsid w:val="67B04461"/>
    <w:rsid w:val="67D85766"/>
    <w:rsid w:val="682A2347"/>
    <w:rsid w:val="6864524C"/>
    <w:rsid w:val="686B0388"/>
    <w:rsid w:val="69015F94"/>
    <w:rsid w:val="692C5576"/>
    <w:rsid w:val="69854A84"/>
    <w:rsid w:val="69DF4B8A"/>
    <w:rsid w:val="6A56272A"/>
    <w:rsid w:val="6A682DD1"/>
    <w:rsid w:val="6C0E5F5E"/>
    <w:rsid w:val="6C6628BD"/>
    <w:rsid w:val="6D5D6CA1"/>
    <w:rsid w:val="6D6B6067"/>
    <w:rsid w:val="6D8C327A"/>
    <w:rsid w:val="6DC24EEE"/>
    <w:rsid w:val="6DE408F5"/>
    <w:rsid w:val="6DE842C9"/>
    <w:rsid w:val="6E153F18"/>
    <w:rsid w:val="6E392AC2"/>
    <w:rsid w:val="6E7D2DA0"/>
    <w:rsid w:val="6E903125"/>
    <w:rsid w:val="6EBA7973"/>
    <w:rsid w:val="6F433349"/>
    <w:rsid w:val="704749F3"/>
    <w:rsid w:val="706769F6"/>
    <w:rsid w:val="70D05B49"/>
    <w:rsid w:val="70DE3AE6"/>
    <w:rsid w:val="710B1D0A"/>
    <w:rsid w:val="71D147B7"/>
    <w:rsid w:val="72026100"/>
    <w:rsid w:val="72883B4F"/>
    <w:rsid w:val="73133AF6"/>
    <w:rsid w:val="73266B94"/>
    <w:rsid w:val="736B748E"/>
    <w:rsid w:val="738D1AFA"/>
    <w:rsid w:val="73CF49E1"/>
    <w:rsid w:val="740D2C3B"/>
    <w:rsid w:val="74235FBB"/>
    <w:rsid w:val="7491561A"/>
    <w:rsid w:val="74B878BE"/>
    <w:rsid w:val="74F0564D"/>
    <w:rsid w:val="74FB0601"/>
    <w:rsid w:val="75023C1B"/>
    <w:rsid w:val="752263F0"/>
    <w:rsid w:val="75243D99"/>
    <w:rsid w:val="75DF2C54"/>
    <w:rsid w:val="76724FD8"/>
    <w:rsid w:val="76FF3F0A"/>
    <w:rsid w:val="770B20CF"/>
    <w:rsid w:val="772652D2"/>
    <w:rsid w:val="77420E4E"/>
    <w:rsid w:val="77880413"/>
    <w:rsid w:val="78121832"/>
    <w:rsid w:val="78323567"/>
    <w:rsid w:val="78917997"/>
    <w:rsid w:val="79FE105C"/>
    <w:rsid w:val="7A244526"/>
    <w:rsid w:val="7AD973D3"/>
    <w:rsid w:val="7B284E26"/>
    <w:rsid w:val="7BAB6FC2"/>
    <w:rsid w:val="7BE0283D"/>
    <w:rsid w:val="7BEF3F13"/>
    <w:rsid w:val="7BF24BF0"/>
    <w:rsid w:val="7C1D53CC"/>
    <w:rsid w:val="7C1F5441"/>
    <w:rsid w:val="7C8C5A43"/>
    <w:rsid w:val="7CCF49B2"/>
    <w:rsid w:val="7CD24A22"/>
    <w:rsid w:val="7D592214"/>
    <w:rsid w:val="7D6A489F"/>
    <w:rsid w:val="7EA2576A"/>
    <w:rsid w:val="7F0C47C9"/>
    <w:rsid w:val="7F160BF6"/>
    <w:rsid w:val="7F181DAB"/>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style>
  <w:style w:type="paragraph" w:styleId="7">
    <w:name w:val="toc 2"/>
    <w:basedOn w:val="1"/>
    <w:next w:val="1"/>
    <w:qFormat/>
    <w:uiPriority w:val="39"/>
    <w:pPr>
      <w:ind w:left="420" w:leftChars="200"/>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Emphasis"/>
    <w:basedOn w:val="10"/>
    <w:qFormat/>
    <w:uiPriority w:val="0"/>
    <w:rPr>
      <w:i/>
    </w:rPr>
  </w:style>
  <w:style w:type="character" w:styleId="12">
    <w:name w:val="Hyperlink"/>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批注框文本 Char"/>
    <w:basedOn w:val="10"/>
    <w:link w:val="3"/>
    <w:qFormat/>
    <w:uiPriority w:val="0"/>
    <w:rPr>
      <w:kern w:val="2"/>
      <w:sz w:val="18"/>
      <w:szCs w:val="18"/>
    </w:rPr>
  </w:style>
  <w:style w:type="character" w:customStyle="1" w:styleId="15">
    <w:name w:val="页眉 Char"/>
    <w:basedOn w:val="10"/>
    <w:link w:val="5"/>
    <w:qFormat/>
    <w:uiPriority w:val="0"/>
    <w:rPr>
      <w:kern w:val="2"/>
      <w:sz w:val="18"/>
      <w:szCs w:val="18"/>
    </w:rPr>
  </w:style>
  <w:style w:type="character" w:customStyle="1" w:styleId="16">
    <w:name w:val="页脚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1940</Words>
  <Characters>2099</Characters>
  <Lines>17</Lines>
  <Paragraphs>5</Paragraphs>
  <TotalTime>2</TotalTime>
  <ScaleCrop>false</ScaleCrop>
  <LinksUpToDate>false</LinksUpToDate>
  <CharactersWithSpaces>2117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2022-10-27T03:55:00Z</dcterms:created>
  <dc:creator>q'h't'f</dc:creator>
  <cp:lastModifiedBy>林铌</cp:lastModifiedBy>
  <dcterms:modified xsi:type="dcterms:W3CDTF">2023-02-23T01:12:48Z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E13C7F13689043D48AC6A3875E21B180</vt:lpwstr>
  </property>
</Properties>
</file>