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D5CAB" w:rsidP="00B40D57">
      <w:pPr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2D5CAB">
      <w:pPr>
        <w:spacing w:line="560" w:lineRule="exact"/>
        <w:jc w:val="center"/>
        <w:rPr>
          <w:rFonts w:ascii="黑体" w:eastAsia="黑体" w:hAnsi="华文仿宋" w:hint="eastAsia"/>
          <w:sz w:val="32"/>
          <w:szCs w:val="32"/>
        </w:rPr>
      </w:pPr>
    </w:p>
    <w:p w:rsidR="00000000" w:rsidRDefault="002D5CAB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胸腺肽注射剂</w:t>
      </w:r>
      <w:r>
        <w:rPr>
          <w:rFonts w:ascii="方正小标宋简体" w:eastAsia="方正小标宋简体" w:hAnsi="仿宋" w:hint="eastAsia"/>
          <w:sz w:val="44"/>
          <w:szCs w:val="44"/>
        </w:rPr>
        <w:t>说明书修订</w:t>
      </w:r>
      <w:r>
        <w:rPr>
          <w:rFonts w:ascii="方正小标宋简体" w:eastAsia="方正小标宋简体" w:hAnsi="仿宋" w:hint="eastAsia"/>
          <w:sz w:val="44"/>
          <w:szCs w:val="44"/>
        </w:rPr>
        <w:t>要求</w:t>
      </w:r>
    </w:p>
    <w:p w:rsidR="00000000" w:rsidRDefault="002D5CAB">
      <w:pPr>
        <w:spacing w:line="560" w:lineRule="exact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000000" w:rsidRDefault="00B40D57">
      <w:pPr>
        <w:overflowPunct w:val="0"/>
        <w:spacing w:line="56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86360</wp:posOffset>
                </wp:positionH>
                <wp:positionV relativeFrom="paragraph">
                  <wp:posOffset>432435</wp:posOffset>
                </wp:positionV>
                <wp:extent cx="5641340" cy="1539240"/>
                <wp:effectExtent l="20320" t="14605" r="15240" b="1778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40" cy="153924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0000" w:rsidRDefault="002D5CAB">
                            <w:pPr>
                              <w:spacing w:line="560" w:lineRule="exact"/>
                              <w:ind w:firstLineChars="200" w:firstLine="640"/>
                              <w:jc w:val="left"/>
                              <w:outlineLvl w:val="1"/>
                              <w:rPr>
                                <w:rFonts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仿宋_GB2312" w:hint="eastAsia"/>
                                <w:color w:val="000000"/>
                                <w:sz w:val="32"/>
                                <w:szCs w:val="32"/>
                              </w:rPr>
                      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.8pt;margin-top:34.05pt;width:444.2pt;height:121.2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" filled="f" strokeweight="2pt">
                <v:stroke joinstyle="round"/>
                <v:textbox style="mso-fit-shape-to-text:t">
                  <w:txbxContent>
                    <w:p w:rsidR="00000000" w:rsidRDefault="002D5CAB">
                      <w:pPr>
                        <w:spacing w:line="560" w:lineRule="exact"/>
                        <w:ind w:firstLineChars="200" w:firstLine="640"/>
                        <w:jc w:val="left"/>
                        <w:outlineLvl w:val="1"/>
                        <w:rPr>
                          <w:rFonts w:eastAsia="仿宋_GB2312"/>
                          <w:sz w:val="32"/>
                          <w:szCs w:val="32"/>
                        </w:rPr>
                      </w:pPr>
                      <w:r>
                        <w:rPr>
                          <w:rFonts w:eastAsia="仿宋_GB2312" w:hint="eastAsia"/>
                          <w:color w:val="000000"/>
                          <w:sz w:val="32"/>
                          <w:szCs w:val="32"/>
                        </w:rPr>
                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CAB">
        <w:rPr>
          <w:rFonts w:eastAsia="黑体"/>
          <w:color w:val="000000"/>
          <w:sz w:val="32"/>
          <w:szCs w:val="32"/>
        </w:rPr>
        <w:t>一、增加</w:t>
      </w:r>
      <w:r w:rsidR="002D5CAB">
        <w:rPr>
          <w:rFonts w:eastAsia="黑体" w:hint="eastAsia"/>
          <w:color w:val="000000"/>
          <w:sz w:val="32"/>
          <w:szCs w:val="32"/>
        </w:rPr>
        <w:t>黑框警告</w:t>
      </w:r>
    </w:p>
    <w:p w:rsidR="00000000" w:rsidRDefault="002D5CAB">
      <w:pPr>
        <w:spacing w:line="54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fldChar w:fldCharType="begin"/>
      </w:r>
      <w:r>
        <w:rPr>
          <w:rFonts w:ascii="黑体" w:eastAsia="黑体" w:hAnsi="黑体" w:cs="黑体" w:hint="eastAsia"/>
          <w:bCs/>
          <w:sz w:val="32"/>
          <w:szCs w:val="32"/>
        </w:rPr>
        <w:instrText>ADDIN CNKISM.UserStyle</w:instrText>
      </w:r>
      <w:r>
        <w:rPr>
          <w:rFonts w:ascii="黑体" w:eastAsia="黑体" w:hAnsi="黑体" w:cs="黑体" w:hint="eastAsia"/>
          <w:bCs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bCs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【不良反应】项</w:t>
      </w:r>
      <w:r>
        <w:rPr>
          <w:rFonts w:ascii="黑体" w:eastAsia="黑体" w:hAnsi="黑体" w:cs="黑体" w:hint="eastAsia"/>
          <w:sz w:val="32"/>
          <w:szCs w:val="32"/>
        </w:rPr>
        <w:t>下</w:t>
      </w:r>
      <w:r>
        <w:rPr>
          <w:rFonts w:ascii="黑体" w:eastAsia="黑体" w:hAnsi="黑体" w:cs="黑体" w:hint="eastAsia"/>
          <w:sz w:val="32"/>
          <w:szCs w:val="32"/>
        </w:rPr>
        <w:t>应包含</w:t>
      </w:r>
      <w:r>
        <w:rPr>
          <w:rFonts w:ascii="黑体" w:eastAsia="黑体" w:hAnsi="黑体" w:cs="黑体" w:hint="eastAsia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上市后监测中发现本品有以下不良反应报告（发生率未知）：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免疫系</w:t>
      </w:r>
      <w:r>
        <w:rPr>
          <w:rFonts w:ascii="仿宋_GB2312" w:eastAsia="仿宋_GB2312" w:hAnsi="仿宋" w:hint="eastAsia"/>
          <w:b/>
          <w:sz w:val="32"/>
          <w:szCs w:val="32"/>
        </w:rPr>
        <w:t>统：</w:t>
      </w:r>
      <w:r>
        <w:rPr>
          <w:rFonts w:ascii="仿宋_GB2312" w:eastAsia="仿宋_GB2312" w:hAnsi="仿宋" w:hint="eastAsia"/>
          <w:sz w:val="32"/>
          <w:szCs w:val="32"/>
        </w:rPr>
        <w:t>过敏反应、过敏性休克。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皮肤及皮下组织：</w:t>
      </w:r>
      <w:r>
        <w:rPr>
          <w:rFonts w:ascii="仿宋_GB2312" w:eastAsia="仿宋_GB2312" w:hint="eastAsia"/>
          <w:color w:val="000000"/>
          <w:sz w:val="32"/>
          <w:szCs w:val="32"/>
        </w:rPr>
        <w:t>皮疹、荨麻疹、斑丘疹、红斑、皮炎、瘙痒、多汗、皮肤肿胀、皮肤变色。</w:t>
      </w:r>
      <w:r>
        <w:rPr>
          <w:rFonts w:ascii="仿宋_GB2312" w:eastAsia="仿宋_GB2312"/>
          <w:color w:val="000000"/>
          <w:sz w:val="32"/>
          <w:szCs w:val="32"/>
        </w:rPr>
        <w:t xml:space="preserve"> 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全身性及给药部位反应：</w:t>
      </w:r>
      <w:r>
        <w:rPr>
          <w:rFonts w:ascii="仿宋_GB2312" w:eastAsia="仿宋_GB2312" w:hAnsi="仿宋" w:hint="eastAsia"/>
          <w:sz w:val="32"/>
          <w:szCs w:val="32"/>
        </w:rPr>
        <w:t>胸部不适、寒战、发热（高热）、疼痛、乏力、水肿、注射部位瘙痒、注射部位皮疹、注射部位肿胀。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呼吸系统：</w:t>
      </w:r>
      <w:r>
        <w:rPr>
          <w:rFonts w:ascii="仿宋_GB2312" w:eastAsia="仿宋_GB2312" w:hAnsi="仿宋" w:hint="eastAsia"/>
          <w:sz w:val="32"/>
          <w:szCs w:val="32"/>
        </w:rPr>
        <w:t>咳嗽、呼吸急促、呼吸困难、哮喘、喉水肿。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消化系统：</w:t>
      </w:r>
      <w:r>
        <w:rPr>
          <w:rFonts w:ascii="仿宋_GB2312" w:eastAsia="仿宋_GB2312" w:hAnsi="仿宋" w:hint="eastAsia"/>
          <w:sz w:val="32"/>
          <w:szCs w:val="32"/>
        </w:rPr>
        <w:t>恶心、呕吐、腹痛、腹部不适、腹泻、腹胀、口干、口麻木、肝酶升高。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心血管系统：</w:t>
      </w:r>
      <w:r>
        <w:rPr>
          <w:rFonts w:ascii="仿宋_GB2312" w:eastAsia="仿宋_GB2312" w:hAnsi="仿宋" w:hint="eastAsia"/>
          <w:sz w:val="32"/>
          <w:szCs w:val="32"/>
        </w:rPr>
        <w:t>心悸、心动过速、心律失常、血压降低、血压升高、潮红、发绀、苍白、静脉炎。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神经系统及精神类反应：</w:t>
      </w:r>
      <w:r>
        <w:rPr>
          <w:rFonts w:ascii="仿宋_GB2312" w:eastAsia="仿宋_GB2312" w:hAnsi="仿宋" w:hint="eastAsia"/>
          <w:sz w:val="32"/>
          <w:szCs w:val="32"/>
        </w:rPr>
        <w:t>头晕、头痛、感觉减退、震颤、意识模糊、晕厥、嗜睡</w:t>
      </w:r>
      <w:r>
        <w:rPr>
          <w:rFonts w:ascii="仿宋_GB2312" w:eastAsia="仿宋_GB2312" w:hAnsi="仿宋" w:hint="eastAsia"/>
          <w:sz w:val="32"/>
          <w:szCs w:val="32"/>
        </w:rPr>
        <w:t>、抽搐、烦躁不安。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肌肉骨骼：</w:t>
      </w:r>
      <w:r>
        <w:rPr>
          <w:rFonts w:ascii="仿宋_GB2312" w:eastAsia="仿宋_GB2312" w:hAnsi="仿宋" w:hint="eastAsia"/>
          <w:sz w:val="32"/>
          <w:szCs w:val="32"/>
        </w:rPr>
        <w:t>肌痛、背痛、骨痛、关节痛。</w:t>
      </w:r>
    </w:p>
    <w:p w:rsidR="00000000" w:rsidRDefault="002D5CAB">
      <w:pPr>
        <w:spacing w:line="460" w:lineRule="exact"/>
        <w:ind w:firstLineChars="200" w:firstLine="643"/>
        <w:outlineLvl w:val="1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其他</w:t>
      </w:r>
      <w:r>
        <w:rPr>
          <w:rFonts w:ascii="仿宋_GB2312" w:eastAsia="仿宋_GB2312" w:hAnsi="仿宋" w:hint="eastAsia"/>
          <w:sz w:val="32"/>
          <w:szCs w:val="32"/>
        </w:rPr>
        <w:t>：视觉损害、眩晕、尿失禁、食欲减退。</w:t>
      </w:r>
    </w:p>
    <w:p w:rsidR="00000000" w:rsidRDefault="002D5CAB">
      <w:pPr>
        <w:numPr>
          <w:ilvl w:val="0"/>
          <w:numId w:val="1"/>
        </w:numPr>
        <w:spacing w:line="460" w:lineRule="exact"/>
        <w:ind w:firstLineChars="200" w:firstLine="640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【禁忌】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 w:hint="eastAsia"/>
          <w:sz w:val="32"/>
          <w:szCs w:val="32"/>
        </w:rPr>
        <w:t>下</w:t>
      </w:r>
      <w:r>
        <w:rPr>
          <w:rFonts w:ascii="黑体" w:eastAsia="黑体" w:hAnsi="黑体" w:cs="黑体" w:hint="eastAsia"/>
          <w:sz w:val="32"/>
          <w:szCs w:val="32"/>
        </w:rPr>
        <w:t>应包含</w:t>
      </w:r>
      <w:r>
        <w:rPr>
          <w:rFonts w:ascii="黑体" w:eastAsia="黑体" w:hAnsi="黑体" w:cs="黑体" w:hint="eastAsia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kern w:val="0"/>
          <w:sz w:val="32"/>
          <w:szCs w:val="32"/>
        </w:rPr>
        <w:t>对本品过敏者禁用。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孕妇及哺乳期妇女禁用。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sz w:val="32"/>
          <w:szCs w:val="32"/>
          <w:highlight w:val="yellow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器官移植者禁用。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4. </w:t>
      </w:r>
      <w:r>
        <w:rPr>
          <w:rFonts w:eastAsia="仿宋_GB2312" w:hint="eastAsia"/>
          <w:color w:val="000000"/>
          <w:kern w:val="0"/>
          <w:sz w:val="32"/>
          <w:szCs w:val="32"/>
        </w:rPr>
        <w:t>胸腺功能亢进或胸腺肿瘤患者禁用。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四、【注意事项】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 w:hint="eastAsia"/>
          <w:sz w:val="32"/>
          <w:szCs w:val="32"/>
        </w:rPr>
        <w:t>下</w:t>
      </w:r>
      <w:r>
        <w:rPr>
          <w:rFonts w:ascii="黑体" w:eastAsia="黑体" w:hAnsi="黑体" w:cs="黑体" w:hint="eastAsia"/>
          <w:sz w:val="32"/>
          <w:szCs w:val="32"/>
        </w:rPr>
        <w:t>应包含</w:t>
      </w:r>
      <w:r>
        <w:rPr>
          <w:rFonts w:ascii="黑体" w:eastAsia="黑体" w:hAnsi="黑体" w:cs="黑体" w:hint="eastAsia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Chars="200" w:firstLine="640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1. </w:t>
      </w:r>
      <w:r>
        <w:rPr>
          <w:rFonts w:eastAsia="仿宋_GB2312" w:hint="eastAsia"/>
          <w:color w:val="000000"/>
          <w:kern w:val="0"/>
          <w:sz w:val="32"/>
          <w:szCs w:val="32"/>
        </w:rPr>
        <w:t>本品可致严重过敏反应（包括过敏性休克），严重者可导致死亡，建议在有抢救条件的医疗机构使用，用药前应仔细询问患者用药史和过敏史，用药过程中应对患者密切观察，一旦出现过敏反应或其他严重不良反应须立即停药并及时救治。</w:t>
      </w:r>
    </w:p>
    <w:p w:rsidR="00000000" w:rsidRDefault="002D5CAB">
      <w:pPr>
        <w:spacing w:line="460" w:lineRule="exac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2.</w:t>
      </w:r>
      <w:r>
        <w:rPr>
          <w:rFonts w:eastAsia="仿宋_GB2312" w:hint="eastAsia"/>
          <w:color w:val="000000"/>
          <w:kern w:val="0"/>
          <w:sz w:val="32"/>
          <w:szCs w:val="32"/>
        </w:rPr>
        <w:t xml:space="preserve"> </w:t>
      </w:r>
      <w:r>
        <w:rPr>
          <w:rFonts w:eastAsia="仿宋_GB2312" w:hint="eastAsia"/>
          <w:color w:val="000000"/>
          <w:kern w:val="0"/>
          <w:sz w:val="32"/>
          <w:szCs w:val="32"/>
        </w:rPr>
        <w:t>正在</w:t>
      </w:r>
      <w:r>
        <w:rPr>
          <w:rFonts w:eastAsia="仿宋_GB2312" w:hint="eastAsia"/>
          <w:color w:val="000000"/>
          <w:kern w:val="0"/>
          <w:sz w:val="32"/>
          <w:szCs w:val="32"/>
        </w:rPr>
        <w:t>接受免疫抑制治疗的患者应慎重使用本品。</w:t>
      </w:r>
    </w:p>
    <w:p w:rsidR="00000000" w:rsidRDefault="002D5CAB">
      <w:pPr>
        <w:spacing w:line="460" w:lineRule="exact"/>
        <w:ind w:firstLineChars="200" w:firstLine="640"/>
        <w:jc w:val="left"/>
        <w:outlineLvl w:val="1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等线" w:eastAsia="黑体" w:hAnsi="等线" w:hint="eastAsia"/>
          <w:sz w:val="32"/>
          <w:szCs w:val="32"/>
        </w:rPr>
        <w:t>【孕妇及哺乳期妇女用药】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 w:hint="eastAsia"/>
          <w:sz w:val="32"/>
          <w:szCs w:val="32"/>
        </w:rPr>
        <w:t>下</w:t>
      </w:r>
      <w:r>
        <w:rPr>
          <w:rFonts w:ascii="黑体" w:eastAsia="黑体" w:hAnsi="黑体" w:cs="黑体" w:hint="eastAsia"/>
          <w:sz w:val="32"/>
          <w:szCs w:val="32"/>
        </w:rPr>
        <w:t>应包含</w:t>
      </w:r>
      <w:r>
        <w:rPr>
          <w:rFonts w:ascii="黑体" w:eastAsia="黑体" w:hAnsi="黑体" w:cs="黑体" w:hint="eastAsia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Chars="200" w:firstLine="640"/>
        <w:jc w:val="left"/>
        <w:outlineLvl w:val="1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 w:hint="eastAsia"/>
          <w:color w:val="000000"/>
          <w:kern w:val="0"/>
          <w:sz w:val="32"/>
          <w:szCs w:val="32"/>
        </w:rPr>
        <w:t>孕妇及哺乳期妇女禁用。</w:t>
      </w:r>
    </w:p>
    <w:p w:rsidR="00000000" w:rsidRDefault="002D5CAB">
      <w:pPr>
        <w:spacing w:line="4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六、【老年用药】</w:t>
      </w:r>
      <w:r>
        <w:rPr>
          <w:rFonts w:ascii="黑体" w:eastAsia="黑体" w:hAnsi="黑体" w:cs="黑体" w:hint="eastAsia"/>
          <w:sz w:val="32"/>
          <w:szCs w:val="32"/>
        </w:rPr>
        <w:t>项</w:t>
      </w:r>
      <w:r>
        <w:rPr>
          <w:rFonts w:ascii="黑体" w:eastAsia="黑体" w:hAnsi="黑体" w:cs="黑体" w:hint="eastAsia"/>
          <w:sz w:val="32"/>
          <w:szCs w:val="32"/>
        </w:rPr>
        <w:t>下</w:t>
      </w:r>
      <w:r>
        <w:rPr>
          <w:rFonts w:ascii="黑体" w:eastAsia="黑体" w:hAnsi="黑体" w:cs="黑体" w:hint="eastAsia"/>
          <w:sz w:val="32"/>
          <w:szCs w:val="32"/>
        </w:rPr>
        <w:t>应包含</w:t>
      </w:r>
      <w:r>
        <w:rPr>
          <w:rFonts w:ascii="黑体" w:eastAsia="黑体" w:hAnsi="黑体" w:cs="黑体" w:hint="eastAsia"/>
          <w:sz w:val="32"/>
          <w:szCs w:val="32"/>
        </w:rPr>
        <w:t>以下内容</w:t>
      </w:r>
    </w:p>
    <w:p w:rsidR="00000000" w:rsidRDefault="002D5CAB">
      <w:pPr>
        <w:spacing w:line="4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老年患者应慎用本品。</w:t>
      </w:r>
    </w:p>
    <w:p w:rsidR="00000000" w:rsidRDefault="002D5CAB">
      <w:pPr>
        <w:tabs>
          <w:tab w:val="left" w:pos="1470"/>
          <w:tab w:val="left" w:pos="1680"/>
        </w:tabs>
        <w:spacing w:line="560" w:lineRule="exact"/>
        <w:rPr>
          <w:rFonts w:eastAsia="仿宋_GB2312"/>
          <w:sz w:val="32"/>
          <w:szCs w:val="32"/>
        </w:rPr>
      </w:pPr>
    </w:p>
    <w:p w:rsidR="00000000" w:rsidRDefault="002D5CA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注：如原批准说明书的安全性内容较本修订要求内容更全面或更严格的，应保留原批准内容。说明书其他内容如与上述修订要求不一致的，应当一并进行修订。</w:t>
      </w:r>
      <w:r>
        <w:rPr>
          <w:rFonts w:eastAsia="仿宋_GB2312"/>
          <w:sz w:val="32"/>
          <w:szCs w:val="32"/>
        </w:rPr>
        <w:t>）</w:t>
      </w:r>
    </w:p>
    <w:p w:rsidR="00000000" w:rsidRDefault="002D5CAB">
      <w:pPr>
        <w:spacing w:line="560" w:lineRule="exact"/>
        <w:ind w:firstLineChars="200" w:firstLine="640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2D5CAB">
      <w:pPr>
        <w:spacing w:line="240" w:lineRule="exact"/>
        <w:rPr>
          <w:rFonts w:ascii="仿宋_GB2312" w:eastAsia="仿宋_GB2312" w:hAnsi="仿宋" w:hint="eastAsia"/>
          <w:sz w:val="28"/>
          <w:szCs w:val="28"/>
        </w:rPr>
      </w:pPr>
    </w:p>
    <w:p w:rsidR="002D5CAB" w:rsidRDefault="002D5CAB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2D5CAB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AB" w:rsidRDefault="002D5CAB">
      <w:r>
        <w:separator/>
      </w:r>
    </w:p>
  </w:endnote>
  <w:endnote w:type="continuationSeparator" w:id="0">
    <w:p w:rsidR="002D5CAB" w:rsidRDefault="002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40D5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D5CAB">
                          <w:pPr>
                            <w:pStyle w:val="a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40D57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" filled="f" stroked="f">
              <v:textbox style="mso-fit-shape-to-text:t" inset="0,0,0,0">
                <w:txbxContent>
                  <w:p w:rsidR="00000000" w:rsidRDefault="002D5CAB">
                    <w:pPr>
                      <w:pStyle w:val="a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B40D57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AB" w:rsidRDefault="002D5CAB">
      <w:r>
        <w:separator/>
      </w:r>
    </w:p>
  </w:footnote>
  <w:footnote w:type="continuationSeparator" w:id="0">
    <w:p w:rsidR="002D5CAB" w:rsidRDefault="002D5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BA4D"/>
    <w:multiLevelType w:val="singleLevel"/>
    <w:tmpl w:val="5EACBA4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EBFDD408"/>
    <w:rsid w:val="EBFDD408"/>
    <w:rsid w:val="FFCB64F6"/>
    <w:rsid w:val="002D5CAB"/>
    <w:rsid w:val="00B40D57"/>
    <w:rsid w:val="00EA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6E2A9-8019-4A94-98CD-EF96A19C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majh</dc:creator>
  <cp:keywords/>
  <cp:lastModifiedBy>pc</cp:lastModifiedBy>
  <cp:revision>2</cp:revision>
  <dcterms:created xsi:type="dcterms:W3CDTF">2023-01-09T02:24:00Z</dcterms:created>
  <dcterms:modified xsi:type="dcterms:W3CDTF">2023-01-09T02:24:00Z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