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70" w:rsidRDefault="009E6570" w:rsidP="009E6570">
      <w:pPr>
        <w:rPr>
          <w:rFonts w:eastAsia="黑体"/>
          <w:sz w:val="32"/>
          <w:szCs w:val="32"/>
        </w:rPr>
      </w:pPr>
      <w:r>
        <w:rPr>
          <w:rFonts w:eastAsia="黑体" w:hint="eastAsia"/>
          <w:sz w:val="32"/>
          <w:szCs w:val="32"/>
        </w:rPr>
        <w:t>附件</w:t>
      </w:r>
      <w:r>
        <w:rPr>
          <w:rFonts w:eastAsia="黑体"/>
          <w:sz w:val="32"/>
          <w:szCs w:val="32"/>
        </w:rPr>
        <w:t>2</w:t>
      </w:r>
    </w:p>
    <w:p w:rsidR="007603E6" w:rsidRDefault="007603E6" w:rsidP="009E6570">
      <w:pPr>
        <w:rPr>
          <w:rFonts w:eastAsia="黑体"/>
          <w:sz w:val="32"/>
          <w:szCs w:val="32"/>
        </w:rPr>
      </w:pPr>
    </w:p>
    <w:p w:rsidR="009E6570" w:rsidRDefault="009E6570" w:rsidP="009E6570">
      <w:pPr>
        <w:autoSpaceDE w:val="0"/>
        <w:autoSpaceDN w:val="0"/>
        <w:adjustRightInd w:val="0"/>
        <w:snapToGrid w:val="0"/>
        <w:spacing w:line="360" w:lineRule="auto"/>
        <w:jc w:val="center"/>
        <w:rPr>
          <w:rFonts w:eastAsia="方正小标宋简体"/>
          <w:bCs/>
          <w:kern w:val="0"/>
          <w:sz w:val="36"/>
          <w:szCs w:val="36"/>
          <w:lang w:val="zh-CN"/>
        </w:rPr>
      </w:pPr>
      <w:r>
        <w:rPr>
          <w:rFonts w:eastAsia="方正小标宋简体" w:hint="eastAsia"/>
          <w:bCs/>
          <w:kern w:val="0"/>
          <w:sz w:val="36"/>
          <w:szCs w:val="36"/>
          <w:lang w:val="zh-CN"/>
        </w:rPr>
        <w:t>同名同方药研究技术指导原则（征求意见稿）</w:t>
      </w:r>
    </w:p>
    <w:p w:rsidR="009E6570" w:rsidRDefault="009E6570" w:rsidP="009E6570">
      <w:pPr>
        <w:spacing w:line="360" w:lineRule="auto"/>
        <w:jc w:val="center"/>
        <w:rPr>
          <w:rFonts w:eastAsia="方正小标宋简体"/>
          <w:bCs/>
          <w:sz w:val="36"/>
          <w:szCs w:val="36"/>
        </w:rPr>
      </w:pPr>
      <w:r>
        <w:rPr>
          <w:rFonts w:eastAsia="方正小标宋简体" w:hint="eastAsia"/>
          <w:bCs/>
          <w:sz w:val="36"/>
          <w:szCs w:val="36"/>
        </w:rPr>
        <w:t>起草说明</w:t>
      </w:r>
    </w:p>
    <w:p w:rsidR="009E6570" w:rsidRDefault="009E6570" w:rsidP="009E6570">
      <w:pPr>
        <w:ind w:firstLineChars="200" w:firstLine="420"/>
        <w:rPr>
          <w:rFonts w:eastAsia="等线"/>
          <w:szCs w:val="20"/>
        </w:rPr>
      </w:pPr>
    </w:p>
    <w:p w:rsidR="009E6570" w:rsidRDefault="009E6570" w:rsidP="009E6570">
      <w:pPr>
        <w:spacing w:line="360" w:lineRule="auto"/>
        <w:ind w:firstLineChars="200" w:firstLine="640"/>
        <w:rPr>
          <w:rFonts w:eastAsia="黑体"/>
          <w:sz w:val="32"/>
          <w:szCs w:val="32"/>
        </w:rPr>
      </w:pPr>
      <w:r>
        <w:rPr>
          <w:rFonts w:eastAsia="黑体" w:hint="eastAsia"/>
          <w:sz w:val="32"/>
          <w:szCs w:val="32"/>
        </w:rPr>
        <w:t>一、起草目的</w:t>
      </w:r>
    </w:p>
    <w:p w:rsidR="009E6570" w:rsidRDefault="009E6570" w:rsidP="009E6570">
      <w:pPr>
        <w:spacing w:line="360" w:lineRule="auto"/>
        <w:ind w:firstLineChars="200" w:firstLine="640"/>
        <w:rPr>
          <w:rFonts w:eastAsia="仿宋_GB2312"/>
          <w:sz w:val="32"/>
          <w:szCs w:val="32"/>
        </w:rPr>
      </w:pPr>
      <w:r>
        <w:rPr>
          <w:rFonts w:eastAsia="仿宋_GB2312" w:hint="eastAsia"/>
          <w:sz w:val="32"/>
          <w:szCs w:val="32"/>
        </w:rPr>
        <w:t>根据《药品注册管理办法》（总局令第</w:t>
      </w:r>
      <w:r>
        <w:rPr>
          <w:rFonts w:eastAsia="仿宋_GB2312"/>
          <w:sz w:val="32"/>
          <w:szCs w:val="32"/>
        </w:rPr>
        <w:t>27</w:t>
      </w:r>
      <w:r>
        <w:rPr>
          <w:rFonts w:eastAsia="仿宋_GB2312" w:hint="eastAsia"/>
          <w:sz w:val="32"/>
          <w:szCs w:val="32"/>
        </w:rPr>
        <w:t>号）、《中药注册分类及申报资料要求》（</w:t>
      </w:r>
      <w:r>
        <w:rPr>
          <w:rFonts w:eastAsia="仿宋_GB2312"/>
          <w:sz w:val="32"/>
          <w:szCs w:val="32"/>
        </w:rPr>
        <w:t>2020</w:t>
      </w:r>
      <w:r>
        <w:rPr>
          <w:rFonts w:eastAsia="仿宋_GB2312" w:hint="eastAsia"/>
          <w:sz w:val="32"/>
          <w:szCs w:val="32"/>
        </w:rPr>
        <w:t>年第</w:t>
      </w:r>
      <w:r>
        <w:rPr>
          <w:rFonts w:eastAsia="仿宋_GB2312"/>
          <w:sz w:val="32"/>
          <w:szCs w:val="32"/>
        </w:rPr>
        <w:t>68</w:t>
      </w:r>
      <w:r>
        <w:rPr>
          <w:rFonts w:eastAsia="仿宋_GB2312" w:hint="eastAsia"/>
          <w:sz w:val="32"/>
          <w:szCs w:val="32"/>
        </w:rPr>
        <w:t>号）及政策解读，为促进中医药传承精华，守正创新，中药产业高质量发展，指导申请人开展同名同方药的研究，制定本指导原则。</w:t>
      </w:r>
    </w:p>
    <w:p w:rsidR="009E6570" w:rsidRDefault="009E6570" w:rsidP="009E6570">
      <w:pPr>
        <w:spacing w:line="360" w:lineRule="auto"/>
        <w:ind w:firstLineChars="200" w:firstLine="640"/>
        <w:rPr>
          <w:rFonts w:eastAsia="黑体"/>
          <w:bCs/>
          <w:sz w:val="32"/>
          <w:szCs w:val="32"/>
        </w:rPr>
      </w:pPr>
      <w:r>
        <w:rPr>
          <w:rFonts w:eastAsia="黑体" w:hint="eastAsia"/>
          <w:bCs/>
          <w:sz w:val="32"/>
          <w:szCs w:val="32"/>
        </w:rPr>
        <w:t>二、起草过程</w:t>
      </w:r>
    </w:p>
    <w:p w:rsidR="009E6570" w:rsidRDefault="009E6570" w:rsidP="009E6570">
      <w:pPr>
        <w:spacing w:line="360" w:lineRule="auto"/>
        <w:ind w:firstLineChars="200" w:firstLine="640"/>
        <w:rPr>
          <w:rFonts w:eastAsia="仿宋_GB2312"/>
          <w:sz w:val="32"/>
          <w:szCs w:val="32"/>
        </w:rPr>
      </w:pPr>
      <w:r>
        <w:rPr>
          <w:rFonts w:eastAsia="仿宋_GB2312"/>
          <w:sz w:val="32"/>
          <w:szCs w:val="32"/>
        </w:rPr>
        <w:t>2020</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23</w:t>
      </w:r>
      <w:r>
        <w:rPr>
          <w:rFonts w:eastAsia="仿宋_GB2312" w:hint="eastAsia"/>
          <w:sz w:val="32"/>
          <w:szCs w:val="32"/>
        </w:rPr>
        <w:t>日，</w:t>
      </w:r>
      <w:proofErr w:type="gramStart"/>
      <w:r>
        <w:rPr>
          <w:rFonts w:eastAsia="仿宋_GB2312" w:hint="eastAsia"/>
          <w:sz w:val="32"/>
          <w:szCs w:val="32"/>
        </w:rPr>
        <w:t>药审中心</w:t>
      </w:r>
      <w:proofErr w:type="gramEnd"/>
      <w:r>
        <w:rPr>
          <w:rFonts w:eastAsia="仿宋_GB2312" w:hint="eastAsia"/>
          <w:sz w:val="32"/>
          <w:szCs w:val="32"/>
        </w:rPr>
        <w:t>组织召开</w:t>
      </w:r>
      <w:r>
        <w:rPr>
          <w:rFonts w:eastAsia="仿宋_GB2312"/>
          <w:sz w:val="32"/>
          <w:szCs w:val="32"/>
        </w:rPr>
        <w:t>“</w:t>
      </w:r>
      <w:r>
        <w:rPr>
          <w:rFonts w:eastAsia="仿宋_GB2312" w:hint="eastAsia"/>
          <w:sz w:val="32"/>
          <w:szCs w:val="32"/>
        </w:rPr>
        <w:t>中药研发座谈会</w:t>
      </w:r>
      <w:r>
        <w:rPr>
          <w:rFonts w:eastAsia="仿宋_GB2312"/>
          <w:sz w:val="32"/>
          <w:szCs w:val="32"/>
        </w:rPr>
        <w:t>”</w:t>
      </w:r>
      <w:r>
        <w:rPr>
          <w:rFonts w:eastAsia="仿宋_GB2312" w:hint="eastAsia"/>
          <w:sz w:val="32"/>
          <w:szCs w:val="32"/>
        </w:rPr>
        <w:t>，邀请学界业界专家、学会协会代表参会，对同名同方药的技术要求进行研讨。</w:t>
      </w:r>
    </w:p>
    <w:p w:rsidR="009E6570" w:rsidRDefault="009E6570" w:rsidP="009E6570">
      <w:pPr>
        <w:spacing w:line="360" w:lineRule="auto"/>
        <w:ind w:firstLineChars="200" w:firstLine="640"/>
        <w:rPr>
          <w:rFonts w:eastAsia="仿宋_GB2312"/>
          <w:sz w:val="32"/>
          <w:szCs w:val="32"/>
        </w:rPr>
      </w:pPr>
      <w:r>
        <w:rPr>
          <w:rFonts w:eastAsia="仿宋_GB2312"/>
          <w:sz w:val="32"/>
          <w:szCs w:val="32"/>
        </w:rPr>
        <w:t>2021</w:t>
      </w:r>
      <w:r>
        <w:rPr>
          <w:rFonts w:eastAsia="仿宋_GB2312" w:hint="eastAsia"/>
          <w:sz w:val="32"/>
          <w:szCs w:val="32"/>
        </w:rPr>
        <w:t>年</w:t>
      </w:r>
      <w:r>
        <w:rPr>
          <w:rFonts w:eastAsia="仿宋_GB2312"/>
          <w:sz w:val="32"/>
          <w:szCs w:val="32"/>
        </w:rPr>
        <w:t>4</w:t>
      </w:r>
      <w:r>
        <w:rPr>
          <w:rFonts w:eastAsia="仿宋_GB2312" w:hint="eastAsia"/>
          <w:sz w:val="32"/>
          <w:szCs w:val="32"/>
        </w:rPr>
        <w:t>月，</w:t>
      </w:r>
      <w:proofErr w:type="gramStart"/>
      <w:r>
        <w:rPr>
          <w:rFonts w:eastAsia="仿宋_GB2312" w:hint="eastAsia"/>
          <w:sz w:val="32"/>
          <w:szCs w:val="32"/>
        </w:rPr>
        <w:t>药审中心</w:t>
      </w:r>
      <w:proofErr w:type="gramEnd"/>
      <w:r>
        <w:rPr>
          <w:rFonts w:eastAsia="仿宋_GB2312" w:hint="eastAsia"/>
          <w:sz w:val="32"/>
          <w:szCs w:val="32"/>
        </w:rPr>
        <w:t>成立《同名同方药研究技术指导原则》起草小组；</w:t>
      </w:r>
      <w:r>
        <w:rPr>
          <w:rFonts w:eastAsia="仿宋_GB2312"/>
          <w:sz w:val="32"/>
          <w:szCs w:val="32"/>
        </w:rPr>
        <w:t>10</w:t>
      </w:r>
      <w:r>
        <w:rPr>
          <w:rFonts w:eastAsia="仿宋_GB2312" w:hint="eastAsia"/>
          <w:sz w:val="32"/>
          <w:szCs w:val="32"/>
        </w:rPr>
        <w:t>月召开</w:t>
      </w:r>
      <w:r>
        <w:rPr>
          <w:rFonts w:eastAsia="仿宋_GB2312"/>
          <w:sz w:val="32"/>
          <w:szCs w:val="32"/>
        </w:rPr>
        <w:t>“</w:t>
      </w:r>
      <w:r>
        <w:rPr>
          <w:rFonts w:eastAsia="仿宋_GB2312" w:hint="eastAsia"/>
          <w:sz w:val="32"/>
          <w:szCs w:val="32"/>
        </w:rPr>
        <w:t>同名同方药研讨会</w:t>
      </w:r>
      <w:r>
        <w:rPr>
          <w:rFonts w:eastAsia="仿宋_GB2312"/>
          <w:sz w:val="32"/>
          <w:szCs w:val="32"/>
        </w:rPr>
        <w:t>”</w:t>
      </w:r>
      <w:r>
        <w:rPr>
          <w:rFonts w:eastAsia="仿宋_GB2312" w:hint="eastAsia"/>
          <w:sz w:val="32"/>
          <w:szCs w:val="32"/>
        </w:rPr>
        <w:t>，广泛听取意见和建议。经中药民族药药学部、药理毒理学部和中药民族药临床</w:t>
      </w:r>
      <w:proofErr w:type="gramStart"/>
      <w:r>
        <w:rPr>
          <w:rFonts w:eastAsia="仿宋_GB2312" w:hint="eastAsia"/>
          <w:sz w:val="32"/>
          <w:szCs w:val="32"/>
        </w:rPr>
        <w:t>部多次</w:t>
      </w:r>
      <w:proofErr w:type="gramEnd"/>
      <w:r>
        <w:rPr>
          <w:rFonts w:eastAsia="仿宋_GB2312" w:hint="eastAsia"/>
          <w:sz w:val="32"/>
          <w:szCs w:val="32"/>
        </w:rPr>
        <w:t>综合讨论，</w:t>
      </w:r>
      <w:r>
        <w:rPr>
          <w:rFonts w:eastAsia="仿宋_GB2312"/>
          <w:sz w:val="32"/>
          <w:szCs w:val="32"/>
        </w:rPr>
        <w:t>2022</w:t>
      </w:r>
      <w:r>
        <w:rPr>
          <w:rFonts w:eastAsia="仿宋_GB2312" w:hint="eastAsia"/>
          <w:sz w:val="32"/>
          <w:szCs w:val="32"/>
        </w:rPr>
        <w:t>年</w:t>
      </w:r>
      <w:r>
        <w:rPr>
          <w:rFonts w:eastAsia="仿宋_GB2312"/>
          <w:sz w:val="32"/>
          <w:szCs w:val="32"/>
        </w:rPr>
        <w:t>3</w:t>
      </w:r>
      <w:r>
        <w:rPr>
          <w:rFonts w:eastAsia="仿宋_GB2312" w:hint="eastAsia"/>
          <w:sz w:val="32"/>
          <w:szCs w:val="32"/>
        </w:rPr>
        <w:t>月形成《同名同方药研究技术指导原则》（征求意见稿）。</w:t>
      </w:r>
      <w:r>
        <w:rPr>
          <w:rFonts w:eastAsia="仿宋_GB2312"/>
          <w:sz w:val="32"/>
          <w:szCs w:val="32"/>
        </w:rPr>
        <w:t xml:space="preserve"> </w:t>
      </w:r>
    </w:p>
    <w:p w:rsidR="009E6570" w:rsidRDefault="009E6570" w:rsidP="009E6570">
      <w:pPr>
        <w:spacing w:line="360" w:lineRule="auto"/>
        <w:ind w:firstLineChars="200" w:firstLine="640"/>
        <w:rPr>
          <w:sz w:val="32"/>
          <w:szCs w:val="32"/>
        </w:rPr>
      </w:pPr>
      <w:r>
        <w:rPr>
          <w:rFonts w:eastAsia="黑体" w:hint="eastAsia"/>
          <w:bCs/>
          <w:sz w:val="32"/>
          <w:szCs w:val="32"/>
        </w:rPr>
        <w:t>三、起草思路</w:t>
      </w:r>
    </w:p>
    <w:p w:rsidR="009E6570" w:rsidRDefault="009E6570" w:rsidP="009E6570">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同名同方药有效性、安全性、质量可控性应不低于同名同方</w:t>
      </w:r>
      <w:r w:rsidR="00796D5C">
        <w:rPr>
          <w:rFonts w:eastAsia="仿宋_GB2312" w:hint="eastAsia"/>
          <w:sz w:val="32"/>
          <w:szCs w:val="32"/>
        </w:rPr>
        <w:t>已上市</w:t>
      </w:r>
      <w:r w:rsidR="00796D5C">
        <w:rPr>
          <w:rFonts w:eastAsia="仿宋_GB2312" w:hint="eastAsia"/>
          <w:sz w:val="32"/>
          <w:szCs w:val="32"/>
        </w:rPr>
        <w:t>中</w:t>
      </w:r>
      <w:r>
        <w:rPr>
          <w:rFonts w:eastAsia="仿宋_GB2312" w:hint="eastAsia"/>
          <w:sz w:val="32"/>
          <w:szCs w:val="32"/>
        </w:rPr>
        <w:t>药，应符合现行技术要求。</w:t>
      </w:r>
    </w:p>
    <w:p w:rsidR="009E6570" w:rsidRDefault="009E6570" w:rsidP="009E6570">
      <w:pPr>
        <w:spacing w:line="360" w:lineRule="auto"/>
        <w:ind w:firstLineChars="200" w:firstLine="640"/>
        <w:rPr>
          <w:rFonts w:eastAsia="仿宋_GB2312"/>
          <w:sz w:val="32"/>
          <w:szCs w:val="32"/>
        </w:rPr>
      </w:pPr>
      <w:r>
        <w:rPr>
          <w:rFonts w:eastAsia="仿宋_GB2312"/>
          <w:sz w:val="32"/>
          <w:szCs w:val="32"/>
        </w:rPr>
        <w:lastRenderedPageBreak/>
        <w:t>2.</w:t>
      </w:r>
      <w:r>
        <w:rPr>
          <w:rFonts w:eastAsia="仿宋_GB2312" w:hint="eastAsia"/>
          <w:sz w:val="32"/>
          <w:szCs w:val="32"/>
        </w:rPr>
        <w:t>同名同方药的研发应以临床价值为导向，应对同名同方已上市中药的临床价值进行充分评估，临床价值应有充分的证据支持。鼓励运用新技术、新方法提升药品质量，避免低水平重复。</w:t>
      </w:r>
    </w:p>
    <w:p w:rsidR="009E6570" w:rsidRDefault="009E6570" w:rsidP="009E6570">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同名同方药的研发应选择合适的同名同方已上市中药作为对照药。明确对照</w:t>
      </w:r>
      <w:proofErr w:type="gramStart"/>
      <w:r>
        <w:rPr>
          <w:rFonts w:eastAsia="仿宋_GB2312" w:hint="eastAsia"/>
          <w:sz w:val="32"/>
          <w:szCs w:val="32"/>
        </w:rPr>
        <w:t>药选择</w:t>
      </w:r>
      <w:proofErr w:type="gramEnd"/>
      <w:r>
        <w:rPr>
          <w:rFonts w:eastAsia="仿宋_GB2312" w:hint="eastAsia"/>
          <w:sz w:val="32"/>
          <w:szCs w:val="32"/>
        </w:rPr>
        <w:t>的一般要求。</w:t>
      </w:r>
      <w:r>
        <w:rPr>
          <w:rFonts w:eastAsia="仿宋_GB2312"/>
          <w:sz w:val="32"/>
          <w:szCs w:val="32"/>
        </w:rPr>
        <w:t xml:space="preserve"> </w:t>
      </w:r>
    </w:p>
    <w:p w:rsidR="009E6570" w:rsidRDefault="009E6570" w:rsidP="009E6570">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明确是否开展临床研究及相应的非临床安全性评价的基本考虑。</w:t>
      </w:r>
    </w:p>
    <w:p w:rsidR="009E6570" w:rsidRDefault="009E6570" w:rsidP="009E6570">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同名同方药说明书中安全性信息、功能主治等应根据研究结果予以明确。</w:t>
      </w:r>
    </w:p>
    <w:p w:rsidR="009E6570" w:rsidRDefault="009E6570" w:rsidP="009E6570">
      <w:pPr>
        <w:spacing w:line="360" w:lineRule="auto"/>
        <w:ind w:firstLineChars="200" w:firstLine="640"/>
        <w:rPr>
          <w:rFonts w:eastAsia="黑体"/>
          <w:bCs/>
          <w:sz w:val="32"/>
          <w:szCs w:val="32"/>
        </w:rPr>
      </w:pPr>
      <w:r>
        <w:rPr>
          <w:rFonts w:eastAsia="黑体" w:hint="eastAsia"/>
          <w:bCs/>
          <w:sz w:val="32"/>
          <w:szCs w:val="32"/>
        </w:rPr>
        <w:t>四、需要说明的问题</w:t>
      </w:r>
    </w:p>
    <w:p w:rsidR="009E6570" w:rsidRDefault="009E6570" w:rsidP="009E6570">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在起草过程中对同名同方药、改良型新药、已上市中药变更的工艺变化及注册申报进行了讨论。明确同名同方药、改良型新药可根据研发目的和工艺变化情况进行相应研究。</w:t>
      </w:r>
    </w:p>
    <w:p w:rsidR="009E6570" w:rsidRDefault="009E6570" w:rsidP="009E6570">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强调应科学合理选择对照药。多家生产的，多个文号的，应选择有相应证据支持的品种作为对照药。</w:t>
      </w:r>
    </w:p>
    <w:p w:rsidR="009E6570" w:rsidRDefault="009E6570" w:rsidP="009E6570">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关于对同名同方</w:t>
      </w:r>
      <w:r w:rsidR="00796D5C">
        <w:rPr>
          <w:rFonts w:eastAsia="仿宋_GB2312" w:hint="eastAsia"/>
          <w:sz w:val="32"/>
          <w:szCs w:val="32"/>
        </w:rPr>
        <w:t>药生产工艺的考虑。同名同方药不能简单理解为原仿制药的概念。</w:t>
      </w:r>
      <w:r>
        <w:rPr>
          <w:rFonts w:eastAsia="仿宋_GB2312" w:hint="eastAsia"/>
          <w:sz w:val="32"/>
          <w:szCs w:val="32"/>
        </w:rPr>
        <w:t>同名同方药能否符合上市要求，关键是看其与所</w:t>
      </w:r>
      <w:r w:rsidR="00796D5C">
        <w:rPr>
          <w:rFonts w:eastAsia="仿宋_GB2312" w:hint="eastAsia"/>
          <w:sz w:val="32"/>
          <w:szCs w:val="32"/>
        </w:rPr>
        <w:t>选择</w:t>
      </w:r>
      <w:r w:rsidR="00796D5C">
        <w:rPr>
          <w:rFonts w:eastAsia="仿宋_GB2312"/>
          <w:sz w:val="32"/>
          <w:szCs w:val="32"/>
        </w:rPr>
        <w:t>对照</w:t>
      </w:r>
      <w:r w:rsidR="00796D5C">
        <w:rPr>
          <w:rFonts w:eastAsia="仿宋_GB2312" w:hint="eastAsia"/>
          <w:sz w:val="32"/>
          <w:szCs w:val="32"/>
        </w:rPr>
        <w:t>药</w:t>
      </w:r>
      <w:r>
        <w:rPr>
          <w:rFonts w:eastAsia="仿宋_GB2312" w:hint="eastAsia"/>
          <w:sz w:val="32"/>
          <w:szCs w:val="32"/>
        </w:rPr>
        <w:t>的比较研究结果如何，而不是比较两者质量标准之间的一致性。如果同名同方药与对照药的工艺路线一致，应研究明确前处理、提取纯化、浓缩干燥、制剂成型等工艺参数，工艺参数发生变化的，可参照《已上</w:t>
      </w:r>
      <w:r>
        <w:rPr>
          <w:rFonts w:eastAsia="仿宋_GB2312" w:hint="eastAsia"/>
          <w:sz w:val="32"/>
          <w:szCs w:val="32"/>
        </w:rPr>
        <w:lastRenderedPageBreak/>
        <w:t>市中药药学变更研究技术指导原则（试行）》进行评估。如果生产工艺发生明显改变或难以评估的，应参照《中药复方制剂生产工艺研究技术指导原则（试行）》开展生产工艺研究。</w:t>
      </w:r>
    </w:p>
    <w:p w:rsidR="009E6570" w:rsidRDefault="009E6570" w:rsidP="009E6570">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关于同名同方药质量研究。同名同方药应与所选择对照药的药材基原、药用部位、饮片炮制规格及炮制方法一致。</w:t>
      </w:r>
      <w:r>
        <w:rPr>
          <w:rFonts w:eastAsia="仿宋_GB2312"/>
          <w:sz w:val="32"/>
          <w:szCs w:val="32"/>
        </w:rPr>
        <w:t xml:space="preserve"> </w:t>
      </w:r>
      <w:r>
        <w:rPr>
          <w:rFonts w:eastAsia="仿宋_GB2312" w:hint="eastAsia"/>
          <w:sz w:val="32"/>
          <w:szCs w:val="32"/>
        </w:rPr>
        <w:t>应加强药材、饮片、中间体、制剂等全过程质量控制。参考同处方不同剂型品种质量标准的质量控制项目，参照中药新药质量研究及质量标准研究相关技术指导原则研究制定质量标准。</w:t>
      </w:r>
    </w:p>
    <w:p w:rsidR="009E6570" w:rsidRDefault="009E6570" w:rsidP="009E6570">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根据对照药的安全性信息、同名同方药</w:t>
      </w:r>
      <w:r w:rsidR="00796D5C">
        <w:rPr>
          <w:rFonts w:eastAsia="仿宋_GB2312" w:hint="eastAsia"/>
          <w:sz w:val="32"/>
          <w:szCs w:val="32"/>
        </w:rPr>
        <w:t>的</w:t>
      </w:r>
      <w:r w:rsidR="00796D5C">
        <w:rPr>
          <w:rFonts w:eastAsia="仿宋_GB2312"/>
          <w:sz w:val="32"/>
          <w:szCs w:val="32"/>
        </w:rPr>
        <w:t>药用</w:t>
      </w:r>
      <w:r>
        <w:rPr>
          <w:rFonts w:eastAsia="仿宋_GB2312" w:hint="eastAsia"/>
          <w:sz w:val="32"/>
          <w:szCs w:val="32"/>
        </w:rPr>
        <w:t>物质基础或吸收、利用变化等情况，进行相应的毒理研究。</w:t>
      </w:r>
    </w:p>
    <w:p w:rsidR="009E6570" w:rsidRDefault="009E6570" w:rsidP="009E6570">
      <w:pPr>
        <w:spacing w:line="360" w:lineRule="auto"/>
        <w:ind w:firstLineChars="200" w:firstLine="640"/>
        <w:rPr>
          <w:rFonts w:eastAsia="仿宋_GB2312"/>
          <w:sz w:val="32"/>
          <w:szCs w:val="32"/>
        </w:rPr>
      </w:pPr>
      <w:r>
        <w:rPr>
          <w:rFonts w:eastAsia="仿宋_GB2312"/>
          <w:sz w:val="32"/>
          <w:szCs w:val="32"/>
        </w:rPr>
        <w:t>6.</w:t>
      </w:r>
      <w:r>
        <w:rPr>
          <w:rFonts w:eastAsia="仿宋_GB2312" w:hint="eastAsia"/>
          <w:sz w:val="32"/>
          <w:szCs w:val="32"/>
        </w:rPr>
        <w:t>临床方面，根据是否能提供对照</w:t>
      </w:r>
      <w:proofErr w:type="gramStart"/>
      <w:r>
        <w:rPr>
          <w:rFonts w:eastAsia="仿宋_GB2312" w:hint="eastAsia"/>
          <w:sz w:val="32"/>
          <w:szCs w:val="32"/>
        </w:rPr>
        <w:t>药充分</w:t>
      </w:r>
      <w:proofErr w:type="gramEnd"/>
      <w:r>
        <w:rPr>
          <w:rFonts w:eastAsia="仿宋_GB2312" w:hint="eastAsia"/>
          <w:sz w:val="32"/>
          <w:szCs w:val="32"/>
        </w:rPr>
        <w:t>的有效性、安全性证据，以及药用物质基础或吸收、利用与对照药相比是否发生明显改变两个因素，提出了不同的临床试验要求。并明确了说明书临床有效性和安全性内容撰写的具体原则。</w:t>
      </w:r>
    </w:p>
    <w:p w:rsidR="00FF1E0C" w:rsidRDefault="009E6570" w:rsidP="00796D5C">
      <w:pPr>
        <w:ind w:firstLineChars="200" w:firstLine="640"/>
      </w:pPr>
      <w:r>
        <w:rPr>
          <w:rFonts w:eastAsia="仿宋_GB2312"/>
          <w:kern w:val="0"/>
          <w:sz w:val="32"/>
          <w:szCs w:val="32"/>
        </w:rPr>
        <w:t>7.</w:t>
      </w:r>
      <w:r>
        <w:rPr>
          <w:rFonts w:eastAsia="仿宋_GB2312" w:hint="eastAsia"/>
          <w:kern w:val="0"/>
          <w:sz w:val="32"/>
          <w:szCs w:val="32"/>
        </w:rPr>
        <w:t>本指导原则不适</w:t>
      </w:r>
      <w:bookmarkStart w:id="0" w:name="_GoBack"/>
      <w:bookmarkEnd w:id="0"/>
      <w:r>
        <w:rPr>
          <w:rFonts w:eastAsia="仿宋_GB2312" w:hint="eastAsia"/>
          <w:kern w:val="0"/>
          <w:sz w:val="32"/>
          <w:szCs w:val="32"/>
        </w:rPr>
        <w:t>用于中药注射剂、中西复方制剂。</w:t>
      </w:r>
    </w:p>
    <w:sectPr w:rsidR="00FF1E0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B0" w:rsidRDefault="009532B0" w:rsidP="009E6570">
      <w:r>
        <w:separator/>
      </w:r>
    </w:p>
  </w:endnote>
  <w:endnote w:type="continuationSeparator" w:id="0">
    <w:p w:rsidR="009532B0" w:rsidRDefault="009532B0" w:rsidP="009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99236"/>
      <w:docPartObj>
        <w:docPartGallery w:val="Page Numbers (Bottom of Page)"/>
        <w:docPartUnique/>
      </w:docPartObj>
    </w:sdtPr>
    <w:sdtEndPr/>
    <w:sdtContent>
      <w:p w:rsidR="009E6570" w:rsidRDefault="009E6570">
        <w:pPr>
          <w:pStyle w:val="a5"/>
          <w:jc w:val="center"/>
        </w:pPr>
        <w:r>
          <w:fldChar w:fldCharType="begin"/>
        </w:r>
        <w:r>
          <w:instrText>PAGE   \* MERGEFORMAT</w:instrText>
        </w:r>
        <w:r>
          <w:fldChar w:fldCharType="separate"/>
        </w:r>
        <w:r w:rsidR="00796D5C" w:rsidRPr="00796D5C">
          <w:rPr>
            <w:noProof/>
            <w:lang w:val="zh-CN"/>
          </w:rPr>
          <w:t>2</w:t>
        </w:r>
        <w:r>
          <w:fldChar w:fldCharType="end"/>
        </w:r>
      </w:p>
    </w:sdtContent>
  </w:sdt>
  <w:p w:rsidR="009E6570" w:rsidRDefault="009E657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B0" w:rsidRDefault="009532B0" w:rsidP="009E6570">
      <w:r>
        <w:separator/>
      </w:r>
    </w:p>
  </w:footnote>
  <w:footnote w:type="continuationSeparator" w:id="0">
    <w:p w:rsidR="009532B0" w:rsidRDefault="009532B0" w:rsidP="009E6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0"/>
    <w:rsid w:val="000951B9"/>
    <w:rsid w:val="00137095"/>
    <w:rsid w:val="00187F9D"/>
    <w:rsid w:val="001D1E33"/>
    <w:rsid w:val="001F026A"/>
    <w:rsid w:val="00261D2B"/>
    <w:rsid w:val="002A2624"/>
    <w:rsid w:val="00326121"/>
    <w:rsid w:val="00330A4B"/>
    <w:rsid w:val="0035420B"/>
    <w:rsid w:val="003A553B"/>
    <w:rsid w:val="003D6E1F"/>
    <w:rsid w:val="00430F23"/>
    <w:rsid w:val="00437DE2"/>
    <w:rsid w:val="00465C90"/>
    <w:rsid w:val="00470E72"/>
    <w:rsid w:val="0047671C"/>
    <w:rsid w:val="004B1D40"/>
    <w:rsid w:val="00507BD5"/>
    <w:rsid w:val="0051113A"/>
    <w:rsid w:val="005F1592"/>
    <w:rsid w:val="006110E9"/>
    <w:rsid w:val="00673CE6"/>
    <w:rsid w:val="00692175"/>
    <w:rsid w:val="00734D37"/>
    <w:rsid w:val="00740EF4"/>
    <w:rsid w:val="007603E6"/>
    <w:rsid w:val="00796D5C"/>
    <w:rsid w:val="007E2D7B"/>
    <w:rsid w:val="00814C49"/>
    <w:rsid w:val="00863560"/>
    <w:rsid w:val="00890FC1"/>
    <w:rsid w:val="008E427B"/>
    <w:rsid w:val="009532B0"/>
    <w:rsid w:val="00993EE5"/>
    <w:rsid w:val="009E217C"/>
    <w:rsid w:val="009E6570"/>
    <w:rsid w:val="00AF599D"/>
    <w:rsid w:val="00B72F8F"/>
    <w:rsid w:val="00B86D32"/>
    <w:rsid w:val="00C8379D"/>
    <w:rsid w:val="00C90863"/>
    <w:rsid w:val="00CB79AA"/>
    <w:rsid w:val="00CD64B6"/>
    <w:rsid w:val="00D14E02"/>
    <w:rsid w:val="00D16825"/>
    <w:rsid w:val="00D22FE7"/>
    <w:rsid w:val="00D65296"/>
    <w:rsid w:val="00DB5673"/>
    <w:rsid w:val="00DB5848"/>
    <w:rsid w:val="00DF1179"/>
    <w:rsid w:val="00DF15E1"/>
    <w:rsid w:val="00E4036E"/>
    <w:rsid w:val="00F0327E"/>
    <w:rsid w:val="00F227CD"/>
    <w:rsid w:val="00F77C27"/>
    <w:rsid w:val="00FB5FA1"/>
    <w:rsid w:val="00FF1E0C"/>
    <w:rsid w:val="00FF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34D32"/>
  <w15:chartTrackingRefBased/>
  <w15:docId w15:val="{27C65877-AD0D-4DE6-8950-B2C95E85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5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5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6570"/>
    <w:rPr>
      <w:rFonts w:ascii="Times New Roman" w:eastAsia="宋体" w:hAnsi="Times New Roman" w:cs="Times New Roman"/>
      <w:sz w:val="18"/>
      <w:szCs w:val="18"/>
    </w:rPr>
  </w:style>
  <w:style w:type="paragraph" w:styleId="a5">
    <w:name w:val="footer"/>
    <w:basedOn w:val="a"/>
    <w:link w:val="a6"/>
    <w:uiPriority w:val="99"/>
    <w:unhideWhenUsed/>
    <w:rsid w:val="009E6570"/>
    <w:pPr>
      <w:tabs>
        <w:tab w:val="center" w:pos="4153"/>
        <w:tab w:val="right" w:pos="8306"/>
      </w:tabs>
      <w:snapToGrid w:val="0"/>
      <w:jc w:val="left"/>
    </w:pPr>
    <w:rPr>
      <w:sz w:val="18"/>
      <w:szCs w:val="18"/>
    </w:rPr>
  </w:style>
  <w:style w:type="character" w:customStyle="1" w:styleId="a6">
    <w:name w:val="页脚 字符"/>
    <w:basedOn w:val="a0"/>
    <w:link w:val="a5"/>
    <w:uiPriority w:val="99"/>
    <w:rsid w:val="009E65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王玲玲</dc:creator>
  <cp:keywords/>
  <dc:description/>
  <cp:lastModifiedBy>王玲玲</cp:lastModifiedBy>
  <cp:revision>4</cp:revision>
  <dcterms:created xsi:type="dcterms:W3CDTF">2022-03-11T01:15:00Z</dcterms:created>
  <dcterms:modified xsi:type="dcterms:W3CDTF">2022-03-11T03:25:00Z</dcterms:modified>
</cp:coreProperties>
</file>