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1</w:t>
      </w:r>
    </w:p>
    <w:p>
      <w:pPr>
        <w:adjustRightInd w:val="0"/>
        <w:snapToGrid w:val="0"/>
        <w:spacing w:line="120" w:lineRule="auto"/>
        <w:rPr>
          <w:rFonts w:ascii="宋体" w:hAnsi="宋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16" w:lineRule="auto"/>
        <w:jc w:val="center"/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</w:rPr>
      </w:pPr>
      <w:r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</w:rPr>
        <w:t>改善就医感受提升患者体验评估指标</w:t>
      </w:r>
    </w:p>
    <w:p>
      <w:pPr>
        <w:adjustRightInd w:val="0"/>
        <w:snapToGrid w:val="0"/>
        <w:spacing w:line="216" w:lineRule="auto"/>
        <w:jc w:val="center"/>
        <w:rPr>
          <w:rFonts w:hint="eastAsia" w:ascii="黑体" w:hAnsi="黑体" w:eastAsia="黑体"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/>
          <w:snapToGrid w:val="0"/>
          <w:kern w:val="0"/>
          <w:sz w:val="30"/>
          <w:szCs w:val="30"/>
        </w:rPr>
        <w:t>（试行）</w:t>
      </w:r>
    </w:p>
    <w:p>
      <w:pPr>
        <w:adjustRightInd w:val="0"/>
        <w:snapToGrid w:val="0"/>
        <w:spacing w:line="120" w:lineRule="auto"/>
        <w:rPr>
          <w:rFonts w:ascii="宋体" w:hAnsi="宋体"/>
          <w:snapToGrid w:val="0"/>
          <w:kern w:val="0"/>
          <w:sz w:val="32"/>
          <w:szCs w:val="32"/>
        </w:rPr>
      </w:pPr>
    </w:p>
    <w:tbl>
      <w:tblPr>
        <w:tblStyle w:val="2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napToGrid w:val="0"/>
                <w:kern w:val="0"/>
                <w:sz w:val="24"/>
              </w:rPr>
              <w:t>维  度</w:t>
            </w: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napToGrid w:val="0"/>
                <w:kern w:val="0"/>
                <w:sz w:val="24"/>
              </w:rPr>
              <w:t>指 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诊前</w:t>
            </w: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门诊患者预约诊疗率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门诊号源下放比例▲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3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是否提供预就诊服务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4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择期手术患者术前等待时间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门诊</w:t>
            </w: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5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门诊患者预约到院后平均等待时间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6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门诊提供</w:t>
            </w:r>
            <w:r>
              <w:rPr>
                <w:snapToGrid w:val="0"/>
                <w:kern w:val="0"/>
                <w:sz w:val="24"/>
              </w:rPr>
              <w:t>MDT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服务的病种数▲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7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是否设置新型门诊(麻醉</w:t>
            </w: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疼痛</w:t>
            </w: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药学等)服务▲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8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是否开展“先诊疗</w:t>
            </w: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后付费”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急诊急救</w:t>
            </w: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9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snapToGrid w:val="0"/>
                <w:kern w:val="0"/>
                <w:sz w:val="24"/>
              </w:rPr>
              <w:t>120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呼叫反应时间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10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院前医疗急救</w:t>
            </w:r>
            <w:r>
              <w:rPr>
                <w:snapToGrid w:val="0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分钟出车率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是否设置急诊急救五大中心▲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12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急诊留观患者平均滞留时间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住院</w:t>
            </w: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13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日间手术占择期手术比例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14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临床路径入径率和出径率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15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中医医院以中医为主治疗的出院患者比例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16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分娩镇痛率＃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17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是否建立“一站式”入出院服务中心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18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开展责任制整体护理的病区占比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19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出院患者当日结算率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诊后</w:t>
            </w: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20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下转患者人次数(门急诊</w:t>
            </w: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住院)▲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21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出院患者随访比例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22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提供延续性护理服务的病区占比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全程</w:t>
            </w: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23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是否提供“互联网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+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护理服务”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24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是否提供加速康复外科服务▲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25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智慧医院建设分级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26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是否建成老年友善医疗机构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89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182" w:firstLineChars="76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27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．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是否建成残疾人友好医疗机构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snapToGrid w:val="0"/>
          <w:kern w:val="0"/>
          <w:sz w:val="24"/>
        </w:rPr>
      </w:pPr>
    </w:p>
    <w:p>
      <w:pPr>
        <w:adjustRightInd w:val="0"/>
        <w:snapToGrid w:val="0"/>
        <w:rPr>
          <w:rFonts w:ascii="宋体" w:hAnsi="宋体"/>
          <w:snapToGrid w:val="0"/>
          <w:kern w:val="0"/>
          <w:sz w:val="24"/>
        </w:rPr>
      </w:pPr>
      <w:r>
        <w:rPr>
          <w:rFonts w:hint="eastAsia" w:ascii="黑体" w:hAnsi="黑体" w:eastAsia="黑体"/>
          <w:snapToGrid w:val="0"/>
          <w:kern w:val="0"/>
          <w:sz w:val="24"/>
        </w:rPr>
        <w:t>注：</w:t>
      </w:r>
      <w:r>
        <w:rPr>
          <w:snapToGrid w:val="0"/>
          <w:kern w:val="0"/>
          <w:sz w:val="24"/>
        </w:rPr>
        <w:t>1</w:t>
      </w:r>
      <w:r>
        <w:rPr>
          <w:rFonts w:ascii="宋体" w:hAnsi="宋体"/>
          <w:snapToGrid w:val="0"/>
          <w:kern w:val="0"/>
          <w:sz w:val="24"/>
        </w:rPr>
        <w:t>．</w:t>
      </w:r>
      <w:r>
        <w:rPr>
          <w:rFonts w:hint="eastAsia" w:ascii="宋体" w:hAnsi="宋体"/>
          <w:snapToGrid w:val="0"/>
          <w:kern w:val="0"/>
          <w:sz w:val="24"/>
        </w:rPr>
        <w:t>标注▲的指标适用于三级医院和医联体的牵头医院。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snapToGrid w:val="0"/>
          <w:kern w:val="0"/>
          <w:sz w:val="28"/>
          <w:szCs w:val="28"/>
        </w:rPr>
      </w:pPr>
      <w:r>
        <w:rPr>
          <w:snapToGrid w:val="0"/>
          <w:kern w:val="0"/>
          <w:sz w:val="24"/>
        </w:rPr>
        <w:t>2</w:t>
      </w:r>
      <w:r>
        <w:rPr>
          <w:rFonts w:ascii="宋体" w:hAnsi="宋体"/>
          <w:snapToGrid w:val="0"/>
          <w:kern w:val="0"/>
          <w:sz w:val="24"/>
        </w:rPr>
        <w:t>．</w:t>
      </w:r>
      <w:r>
        <w:rPr>
          <w:rFonts w:hint="eastAsia" w:ascii="宋体" w:hAnsi="宋体"/>
          <w:snapToGrid w:val="0"/>
          <w:kern w:val="0"/>
          <w:sz w:val="24"/>
        </w:rPr>
        <w:t>标注＃的指标适用于有产科的医疗机构。</w:t>
      </w:r>
    </w:p>
    <w:p>
      <w:pPr>
        <w:rPr>
          <w:rFonts w:ascii="宋体" w:hAnsi="宋体"/>
          <w:snapToGrid w:val="0"/>
          <w:kern w:val="0"/>
          <w:sz w:val="28"/>
          <w:szCs w:val="28"/>
        </w:rPr>
        <w:sectPr>
          <w:pgSz w:w="11906" w:h="16838"/>
          <w:pgMar w:top="2098" w:right="1474" w:bottom="1985" w:left="1588" w:header="851" w:footer="1304" w:gutter="0"/>
          <w:cols w:space="720" w:num="1"/>
          <w:docGrid w:linePitch="579" w:charSpace="21679"/>
        </w:sectPr>
      </w:pPr>
    </w:p>
    <w:p>
      <w:pPr>
        <w:adjustRightInd w:val="0"/>
        <w:snapToGrid w:val="0"/>
        <w:spacing w:line="192" w:lineRule="auto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附件2</w:t>
      </w:r>
    </w:p>
    <w:p>
      <w:pPr>
        <w:rPr>
          <w:rFonts w:hint="eastAsia" w:ascii="宋体" w:hAnsi="宋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16" w:lineRule="auto"/>
        <w:jc w:val="center"/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</w:rPr>
      </w:pPr>
      <w:r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</w:rPr>
        <w:t>“充分问诊</w:t>
      </w:r>
      <w:r>
        <w:rPr>
          <w:rFonts w:hint="eastAsia" w:ascii="方正小标宋_GBK" w:hAnsi="宋体" w:eastAsia="方正小标宋_GBK"/>
          <w:snapToGrid w:val="0"/>
          <w:spacing w:val="-60"/>
          <w:kern w:val="0"/>
          <w:sz w:val="40"/>
          <w:szCs w:val="40"/>
        </w:rPr>
        <w:t>”</w:t>
      </w:r>
      <w:r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</w:rPr>
        <w:t>试点单位名单</w:t>
      </w:r>
    </w:p>
    <w:p>
      <w:pPr>
        <w:rPr>
          <w:rFonts w:hint="eastAsia" w:ascii="宋体" w:hAnsi="宋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武汉市肺科医院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武汉市武昌医院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黄石市中心医院黄金山院区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黄石市妇幼保健院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阳新县人民医院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枣阳市第一人民医院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松滋市人民医院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宜昌市中心人民医院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郧西县人民医院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大悟县人民医院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钟祥市人民医院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鄂州市中医医院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麻城市人民医院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通山县妇幼保健院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广水市第一人民医院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曾都区中医医院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来凤县人民医院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仙桃市第四人民医院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潜江市人民医院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天门市口腔医院</w:t>
      </w:r>
    </w:p>
    <w:p>
      <w:pPr>
        <w:adjustRightInd w:val="0"/>
        <w:snapToGrid w:val="0"/>
        <w:ind w:left="6"/>
        <w:jc w:val="left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神农架林区人民医院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zdiMDg4Yjc3ZGQ4NGYxNzJmYmUxMjZkNTQyMjEifQ=="/>
  </w:docVars>
  <w:rsids>
    <w:rsidRoot w:val="00000000"/>
    <w:rsid w:val="24C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2023-09-25T06:55:09Z</dcterms:created>
  <dc:creator>Administrator</dc:creator>
  <cp:lastModifiedBy>德芬郡奶油</cp:lastModifiedBy>
  <dcterms:modified xsi:type="dcterms:W3CDTF">2023-09-25T06:55:22Z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2E46A973A43F42AC9149051D2D613917_12</vt:lpwstr>
  </property>
</Properties>
</file>