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val="0"/>
        <w:spacing w:after="312" w:afterLines="100" w:line="360" w:lineRule="auto"/>
        <w:textAlignment w:val="auto"/>
        <w:rPr>
          <w:rFonts w:hint="eastAsia" w:ascii="Times New Roman" w:hAnsi="Times New Roman" w:eastAsia="黑体"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t>3</w:t>
      </w:r>
    </w:p>
    <w:p>
      <w:pPr>
        <w:keepNext w:val="0"/>
        <w:keepLines w:val="0"/>
        <w:pageBreakBefore w:val="0"/>
        <w:widowControl w:val="0"/>
        <w:kinsoku/>
        <w:wordWrap/>
        <w:topLinePunct w:val="0"/>
        <w:bidi w:val="0"/>
        <w:snapToGrid w:val="0"/>
        <w:spacing w:after="312" w:afterLines="100" w:line="360" w:lineRule="auto"/>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p>
    <w:p>
      <w:pPr>
        <w:keepNext w:val="0"/>
        <w:keepLines w:val="0"/>
        <w:pageBreakBefore w:val="0"/>
        <w:widowControl w:val="0"/>
        <w:kinsoku/>
        <w:wordWrap/>
        <w:topLinePunct w:val="0"/>
        <w:bidi w:val="0"/>
        <w:adjustRightInd w:val="0"/>
        <w:snapToGrid w:val="0"/>
        <w:spacing w:line="360" w:lineRule="auto"/>
        <w:jc w:val="center"/>
        <w:textAlignment w:val="auto"/>
        <w:rPr>
          <w:rFonts w:hint="default" w:ascii="Times New Roman" w:hAnsi="Times New Roman" w:eastAsia="黑体" w:cs="Times New Roman"/>
          <w:color w:val="000000" w:themeColor="text1"/>
          <w:sz w:val="84"/>
          <w:szCs w:val="8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黑体" w:cs="Times New Roman"/>
          <w:b/>
          <w:bCs/>
          <w:color w:val="000000" w:themeColor="text1"/>
          <w:sz w:val="52"/>
          <w:szCs w:val="52"/>
          <w:highlight w:val="none"/>
          <w14:textFill>
            <w14:solidFill>
              <w14:schemeClr w14:val="tx1"/>
            </w14:solidFill>
          </w14:textFill>
        </w:rPr>
      </w:pPr>
      <w:r>
        <w:rPr>
          <w:rFonts w:hint="default" w:ascii="Times New Roman" w:hAnsi="Times New Roman" w:eastAsia="黑体" w:cs="Times New Roman"/>
          <w:b/>
          <w:bCs/>
          <w:color w:val="000000" w:themeColor="text1"/>
          <w:sz w:val="56"/>
          <w:szCs w:val="56"/>
          <w:highlight w:val="none"/>
          <w14:textFill>
            <w14:solidFill>
              <w14:schemeClr w14:val="tx1"/>
            </w14:solidFill>
          </w14:textFill>
        </w:rPr>
        <w:t>体外哺乳动物细胞</w:t>
      </w:r>
      <w:r>
        <w:rPr>
          <w:rFonts w:hint="eastAsia" w:ascii="Times New Roman" w:hAnsi="Times New Roman" w:eastAsia="黑体" w:cs="Times New Roman"/>
          <w:b/>
          <w:bCs/>
          <w:color w:val="000000" w:themeColor="text1"/>
          <w:sz w:val="56"/>
          <w:szCs w:val="56"/>
          <w:highlight w:val="none"/>
          <w:lang w:val="en-US" w:eastAsia="zh-CN"/>
          <w14:textFill>
            <w14:solidFill>
              <w14:schemeClr w14:val="tx1"/>
            </w14:solidFill>
          </w14:textFill>
        </w:rPr>
        <w:t>基因突变</w:t>
      </w:r>
      <w:r>
        <w:rPr>
          <w:rFonts w:hint="default" w:ascii="Times New Roman" w:hAnsi="Times New Roman" w:eastAsia="黑体" w:cs="Times New Roman"/>
          <w:b/>
          <w:bCs/>
          <w:color w:val="000000" w:themeColor="text1"/>
          <w:sz w:val="56"/>
          <w:szCs w:val="56"/>
          <w:highlight w:val="none"/>
          <w14:textFill>
            <w14:solidFill>
              <w14:schemeClr w14:val="tx1"/>
            </w14:solidFill>
          </w14:textFill>
        </w:rPr>
        <w:t>试验技术指导原则</w:t>
      </w: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黑体" w:cs="Times New Roman"/>
          <w:b/>
          <w:bCs/>
          <w:color w:val="000000" w:themeColor="text1"/>
          <w:sz w:val="48"/>
          <w:szCs w:val="48"/>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黑体" w:cs="Times New Roman"/>
          <w:b/>
          <w:bCs/>
          <w:color w:val="000000" w:themeColor="text1"/>
          <w:sz w:val="48"/>
          <w:szCs w:val="48"/>
          <w:highlight w:val="none"/>
          <w14:textFill>
            <w14:solidFill>
              <w14:schemeClr w14:val="tx1"/>
            </w14:solidFill>
          </w14:textFill>
        </w:rPr>
      </w:pPr>
      <w:r>
        <w:rPr>
          <w:rFonts w:hint="default" w:ascii="Times New Roman" w:hAnsi="Times New Roman" w:eastAsia="黑体" w:cs="Times New Roman"/>
          <w:b/>
          <w:bCs/>
          <w:color w:val="000000" w:themeColor="text1"/>
          <w:sz w:val="48"/>
          <w:szCs w:val="48"/>
          <w:highlight w:val="none"/>
          <w14:textFill>
            <w14:solidFill>
              <w14:schemeClr w14:val="tx1"/>
            </w14:solidFill>
          </w14:textFill>
        </w:rPr>
        <w:t>（征求意见稿）</w:t>
      </w: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4"/>
          <w:szCs w:val="44"/>
          <w:highlight w:val="none"/>
          <w14:textFill>
            <w14:solidFill>
              <w14:schemeClr w14:val="tx1"/>
            </w14:solidFill>
          </w14:textFill>
        </w:rPr>
      </w:pPr>
      <w:r>
        <w:rPr>
          <w:rFonts w:hint="default" w:ascii="Times New Roman" w:hAnsi="Times New Roman" w:eastAsia="楷体" w:cs="Times New Roman"/>
          <w:color w:val="000000" w:themeColor="text1"/>
          <w:sz w:val="44"/>
          <w:szCs w:val="44"/>
          <w:highlight w:val="none"/>
          <w14:textFill>
            <w14:solidFill>
              <w14:schemeClr w14:val="tx1"/>
            </w14:solidFill>
          </w14:textFill>
        </w:rPr>
        <w:t>中国食品药品检定研究院</w:t>
      </w: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0"/>
          <w:szCs w:val="40"/>
          <w:highlight w:val="none"/>
          <w14:textFill>
            <w14:solidFill>
              <w14:schemeClr w14:val="tx1"/>
            </w14:solidFill>
          </w14:textFill>
        </w:rPr>
      </w:pPr>
      <w:r>
        <w:rPr>
          <w:rFonts w:hint="default" w:ascii="Times New Roman" w:hAnsi="Times New Roman" w:eastAsia="楷体" w:cs="Times New Roman"/>
          <w:color w:val="000000" w:themeColor="text1"/>
          <w:sz w:val="40"/>
          <w:szCs w:val="40"/>
          <w:highlight w:val="none"/>
          <w14:textFill>
            <w14:solidFill>
              <w14:schemeClr w14:val="tx1"/>
            </w14:solidFill>
          </w14:textFill>
        </w:rPr>
        <w:t>2023年2月</w:t>
      </w: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0"/>
          <w:szCs w:val="40"/>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0"/>
          <w:szCs w:val="40"/>
          <w:highlight w:val="none"/>
          <w14:textFill>
            <w14:solidFill>
              <w14:schemeClr w14:val="tx1"/>
            </w14:solidFill>
          </w14:textFill>
        </w:rPr>
      </w:pPr>
    </w:p>
    <w:p>
      <w:pPr>
        <w:keepNext w:val="0"/>
        <w:keepLines w:val="0"/>
        <w:pageBreakBefore w:val="0"/>
        <w:widowControl w:val="0"/>
        <w:kinsoku/>
        <w:wordWrap/>
        <w:topLinePunct w:val="0"/>
        <w:bidi w:val="0"/>
        <w:spacing w:line="360" w:lineRule="auto"/>
        <w:jc w:val="center"/>
        <w:textAlignment w:val="auto"/>
        <w:rPr>
          <w:rFonts w:hint="default" w:ascii="Times New Roman" w:hAnsi="Times New Roman" w:eastAsia="宋体" w:cs="Times New Roman"/>
          <w:color w:val="000000" w:themeColor="text1"/>
          <w:highlight w:val="none"/>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sdt>
      <w:sdtPr>
        <w:rPr>
          <w:rFonts w:hint="default" w:ascii="Times New Roman" w:hAnsi="Times New Roman" w:eastAsia="宋体" w:cs="Times New Roman"/>
          <w:color w:val="000000" w:themeColor="text1"/>
          <w:highlight w:val="none"/>
          <w14:textFill>
            <w14:solidFill>
              <w14:schemeClr w14:val="tx1"/>
            </w14:solidFill>
          </w14:textFill>
        </w:rPr>
        <w:id w:val="147463053"/>
        <w:docPartObj>
          <w:docPartGallery w:val="Table of Contents"/>
          <w:docPartUnique/>
        </w:docPartObj>
      </w:sdtPr>
      <w:sdtEndPr>
        <w:rPr>
          <w:rFonts w:hint="default" w:ascii="Times New Roman" w:hAnsi="Times New Roman" w:eastAsia="宋体" w:cs="Times New Roman"/>
          <w:color w:val="000000" w:themeColor="text1"/>
          <w:highlight w:val="none"/>
          <w14:textFill>
            <w14:solidFill>
              <w14:schemeClr w14:val="tx1"/>
            </w14:solidFill>
          </w14:textFill>
        </w:rPr>
      </w:sdtEndPr>
      <w:sdtContent>
        <w:p>
          <w:pPr>
            <w:keepNext w:val="0"/>
            <w:keepLines w:val="0"/>
            <w:pageBreakBefore w:val="0"/>
            <w:widowControl w:val="0"/>
            <w:kinsoku/>
            <w:wordWrap/>
            <w:topLinePunct w:val="0"/>
            <w:bidi w:val="0"/>
            <w:spacing w:line="360" w:lineRule="auto"/>
            <w:jc w:val="center"/>
            <w:textAlignment w:val="auto"/>
            <w:rPr>
              <w:rFonts w:hint="default" w:ascii="Times New Roman" w:hAnsi="Times New Roman" w:eastAsia="黑体" w:cs="Times New Roman"/>
              <w:color w:val="000000" w:themeColor="text1"/>
              <w:sz w:val="36"/>
              <w:szCs w:val="44"/>
              <w:highlight w:val="none"/>
              <w14:textFill>
                <w14:solidFill>
                  <w14:schemeClr w14:val="tx1"/>
                </w14:solidFill>
              </w14:textFill>
            </w:rPr>
          </w:pPr>
          <w:bookmarkStart w:id="22" w:name="_GoBack"/>
          <w:bookmarkEnd w:id="22"/>
          <w:r>
            <w:rPr>
              <w:rFonts w:hint="default" w:ascii="Times New Roman" w:hAnsi="Times New Roman" w:eastAsia="黑体" w:cs="Times New Roman"/>
              <w:color w:val="000000" w:themeColor="text1"/>
              <w:sz w:val="36"/>
              <w:szCs w:val="44"/>
              <w:highlight w:val="none"/>
              <w14:textFill>
                <w14:solidFill>
                  <w14:schemeClr w14:val="tx1"/>
                </w14:solidFill>
              </w14:textFill>
            </w:rPr>
            <w:t>目  录</w:t>
          </w:r>
        </w:p>
        <w:p>
          <w:pPr>
            <w:keepNext w:val="0"/>
            <w:keepLines w:val="0"/>
            <w:pageBreakBefore w:val="0"/>
            <w:widowControl w:val="0"/>
            <w:kinsoku/>
            <w:wordWrap/>
            <w:topLinePunct w:val="0"/>
            <w:bidi w:val="0"/>
            <w:spacing w:line="360" w:lineRule="auto"/>
            <w:jc w:val="center"/>
            <w:textAlignment w:val="auto"/>
            <w:rPr>
              <w:rFonts w:hint="default" w:ascii="Times New Roman" w:hAnsi="Times New Roman" w:eastAsia="黑体" w:cs="Times New Roman"/>
              <w:color w:val="000000" w:themeColor="text1"/>
              <w:sz w:val="36"/>
              <w:szCs w:val="44"/>
              <w:highlight w:val="none"/>
              <w14:textFill>
                <w14:solidFill>
                  <w14:schemeClr w14:val="tx1"/>
                </w14:solidFill>
              </w14:textFill>
            </w:rP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color w:val="000000" w:themeColor="text1"/>
              <w:sz w:val="28"/>
              <w:szCs w:val="28"/>
              <w:highlight w:val="none"/>
              <w14:textFill>
                <w14:solidFill>
                  <w14:schemeClr w14:val="tx1"/>
                </w14:solidFill>
              </w14:textFill>
            </w:rPr>
            <w:instrText xml:space="preserve">TOC \o "1-4" \h \u </w:instrText>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_Toc7546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bCs/>
              <w:sz w:val="28"/>
              <w:szCs w:val="28"/>
              <w:highlight w:val="none"/>
            </w:rPr>
            <w:t>一、概述</w:t>
          </w:r>
          <w:r>
            <w:rPr>
              <w:sz w:val="28"/>
              <w:szCs w:val="28"/>
            </w:rPr>
            <w:tab/>
          </w:r>
          <w:r>
            <w:rPr>
              <w:sz w:val="28"/>
              <w:szCs w:val="28"/>
            </w:rPr>
            <w:fldChar w:fldCharType="begin"/>
          </w:r>
          <w:r>
            <w:rPr>
              <w:sz w:val="28"/>
              <w:szCs w:val="28"/>
            </w:rPr>
            <w:instrText xml:space="preserve"> PAGEREF _Toc7546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_Toc19415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bCs/>
              <w:sz w:val="28"/>
              <w:szCs w:val="28"/>
              <w:highlight w:val="none"/>
            </w:rPr>
            <w:t>二、基本原则</w:t>
          </w:r>
          <w:r>
            <w:rPr>
              <w:sz w:val="28"/>
              <w:szCs w:val="28"/>
            </w:rPr>
            <w:tab/>
          </w:r>
          <w:r>
            <w:rPr>
              <w:sz w:val="28"/>
              <w:szCs w:val="28"/>
            </w:rPr>
            <w:fldChar w:fldCharType="begin"/>
          </w:r>
          <w:r>
            <w:rPr>
              <w:sz w:val="28"/>
              <w:szCs w:val="28"/>
            </w:rPr>
            <w:instrText xml:space="preserve"> PAGEREF _Toc19415 \h </w:instrText>
          </w:r>
          <w:r>
            <w:rPr>
              <w:sz w:val="28"/>
              <w:szCs w:val="28"/>
            </w:rPr>
            <w:fldChar w:fldCharType="separate"/>
          </w:r>
          <w:r>
            <w:rPr>
              <w:sz w:val="28"/>
              <w:szCs w:val="28"/>
            </w:rPr>
            <w:t>2</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_Toc1642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仿宋" w:cs="Times New Roman"/>
              <w:kern w:val="0"/>
              <w:sz w:val="28"/>
              <w:szCs w:val="28"/>
              <w:highlight w:val="none"/>
            </w:rPr>
            <w:t>（一）受试物的配制原则</w:t>
          </w:r>
          <w:r>
            <w:rPr>
              <w:sz w:val="28"/>
              <w:szCs w:val="28"/>
            </w:rPr>
            <w:tab/>
          </w:r>
          <w:r>
            <w:rPr>
              <w:sz w:val="28"/>
              <w:szCs w:val="28"/>
            </w:rPr>
            <w:fldChar w:fldCharType="begin"/>
          </w:r>
          <w:r>
            <w:rPr>
              <w:sz w:val="28"/>
              <w:szCs w:val="28"/>
            </w:rPr>
            <w:instrText xml:space="preserve"> PAGEREF _Toc1642 \h </w:instrText>
          </w:r>
          <w:r>
            <w:rPr>
              <w:sz w:val="28"/>
              <w:szCs w:val="28"/>
            </w:rPr>
            <w:fldChar w:fldCharType="separate"/>
          </w:r>
          <w:r>
            <w:rPr>
              <w:sz w:val="28"/>
              <w:szCs w:val="28"/>
            </w:rPr>
            <w:t>2</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_Toc8138 </w:instrText>
          </w:r>
          <w:r>
            <w:rPr>
              <w:rFonts w:hint="default" w:ascii="Times New Roman" w:hAnsi="Times New Roman" w:eastAsia="黑体" w:cs="Times New Roman"/>
              <w:sz w:val="28"/>
              <w:szCs w:val="28"/>
              <w:highlight w:val="none"/>
            </w:rPr>
            <w:fldChar w:fldCharType="separate"/>
          </w:r>
          <w:r>
            <w:rPr>
              <w:rFonts w:hint="eastAsia" w:ascii="Times New Roman" w:hAnsi="Times New Roman" w:eastAsia="仿宋" w:cs="Times New Roman"/>
              <w:kern w:val="0"/>
              <w:sz w:val="28"/>
              <w:szCs w:val="28"/>
            </w:rPr>
            <w:t>（二）</w:t>
          </w:r>
          <w:r>
            <w:rPr>
              <w:rFonts w:hint="default" w:ascii="Times New Roman" w:hAnsi="Times New Roman" w:eastAsia="仿宋" w:cs="Times New Roman"/>
              <w:kern w:val="0"/>
              <w:sz w:val="28"/>
              <w:szCs w:val="28"/>
              <w:highlight w:val="none"/>
            </w:rPr>
            <w:t>对照物的设置原则</w:t>
          </w:r>
          <w:r>
            <w:rPr>
              <w:sz w:val="28"/>
              <w:szCs w:val="28"/>
            </w:rPr>
            <w:tab/>
          </w:r>
          <w:r>
            <w:rPr>
              <w:sz w:val="28"/>
              <w:szCs w:val="28"/>
            </w:rPr>
            <w:fldChar w:fldCharType="begin"/>
          </w:r>
          <w:r>
            <w:rPr>
              <w:sz w:val="28"/>
              <w:szCs w:val="28"/>
            </w:rPr>
            <w:instrText xml:space="preserve"> PAGEREF _Toc8138 \h </w:instrText>
          </w:r>
          <w:r>
            <w:rPr>
              <w:sz w:val="28"/>
              <w:szCs w:val="28"/>
            </w:rPr>
            <w:fldChar w:fldCharType="separate"/>
          </w:r>
          <w:r>
            <w:rPr>
              <w:sz w:val="28"/>
              <w:szCs w:val="28"/>
            </w:rPr>
            <w:t>2</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_Toc25026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仿宋" w:cs="Times New Roman"/>
              <w:sz w:val="28"/>
              <w:szCs w:val="28"/>
              <w:highlight w:val="none"/>
            </w:rPr>
            <w:t>（三）细胞的选择原则</w:t>
          </w:r>
          <w:r>
            <w:rPr>
              <w:sz w:val="28"/>
              <w:szCs w:val="28"/>
            </w:rPr>
            <w:tab/>
          </w:r>
          <w:r>
            <w:rPr>
              <w:sz w:val="28"/>
              <w:szCs w:val="28"/>
            </w:rPr>
            <w:fldChar w:fldCharType="begin"/>
          </w:r>
          <w:r>
            <w:rPr>
              <w:sz w:val="28"/>
              <w:szCs w:val="28"/>
            </w:rPr>
            <w:instrText xml:space="preserve"> PAGEREF _Toc25026 \h </w:instrText>
          </w:r>
          <w:r>
            <w:rPr>
              <w:sz w:val="28"/>
              <w:szCs w:val="28"/>
            </w:rPr>
            <w:fldChar w:fldCharType="separate"/>
          </w:r>
          <w:r>
            <w:rPr>
              <w:sz w:val="28"/>
              <w:szCs w:val="28"/>
            </w:rPr>
            <w:t>4</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_Toc25797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仿宋" w:cs="Times New Roman"/>
              <w:sz w:val="28"/>
              <w:szCs w:val="28"/>
              <w:highlight w:val="none"/>
            </w:rPr>
            <w:t>（四）代谢活化系统的选择原则</w:t>
          </w:r>
          <w:r>
            <w:rPr>
              <w:sz w:val="28"/>
              <w:szCs w:val="28"/>
            </w:rPr>
            <w:tab/>
          </w:r>
          <w:r>
            <w:rPr>
              <w:sz w:val="28"/>
              <w:szCs w:val="28"/>
            </w:rPr>
            <w:fldChar w:fldCharType="begin"/>
          </w:r>
          <w:r>
            <w:rPr>
              <w:sz w:val="28"/>
              <w:szCs w:val="28"/>
            </w:rPr>
            <w:instrText xml:space="preserve"> PAGEREF _Toc25797 \h </w:instrText>
          </w:r>
          <w:r>
            <w:rPr>
              <w:sz w:val="28"/>
              <w:szCs w:val="28"/>
            </w:rPr>
            <w:fldChar w:fldCharType="separate"/>
          </w:r>
          <w:r>
            <w:rPr>
              <w:sz w:val="28"/>
              <w:szCs w:val="28"/>
            </w:rPr>
            <w:t>4</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_Toc5237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仿宋" w:cs="Times New Roman"/>
              <w:sz w:val="28"/>
              <w:szCs w:val="28"/>
              <w:highlight w:val="none"/>
            </w:rPr>
            <w:t>（五）受试物剂量设计原则</w:t>
          </w:r>
          <w:r>
            <w:rPr>
              <w:sz w:val="28"/>
              <w:szCs w:val="28"/>
            </w:rPr>
            <w:tab/>
          </w:r>
          <w:r>
            <w:rPr>
              <w:sz w:val="28"/>
              <w:szCs w:val="28"/>
            </w:rPr>
            <w:fldChar w:fldCharType="begin"/>
          </w:r>
          <w:r>
            <w:rPr>
              <w:sz w:val="28"/>
              <w:szCs w:val="28"/>
            </w:rPr>
            <w:instrText xml:space="preserve"> PAGEREF _Toc5237 \h </w:instrText>
          </w:r>
          <w:r>
            <w:rPr>
              <w:sz w:val="28"/>
              <w:szCs w:val="28"/>
            </w:rPr>
            <w:fldChar w:fldCharType="separate"/>
          </w:r>
          <w:r>
            <w:rPr>
              <w:sz w:val="28"/>
              <w:szCs w:val="28"/>
            </w:rPr>
            <w:t>5</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_Toc15851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bCs/>
              <w:sz w:val="28"/>
              <w:szCs w:val="28"/>
              <w:highlight w:val="none"/>
            </w:rPr>
            <w:t>三、基本内容</w:t>
          </w:r>
          <w:r>
            <w:rPr>
              <w:sz w:val="28"/>
              <w:szCs w:val="28"/>
            </w:rPr>
            <w:tab/>
          </w:r>
          <w:r>
            <w:rPr>
              <w:sz w:val="28"/>
              <w:szCs w:val="28"/>
            </w:rPr>
            <w:fldChar w:fldCharType="begin"/>
          </w:r>
          <w:r>
            <w:rPr>
              <w:sz w:val="28"/>
              <w:szCs w:val="28"/>
            </w:rPr>
            <w:instrText xml:space="preserve"> PAGEREF _Toc15851 \h </w:instrText>
          </w:r>
          <w:r>
            <w:rPr>
              <w:sz w:val="28"/>
              <w:szCs w:val="28"/>
            </w:rPr>
            <w:fldChar w:fldCharType="separate"/>
          </w:r>
          <w:r>
            <w:rPr>
              <w:sz w:val="28"/>
              <w:szCs w:val="28"/>
            </w:rPr>
            <w:t>6</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_Toc12264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仿宋" w:cs="Times New Roman"/>
              <w:sz w:val="28"/>
              <w:szCs w:val="28"/>
              <w:highlight w:val="none"/>
            </w:rPr>
            <w:t>（一）试验设计</w:t>
          </w:r>
          <w:r>
            <w:rPr>
              <w:sz w:val="28"/>
              <w:szCs w:val="28"/>
            </w:rPr>
            <w:tab/>
          </w:r>
          <w:r>
            <w:rPr>
              <w:sz w:val="28"/>
              <w:szCs w:val="28"/>
            </w:rPr>
            <w:fldChar w:fldCharType="begin"/>
          </w:r>
          <w:r>
            <w:rPr>
              <w:sz w:val="28"/>
              <w:szCs w:val="28"/>
            </w:rPr>
            <w:instrText xml:space="preserve"> PAGEREF _Toc12264 \h </w:instrText>
          </w:r>
          <w:r>
            <w:rPr>
              <w:sz w:val="28"/>
              <w:szCs w:val="28"/>
            </w:rPr>
            <w:fldChar w:fldCharType="separate"/>
          </w:r>
          <w:r>
            <w:rPr>
              <w:sz w:val="28"/>
              <w:szCs w:val="28"/>
            </w:rPr>
            <w:t>6</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_Toc1794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仿宋" w:cs="Times New Roman"/>
              <w:sz w:val="28"/>
              <w:szCs w:val="28"/>
              <w:highlight w:val="none"/>
            </w:rPr>
            <w:t>（二）需通过重复试验进行结果确证的情况</w:t>
          </w:r>
          <w:r>
            <w:rPr>
              <w:sz w:val="28"/>
              <w:szCs w:val="28"/>
            </w:rPr>
            <w:tab/>
          </w:r>
          <w:r>
            <w:rPr>
              <w:sz w:val="28"/>
              <w:szCs w:val="28"/>
            </w:rPr>
            <w:fldChar w:fldCharType="begin"/>
          </w:r>
          <w:r>
            <w:rPr>
              <w:sz w:val="28"/>
              <w:szCs w:val="28"/>
            </w:rPr>
            <w:instrText xml:space="preserve"> PAGEREF _Toc1794 \h </w:instrText>
          </w:r>
          <w:r>
            <w:rPr>
              <w:sz w:val="28"/>
              <w:szCs w:val="28"/>
            </w:rPr>
            <w:fldChar w:fldCharType="separate"/>
          </w:r>
          <w:r>
            <w:rPr>
              <w:sz w:val="28"/>
              <w:szCs w:val="28"/>
            </w:rPr>
            <w:t>8</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_Toc20983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bCs/>
              <w:sz w:val="28"/>
              <w:szCs w:val="28"/>
              <w:highlight w:val="none"/>
            </w:rPr>
            <w:t>四、结果</w:t>
          </w:r>
          <w:r>
            <w:rPr>
              <w:rFonts w:hint="eastAsia" w:ascii="Times New Roman" w:hAnsi="Times New Roman" w:eastAsia="黑体" w:cs="Times New Roman"/>
              <w:bCs/>
              <w:sz w:val="28"/>
              <w:szCs w:val="28"/>
              <w:highlight w:val="none"/>
              <w:lang w:val="en-US" w:eastAsia="zh-CN"/>
            </w:rPr>
            <w:t>分析与评价</w:t>
          </w:r>
          <w:r>
            <w:rPr>
              <w:sz w:val="28"/>
              <w:szCs w:val="28"/>
            </w:rPr>
            <w:tab/>
          </w:r>
          <w:r>
            <w:rPr>
              <w:sz w:val="28"/>
              <w:szCs w:val="28"/>
            </w:rPr>
            <w:fldChar w:fldCharType="begin"/>
          </w:r>
          <w:r>
            <w:rPr>
              <w:sz w:val="28"/>
              <w:szCs w:val="28"/>
            </w:rPr>
            <w:instrText xml:space="preserve"> PAGEREF _Toc20983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_Toc14848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bCs/>
              <w:sz w:val="28"/>
              <w:szCs w:val="28"/>
              <w:highlight w:val="none"/>
            </w:rPr>
            <w:t>五、参考文献</w:t>
          </w:r>
          <w:r>
            <w:rPr>
              <w:sz w:val="28"/>
              <w:szCs w:val="28"/>
            </w:rPr>
            <w:tab/>
          </w:r>
          <w:r>
            <w:rPr>
              <w:sz w:val="28"/>
              <w:szCs w:val="28"/>
            </w:rPr>
            <w:fldChar w:fldCharType="begin"/>
          </w:r>
          <w:r>
            <w:rPr>
              <w:sz w:val="28"/>
              <w:szCs w:val="28"/>
            </w:rPr>
            <w:instrText xml:space="preserve"> PAGEREF _Toc14848 \h </w:instrText>
          </w:r>
          <w:r>
            <w:rPr>
              <w:sz w:val="28"/>
              <w:szCs w:val="28"/>
            </w:rPr>
            <w:fldChar w:fldCharType="separate"/>
          </w:r>
          <w:r>
            <w:rPr>
              <w:sz w:val="28"/>
              <w:szCs w:val="28"/>
            </w:rPr>
            <w:t>10</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_Toc14875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bCs/>
              <w:sz w:val="28"/>
              <w:szCs w:val="28"/>
              <w:highlight w:val="none"/>
            </w:rPr>
            <w:t>六、术语和释义</w:t>
          </w:r>
          <w:r>
            <w:rPr>
              <w:sz w:val="28"/>
              <w:szCs w:val="28"/>
            </w:rPr>
            <w:tab/>
          </w:r>
          <w:r>
            <w:rPr>
              <w:sz w:val="28"/>
              <w:szCs w:val="28"/>
            </w:rPr>
            <w:fldChar w:fldCharType="begin"/>
          </w:r>
          <w:r>
            <w:rPr>
              <w:sz w:val="28"/>
              <w:szCs w:val="28"/>
            </w:rPr>
            <w:instrText xml:space="preserve"> PAGEREF _Toc14875 \h </w:instrText>
          </w:r>
          <w:r>
            <w:rPr>
              <w:sz w:val="28"/>
              <w:szCs w:val="28"/>
            </w:rPr>
            <w:fldChar w:fldCharType="separate"/>
          </w:r>
          <w:r>
            <w:rPr>
              <w:sz w:val="28"/>
              <w:szCs w:val="28"/>
            </w:rPr>
            <w:t>10</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begin"/>
          </w:r>
          <w:r>
            <w:rPr>
              <w:rFonts w:hint="default" w:ascii="Times New Roman" w:hAnsi="Times New Roman" w:eastAsia="黑体" w:cs="Times New Roman"/>
              <w:sz w:val="28"/>
              <w:szCs w:val="28"/>
              <w:highlight w:val="none"/>
            </w:rPr>
            <w:instrText xml:space="preserve"> HYPERLINK \l _Toc6226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bCs/>
              <w:sz w:val="28"/>
              <w:szCs w:val="28"/>
              <w:highlight w:val="none"/>
            </w:rPr>
            <w:t>七、附录</w:t>
          </w:r>
          <w:r>
            <w:rPr>
              <w:sz w:val="28"/>
              <w:szCs w:val="28"/>
            </w:rPr>
            <w:tab/>
          </w:r>
          <w:r>
            <w:rPr>
              <w:sz w:val="28"/>
              <w:szCs w:val="28"/>
            </w:rPr>
            <w:fldChar w:fldCharType="begin"/>
          </w:r>
          <w:r>
            <w:rPr>
              <w:sz w:val="28"/>
              <w:szCs w:val="28"/>
            </w:rPr>
            <w:instrText xml:space="preserve"> PAGEREF _Toc6226 \h </w:instrText>
          </w:r>
          <w:r>
            <w:rPr>
              <w:sz w:val="28"/>
              <w:szCs w:val="28"/>
            </w:rPr>
            <w:fldChar w:fldCharType="separate"/>
          </w:r>
          <w:r>
            <w:rPr>
              <w:sz w:val="28"/>
              <w:szCs w:val="28"/>
            </w:rPr>
            <w:t>11</w:t>
          </w:r>
          <w:r>
            <w:rPr>
              <w:sz w:val="28"/>
              <w:szCs w:val="28"/>
            </w:rPr>
            <w:fldChar w:fldCharType="end"/>
          </w: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b/>
              <w:bCs/>
              <w:color w:val="000000" w:themeColor="text1"/>
              <w:sz w:val="28"/>
              <w:szCs w:val="28"/>
              <w:highlight w:val="none"/>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黑体" w:cs="Times New Roman"/>
              <w:color w:val="000000" w:themeColor="text1"/>
              <w:sz w:val="28"/>
              <w:szCs w:val="28"/>
              <w:highlight w:val="none"/>
              <w14:textFill>
                <w14:solidFill>
                  <w14:schemeClr w14:val="tx1"/>
                </w14:solidFill>
              </w14:textFill>
            </w:rPr>
            <w:fldChar w:fldCharType="end"/>
          </w:r>
        </w:p>
      </w:sdtContent>
    </w:sdt>
    <w:p>
      <w:pPr>
        <w:pStyle w:val="17"/>
        <w:keepNext w:val="0"/>
        <w:keepLines w:val="0"/>
        <w:pageBreakBefore w:val="0"/>
        <w:widowControl w:val="0"/>
        <w:kinsoku/>
        <w:wordWrap/>
        <w:topLinePunct w:val="0"/>
        <w:bidi w:val="0"/>
        <w:spacing w:line="360" w:lineRule="auto"/>
        <w:ind w:left="720" w:firstLine="0" w:firstLineChars="0"/>
        <w:jc w:val="both"/>
        <w:textAlignment w:val="auto"/>
        <w:outlineLvl w:val="0"/>
        <w:rPr>
          <w:rFonts w:hint="default" w:ascii="Times New Roman" w:hAnsi="Times New Roman" w:eastAsia="黑体" w:cs="Times New Roman"/>
          <w:bCs/>
          <w:color w:val="000000" w:themeColor="text1"/>
          <w:sz w:val="32"/>
          <w:szCs w:val="32"/>
          <w:highlight w:val="none"/>
          <w14:textFill>
            <w14:solidFill>
              <w14:schemeClr w14:val="tx1"/>
            </w14:solidFill>
          </w14:textFill>
        </w:rPr>
      </w:pPr>
      <w:bookmarkStart w:id="0" w:name="_Toc7546"/>
      <w:r>
        <w:rPr>
          <w:rFonts w:hint="default" w:ascii="Times New Roman" w:hAnsi="Times New Roman" w:eastAsia="黑体" w:cs="Times New Roman"/>
          <w:bCs/>
          <w:color w:val="000000" w:themeColor="text1"/>
          <w:sz w:val="32"/>
          <w:szCs w:val="32"/>
          <w:highlight w:val="none"/>
          <w14:textFill>
            <w14:solidFill>
              <w14:schemeClr w14:val="tx1"/>
            </w14:solidFill>
          </w14:textFill>
        </w:rPr>
        <w:t>一、概述</w:t>
      </w:r>
      <w:bookmarkEnd w:id="0"/>
    </w:p>
    <w:p>
      <w:pPr>
        <w:pStyle w:val="16"/>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体外哺乳动物细胞</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基因突变</w:t>
      </w:r>
      <w:r>
        <w:rPr>
          <w:rFonts w:hint="default" w:ascii="Times New Roman" w:hAnsi="Times New Roman" w:eastAsia="仿宋" w:cs="Times New Roman"/>
          <w:color w:val="000000" w:themeColor="text1"/>
          <w:sz w:val="32"/>
          <w:szCs w:val="32"/>
          <w:highlight w:val="none"/>
          <w14:textFill>
            <w14:solidFill>
              <w14:schemeClr w14:val="tx1"/>
            </w14:solidFill>
          </w14:textFill>
        </w:rPr>
        <w:t>试验是评价受试物遗传毒性的一项体外试验，能够检测受试物是否</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会</w:t>
      </w:r>
      <w:r>
        <w:rPr>
          <w:rFonts w:hint="default" w:ascii="Times New Roman" w:hAnsi="Times New Roman" w:eastAsia="仿宋" w:cs="Times New Roman"/>
          <w:color w:val="000000" w:themeColor="text1"/>
          <w:sz w:val="32"/>
          <w:szCs w:val="32"/>
          <w:highlight w:val="none"/>
          <w14:textFill>
            <w14:solidFill>
              <w14:schemeClr w14:val="tx1"/>
            </w14:solidFill>
          </w14:textFill>
        </w:rPr>
        <w:t>引起哺乳动物细胞</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DNA中碱基对的排列顺序发生变化，包括碱基置换突变和移码突变</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本试验</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在加入和不加入代谢活化系统</w:t>
      </w:r>
      <w:r>
        <w:rPr>
          <w:rFonts w:hint="default" w:ascii="Times New Roman" w:hAnsi="Times New Roman" w:eastAsia="仿宋"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S</w:t>
      </w:r>
      <w:r>
        <w:rPr>
          <w:rFonts w:hint="default" w:ascii="Times New Roman" w:hAnsi="Times New Roman" w:eastAsia="仿宋" w:cs="Times New Roman"/>
          <w:color w:val="000000" w:themeColor="text1"/>
          <w:kern w:val="2"/>
          <w:sz w:val="32"/>
          <w:szCs w:val="32"/>
          <w:highlight w:val="none"/>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的条件下，使</w:t>
      </w:r>
      <w:r>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培养的</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细胞暴露于受试物中</w:t>
      </w:r>
      <w:r>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一段时间后</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再将其传代培养，在含有6-TG或三氟胸苷的选择性培养液中，突变细胞可以继续分裂形成集落。根据突变集落数计算突变频率，从而评价受试物是否具有致突变性。</w:t>
      </w:r>
    </w:p>
    <w:p>
      <w:pPr>
        <w:keepNext w:val="0"/>
        <w:keepLines w:val="0"/>
        <w:pageBreakBefore w:val="0"/>
        <w:widowControl w:val="0"/>
        <w:kinsoku/>
        <w:wordWrap/>
        <w:topLinePunct w:val="0"/>
        <w:bidi w:val="0"/>
        <w:spacing w:line="360" w:lineRule="auto"/>
        <w:ind w:firstLine="6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本指导原则依据《化妆品安全技术规范》《化妆品注册和备案检验工作规范》《化妆品注册备案资料管理规定》《化妆品新原料注册备案资料管理规定》等相关要求，并参考国内外相关指南制定。</w:t>
      </w:r>
    </w:p>
    <w:p>
      <w:pPr>
        <w:keepNext w:val="0"/>
        <w:keepLines w:val="0"/>
        <w:pageBreakBefore w:val="0"/>
        <w:widowControl w:val="0"/>
        <w:kinsoku/>
        <w:wordWrap/>
        <w:topLinePunct w:val="0"/>
        <w:bidi w:val="0"/>
        <w:spacing w:line="360" w:lineRule="auto"/>
        <w:ind w:firstLine="600"/>
        <w:jc w:val="both"/>
        <w:textAlignment w:val="auto"/>
        <w:rPr>
          <w:rFonts w:hint="default"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kern w:val="0"/>
          <w:sz w:val="32"/>
          <w:szCs w:val="32"/>
          <w:highlight w:val="none"/>
          <w14:textFill>
            <w14:solidFill>
              <w14:schemeClr w14:val="tx1"/>
            </w14:solidFill>
          </w14:textFill>
        </w:rPr>
        <w:t>本指导原则适用于化妆品和新原料的</w:t>
      </w:r>
      <w:r>
        <w:rPr>
          <w:rFonts w:hint="default"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体外致突变性遗传毒性</w:t>
      </w:r>
      <w:r>
        <w:rPr>
          <w:rFonts w:hint="default" w:ascii="Times New Roman" w:hAnsi="Times New Roman" w:eastAsia="仿宋" w:cs="Times New Roman"/>
          <w:bCs/>
          <w:color w:val="000000" w:themeColor="text1"/>
          <w:kern w:val="0"/>
          <w:sz w:val="32"/>
          <w:szCs w:val="32"/>
          <w:highlight w:val="none"/>
          <w14:textFill>
            <w14:solidFill>
              <w14:schemeClr w14:val="tx1"/>
            </w14:solidFill>
          </w14:textFill>
        </w:rPr>
        <w:t>研究及</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安全评估</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w:t>
      </w:r>
      <w:bookmarkStart w:id="1" w:name="OLE_LINK3"/>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本试验与经典的细菌回复突变试验（Ames试验）</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均</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为检测遗传毒性</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中的</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基因突变终点的方法，</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均可作为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评价化妆品及新原料</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的致突变性试验组合的一部分，若Ames试验出现疑似假阳性结果，可采用本试验方法对可疑结果进行确证。</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当Ames试验对某类受试物（如纳米</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新</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原料）的潜在致突变性不敏感时，</w:t>
      </w:r>
      <w:r>
        <w:rPr>
          <w:rFonts w:hint="default" w:ascii="Times New Roman" w:hAnsi="Times New Roman" w:eastAsia="仿宋" w:cs="Times New Roman"/>
          <w:color w:val="000000" w:themeColor="text1"/>
          <w:sz w:val="32"/>
          <w:szCs w:val="32"/>
          <w:highlight w:val="none"/>
          <w14:textFill>
            <w14:solidFill>
              <w14:schemeClr w14:val="tx1"/>
            </w14:solidFill>
          </w14:textFill>
        </w:rPr>
        <w:t>体外哺乳动物细胞</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基因突变</w:t>
      </w:r>
      <w:r>
        <w:rPr>
          <w:rFonts w:hint="default" w:ascii="Times New Roman" w:hAnsi="Times New Roman" w:eastAsia="仿宋" w:cs="Times New Roman"/>
          <w:color w:val="000000" w:themeColor="text1"/>
          <w:sz w:val="32"/>
          <w:szCs w:val="32"/>
          <w:highlight w:val="none"/>
          <w14:textFill>
            <w14:solidFill>
              <w14:schemeClr w14:val="tx1"/>
            </w14:solidFill>
          </w14:textFill>
        </w:rPr>
        <w:t>试验</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可作为很好的</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替代和</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补充。</w:t>
      </w:r>
    </w:p>
    <w:bookmarkEnd w:id="1"/>
    <w:p>
      <w:pPr>
        <w:keepNext w:val="0"/>
        <w:keepLines w:val="0"/>
        <w:pageBreakBefore w:val="0"/>
        <w:widowControl w:val="0"/>
        <w:kinsoku/>
        <w:wordWrap/>
        <w:topLinePunct w:val="0"/>
        <w:bidi w:val="0"/>
        <w:spacing w:line="360" w:lineRule="auto"/>
        <w:ind w:firstLine="627" w:firstLineChars="196"/>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Cs/>
          <w:color w:val="000000" w:themeColor="text1"/>
          <w:kern w:val="0"/>
          <w:sz w:val="32"/>
          <w:szCs w:val="32"/>
          <w:highlight w:val="none"/>
          <w14:textFill>
            <w14:solidFill>
              <w14:schemeClr w14:val="tx1"/>
            </w14:solidFill>
          </w14:textFill>
        </w:rPr>
        <w:t>本指导原则是在现行法规和标准以及当前科学认知水平下制定的，随着法规和标准的更新完善，以及科学技术的发展，将适时进行调整。</w:t>
      </w:r>
    </w:p>
    <w:p>
      <w:pPr>
        <w:keepNext w:val="0"/>
        <w:keepLines w:val="0"/>
        <w:pageBreakBefore w:val="0"/>
        <w:widowControl w:val="0"/>
        <w:kinsoku/>
        <w:wordWrap/>
        <w:topLinePunct w:val="0"/>
        <w:bidi w:val="0"/>
        <w:spacing w:line="360" w:lineRule="auto"/>
        <w:ind w:firstLine="601"/>
        <w:jc w:val="both"/>
        <w:textAlignment w:val="auto"/>
        <w:outlineLvl w:val="0"/>
        <w:rPr>
          <w:rFonts w:hint="default" w:ascii="Times New Roman" w:hAnsi="Times New Roman" w:eastAsia="黑体" w:cs="Times New Roman"/>
          <w:bCs/>
          <w:color w:val="000000" w:themeColor="text1"/>
          <w:sz w:val="32"/>
          <w:szCs w:val="32"/>
          <w:highlight w:val="none"/>
          <w14:textFill>
            <w14:solidFill>
              <w14:schemeClr w14:val="tx1"/>
            </w14:solidFill>
          </w14:textFill>
        </w:rPr>
      </w:pPr>
      <w:bookmarkStart w:id="2" w:name="_Toc19415"/>
      <w:r>
        <w:rPr>
          <w:rFonts w:hint="default" w:ascii="Times New Roman" w:hAnsi="Times New Roman" w:eastAsia="黑体" w:cs="Times New Roman"/>
          <w:bCs/>
          <w:color w:val="000000" w:themeColor="text1"/>
          <w:sz w:val="32"/>
          <w:szCs w:val="32"/>
          <w:highlight w:val="none"/>
          <w14:textFill>
            <w14:solidFill>
              <w14:schemeClr w14:val="tx1"/>
            </w14:solidFill>
          </w14:textFill>
        </w:rPr>
        <w:t>二、基本原则</w:t>
      </w:r>
      <w:bookmarkEnd w:id="2"/>
    </w:p>
    <w:p>
      <w:pPr>
        <w:pStyle w:val="17"/>
        <w:keepNext w:val="0"/>
        <w:keepLines w:val="0"/>
        <w:pageBreakBefore w:val="0"/>
        <w:widowControl w:val="0"/>
        <w:kinsoku/>
        <w:wordWrap/>
        <w:topLinePunct w:val="0"/>
        <w:autoSpaceDE/>
        <w:autoSpaceDN/>
        <w:bidi w:val="0"/>
        <w:spacing w:line="360" w:lineRule="auto"/>
        <w:ind w:left="0" w:leftChars="0" w:firstLine="640" w:firstLineChars="200"/>
        <w:jc w:val="both"/>
        <w:textAlignment w:val="auto"/>
        <w:outlineLvl w:val="0"/>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pPr>
      <w:bookmarkStart w:id="3" w:name="_Toc20150"/>
      <w:r>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本指导原则仅讨论</w:t>
      </w:r>
      <w:r>
        <w:rPr>
          <w:rFonts w:hint="eastAsia"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体外哺乳动物细胞基因突变试验</w:t>
      </w:r>
      <w:r>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需要重点关注的问题，试验时需具体情况具体分析。</w:t>
      </w:r>
      <w:bookmarkEnd w:id="3"/>
    </w:p>
    <w:p>
      <w:pPr>
        <w:pStyle w:val="17"/>
        <w:keepNext w:val="0"/>
        <w:keepLines w:val="0"/>
        <w:pageBreakBefore w:val="0"/>
        <w:widowControl w:val="0"/>
        <w:kinsoku/>
        <w:wordWrap/>
        <w:overflowPunct w:val="0"/>
        <w:topLinePunct w:val="0"/>
        <w:autoSpaceDE/>
        <w:autoSpaceDN/>
        <w:bidi w:val="0"/>
        <w:adjustRightInd w:val="0"/>
        <w:snapToGrid w:val="0"/>
        <w:spacing w:line="360" w:lineRule="auto"/>
        <w:ind w:firstLine="640"/>
        <w:jc w:val="both"/>
        <w:textAlignment w:val="auto"/>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体外哺乳动物细胞基因突变试验的设计应符合毒理学试验随机、对照、重复的基本原则，试验数据应真实、完整、准确、可追溯，试验结果统计分析应科学合理。</w:t>
      </w:r>
    </w:p>
    <w:p>
      <w:pPr>
        <w:keepNext w:val="0"/>
        <w:keepLines w:val="0"/>
        <w:pageBreakBefore w:val="0"/>
        <w:widowControl w:val="0"/>
        <w:kinsoku/>
        <w:wordWrap/>
        <w:topLinePunct w:val="0"/>
        <w:bidi w:val="0"/>
        <w:adjustRightInd w:val="0"/>
        <w:snapToGrid w:val="0"/>
        <w:spacing w:line="360" w:lineRule="auto"/>
        <w:ind w:firstLine="643" w:firstLineChars="200"/>
        <w:jc w:val="both"/>
        <w:textAlignment w:val="auto"/>
        <w:outlineLvl w:val="1"/>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4" w:name="_Toc126520309"/>
      <w:bookmarkStart w:id="5" w:name="_Toc1642"/>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（一）</w:t>
      </w:r>
      <w:bookmarkEnd w:id="4"/>
      <w:bookmarkStart w:id="6" w:name="_Toc126520486"/>
      <w:bookmarkStart w:id="7" w:name="_Toc126520361"/>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受试物的配制原则</w:t>
      </w:r>
      <w:bookmarkEnd w:id="5"/>
      <w:bookmarkEnd w:id="6"/>
      <w:bookmarkEnd w:id="7"/>
    </w:p>
    <w:p>
      <w:pPr>
        <w:pStyle w:val="16"/>
        <w:keepNext w:val="0"/>
        <w:keepLines w:val="0"/>
        <w:pageBreakBefore w:val="0"/>
        <w:widowControl w:val="0"/>
        <w:kinsoku/>
        <w:wordWrap/>
        <w:topLinePunct w:val="0"/>
        <w:bidi w:val="0"/>
        <w:spacing w:line="360" w:lineRule="auto"/>
        <w:ind w:firstLine="640"/>
        <w:jc w:val="both"/>
        <w:textAlignment w:val="auto"/>
        <w:rPr>
          <w:rFonts w:hint="default" w:ascii="Times New Roman" w:hAnsi="Times New Roman" w:eastAsia="仿宋"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受试物</w:t>
      </w:r>
      <w:r>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为固体时，</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应溶解或</w:t>
      </w:r>
      <w:r>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分散</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悬浮于适合的</w:t>
      </w:r>
      <w:r>
        <w:rPr>
          <w:rFonts w:hint="default" w:ascii="Times New Roman" w:hAnsi="Times New Roman" w:eastAsia="仿宋" w:cs="Times New Roman"/>
          <w:color w:val="000000" w:themeColor="text1"/>
          <w:kern w:val="2"/>
          <w:sz w:val="32"/>
          <w:szCs w:val="32"/>
          <w:highlight w:val="none"/>
          <w:lang w:eastAsia="zh-CN"/>
          <w14:textFill>
            <w14:solidFill>
              <w14:schemeClr w14:val="tx1"/>
            </w14:solidFill>
          </w14:textFill>
        </w:rPr>
        <w:t>溶媒</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中，用前稀释至适合浓度；液体受试物可以直接加入试验系统和/或用前稀释至适合浓度。受试物应无菌现用现配，否则须确认贮存不影响其稳定性。</w:t>
      </w:r>
    </w:p>
    <w:p>
      <w:pPr>
        <w:keepNext w:val="0"/>
        <w:keepLines w:val="0"/>
        <w:pageBreakBefore w:val="0"/>
        <w:widowControl w:val="0"/>
        <w:kinsoku/>
        <w:wordWrap/>
        <w:topLinePunct w:val="0"/>
        <w:bidi w:val="0"/>
        <w:adjustRightInd w:val="0"/>
        <w:snapToGri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对于化妆品终产品</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测试</w:t>
      </w:r>
      <w:r>
        <w:rPr>
          <w:rFonts w:hint="default" w:ascii="Times New Roman" w:hAnsi="Times New Roman" w:eastAsia="仿宋" w:cs="Times New Roman"/>
          <w:color w:val="000000" w:themeColor="text1"/>
          <w:sz w:val="32"/>
          <w:szCs w:val="32"/>
          <w:highlight w:val="none"/>
          <w14:textFill>
            <w14:solidFill>
              <w14:schemeClr w14:val="tx1"/>
            </w14:solidFill>
          </w14:textFill>
        </w:rPr>
        <w:t>，应按照产品</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实际</w:t>
      </w:r>
      <w:r>
        <w:rPr>
          <w:rFonts w:hint="default" w:ascii="Times New Roman" w:hAnsi="Times New Roman" w:eastAsia="仿宋" w:cs="Times New Roman"/>
          <w:color w:val="000000" w:themeColor="text1"/>
          <w:sz w:val="32"/>
          <w:szCs w:val="32"/>
          <w:highlight w:val="none"/>
          <w14:textFill>
            <w14:solidFill>
              <w14:schemeClr w14:val="tx1"/>
            </w14:solidFill>
          </w14:textFill>
        </w:rPr>
        <w:t>使用方法配制受试物，并明确配制方法和使用浓度。</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例</w:t>
      </w:r>
      <w:r>
        <w:rPr>
          <w:rFonts w:hint="default" w:ascii="Times New Roman" w:hAnsi="Times New Roman" w:eastAsia="仿宋" w:cs="Times New Roman"/>
          <w:color w:val="000000" w:themeColor="text1"/>
          <w:sz w:val="32"/>
          <w:szCs w:val="32"/>
          <w:highlight w:val="none"/>
          <w14:textFill>
            <w14:solidFill>
              <w14:schemeClr w14:val="tx1"/>
            </w14:solidFill>
          </w14:textFill>
        </w:rPr>
        <w:t>如染发</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剂</w:t>
      </w:r>
      <w:r>
        <w:rPr>
          <w:rFonts w:hint="default" w:ascii="Times New Roman" w:hAnsi="Times New Roman" w:eastAsia="仿宋" w:cs="Times New Roman"/>
          <w:color w:val="000000" w:themeColor="text1"/>
          <w:sz w:val="32"/>
          <w:szCs w:val="32"/>
          <w:highlight w:val="none"/>
          <w14:textFill>
            <w14:solidFill>
              <w14:schemeClr w14:val="tx1"/>
            </w14:solidFill>
          </w14:textFill>
        </w:rPr>
        <w:t>，应按照产品使用方法或产品使用说明书中各剂型的比例进行配制，如有多种配制比例，则需</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制备</w:t>
      </w:r>
      <w:r>
        <w:rPr>
          <w:rFonts w:hint="default" w:ascii="Times New Roman" w:hAnsi="Times New Roman" w:eastAsia="仿宋" w:cs="Times New Roman"/>
          <w:color w:val="000000" w:themeColor="text1"/>
          <w:sz w:val="32"/>
          <w:szCs w:val="32"/>
          <w:highlight w:val="none"/>
          <w14:textFill>
            <w14:solidFill>
              <w14:schemeClr w14:val="tx1"/>
            </w14:solidFill>
          </w14:textFill>
        </w:rPr>
        <w:t>多</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种配制</w:t>
      </w:r>
      <w:r>
        <w:rPr>
          <w:rFonts w:hint="default" w:ascii="Times New Roman" w:hAnsi="Times New Roman" w:eastAsia="仿宋" w:cs="Times New Roman"/>
          <w:color w:val="000000" w:themeColor="text1"/>
          <w:sz w:val="32"/>
          <w:szCs w:val="32"/>
          <w:highlight w:val="none"/>
          <w14:textFill>
            <w14:solidFill>
              <w14:schemeClr w14:val="tx1"/>
            </w14:solidFill>
          </w14:textFill>
        </w:rPr>
        <w:t>比例</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的</w:t>
      </w:r>
      <w:r>
        <w:rPr>
          <w:rFonts w:hint="default" w:ascii="Times New Roman" w:hAnsi="Times New Roman" w:eastAsia="仿宋" w:cs="Times New Roman"/>
          <w:color w:val="000000" w:themeColor="text1"/>
          <w:sz w:val="32"/>
          <w:szCs w:val="32"/>
          <w:highlight w:val="none"/>
          <w14:textFill>
            <w14:solidFill>
              <w14:schemeClr w14:val="tx1"/>
            </w14:solidFill>
          </w14:textFill>
        </w:rPr>
        <w:t>受试物。配制后的受试物如需进一步稀释，则应选用合适的</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溶媒</w:t>
      </w:r>
      <w:r>
        <w:rPr>
          <w:rFonts w:hint="default" w:ascii="Times New Roman" w:hAnsi="Times New Roman" w:eastAsia="仿宋" w:cs="Times New Roman"/>
          <w:color w:val="000000" w:themeColor="text1"/>
          <w:sz w:val="32"/>
          <w:szCs w:val="32"/>
          <w:highlight w:val="none"/>
          <w14:textFill>
            <w14:solidFill>
              <w14:schemeClr w14:val="tx1"/>
            </w14:solidFill>
          </w14:textFill>
        </w:rPr>
        <w:t>并设</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置溶媒对照</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360" w:lineRule="auto"/>
        <w:ind w:firstLine="640" w:firstLineChars="200"/>
        <w:jc w:val="both"/>
        <w:textAlignment w:val="auto"/>
        <w:rPr>
          <w:rFonts w:hint="default" w:ascii="Times New Roman" w:hAnsi="Times New Roman" w:eastAsia="仿宋" w:cs="Times New Roman"/>
          <w:color w:val="000000" w:themeColor="text1"/>
          <w:kern w:val="0"/>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0"/>
          <w:sz w:val="32"/>
          <w:szCs w:val="32"/>
          <w:highlight w:val="none"/>
          <w14:textFill>
            <w14:solidFill>
              <w14:schemeClr w14:val="tx1"/>
            </w14:solidFill>
          </w14:textFill>
        </w:rPr>
        <w:t>对于化妆品新原料，应根据原料的溶解性选择适宜的</w:t>
      </w:r>
      <w:r>
        <w:rPr>
          <w:rFonts w:hint="default" w:ascii="Times New Roman" w:hAnsi="Times New Roman" w:eastAsia="仿宋" w:cs="Times New Roman"/>
          <w:color w:val="000000" w:themeColor="text1"/>
          <w:kern w:val="0"/>
          <w:sz w:val="32"/>
          <w:szCs w:val="32"/>
          <w:highlight w:val="none"/>
          <w:lang w:eastAsia="zh-CN"/>
          <w14:textFill>
            <w14:solidFill>
              <w14:schemeClr w14:val="tx1"/>
            </w14:solidFill>
          </w14:textFill>
        </w:rPr>
        <w:t>溶媒</w:t>
      </w:r>
      <w:r>
        <w:rPr>
          <w:rFonts w:hint="default" w:ascii="Times New Roman" w:hAnsi="Times New Roman" w:eastAsia="仿宋" w:cs="Times New Roman"/>
          <w:color w:val="000000" w:themeColor="text1"/>
          <w:kern w:val="0"/>
          <w:sz w:val="32"/>
          <w:szCs w:val="32"/>
          <w:highlight w:val="none"/>
          <w14:textFill>
            <w14:solidFill>
              <w14:schemeClr w14:val="tx1"/>
            </w14:solidFill>
          </w14:textFill>
        </w:rPr>
        <w:t>进行配制或稀释，并设</w:t>
      </w:r>
      <w:r>
        <w:rPr>
          <w:rFonts w:hint="default" w:ascii="Times New Roman" w:hAnsi="Times New Roman" w:eastAsia="仿宋" w:cs="Times New Roman"/>
          <w:color w:val="000000" w:themeColor="text1"/>
          <w:kern w:val="0"/>
          <w:sz w:val="32"/>
          <w:szCs w:val="32"/>
          <w:highlight w:val="none"/>
          <w:lang w:val="en-US" w:eastAsia="zh-CN"/>
          <w14:textFill>
            <w14:solidFill>
              <w14:schemeClr w14:val="tx1"/>
            </w14:solidFill>
          </w14:textFill>
        </w:rPr>
        <w:t>溶媒对照</w:t>
      </w:r>
      <w:r>
        <w:rPr>
          <w:rFonts w:hint="default" w:ascii="Times New Roman" w:hAnsi="Times New Roman" w:eastAsia="仿宋" w:cs="Times New Roman"/>
          <w:color w:val="000000" w:themeColor="text1"/>
          <w:kern w:val="0"/>
          <w:sz w:val="32"/>
          <w:szCs w:val="32"/>
          <w:highlight w:val="none"/>
          <w14:textFill>
            <w14:solidFill>
              <w14:schemeClr w14:val="tx1"/>
            </w14:solidFill>
          </w14:textFill>
        </w:rPr>
        <w:t>。</w:t>
      </w:r>
    </w:p>
    <w:p>
      <w:pPr>
        <w:keepNext w:val="0"/>
        <w:keepLines w:val="0"/>
        <w:pageBreakBefore w:val="0"/>
        <w:widowControl w:val="0"/>
        <w:numPr>
          <w:ilvl w:val="0"/>
          <w:numId w:val="1"/>
        </w:numPr>
        <w:kinsoku/>
        <w:wordWrap/>
        <w:overflowPunct/>
        <w:topLinePunct w:val="0"/>
        <w:bidi w:val="0"/>
        <w:adjustRightInd w:val="0"/>
        <w:snapToGrid w:val="0"/>
        <w:spacing w:line="360" w:lineRule="auto"/>
        <w:ind w:firstLine="643" w:firstLineChars="200"/>
        <w:jc w:val="both"/>
        <w:textAlignment w:val="auto"/>
        <w:outlineLvl w:val="1"/>
        <w:rPr>
          <w:rFonts w:hint="default" w:ascii="Times New Roman" w:hAnsi="Times New Roman" w:eastAsia="仿宋" w:cs="Times New Roman"/>
          <w:b/>
          <w:color w:val="000000" w:themeColor="text1"/>
          <w:kern w:val="0"/>
          <w:sz w:val="32"/>
          <w:szCs w:val="32"/>
          <w:highlight w:val="none"/>
          <w14:textFill>
            <w14:solidFill>
              <w14:schemeClr w14:val="tx1"/>
            </w14:solidFill>
          </w14:textFill>
        </w:rPr>
      </w:pPr>
      <w:bookmarkStart w:id="8" w:name="_Toc8138"/>
      <w:r>
        <w:rPr>
          <w:rFonts w:hint="default" w:ascii="Times New Roman" w:hAnsi="Times New Roman" w:eastAsia="仿宋" w:cs="Times New Roman"/>
          <w:b/>
          <w:color w:val="000000" w:themeColor="text1"/>
          <w:kern w:val="0"/>
          <w:sz w:val="32"/>
          <w:szCs w:val="32"/>
          <w:highlight w:val="none"/>
          <w14:textFill>
            <w14:solidFill>
              <w14:schemeClr w14:val="tx1"/>
            </w14:solidFill>
          </w14:textFill>
        </w:rPr>
        <w:t>对照物的设置原则</w:t>
      </w:r>
      <w:bookmarkEnd w:id="8"/>
    </w:p>
    <w:p>
      <w:pPr>
        <w:pStyle w:val="16"/>
        <w:keepNext w:val="0"/>
        <w:keepLines w:val="0"/>
        <w:pageBreakBefore w:val="0"/>
        <w:widowControl w:val="0"/>
        <w:kinsoku/>
        <w:wordWrap/>
        <w:overflowPunct/>
        <w:topLinePunct w:val="0"/>
        <w:bidi w:val="0"/>
        <w:adjustRightInd w:val="0"/>
        <w:spacing w:line="360" w:lineRule="auto"/>
        <w:ind w:firstLine="640" w:firstLineChars="200"/>
        <w:jc w:val="both"/>
        <w:textAlignment w:val="auto"/>
        <w:rPr>
          <w:rFonts w:hint="eastAsia" w:ascii="Times New Roman" w:hAnsi="Times New Roman" w:eastAsia="仿宋" w:cs="Times New Roman"/>
          <w:b/>
          <w:color w:val="000000" w:themeColor="text1"/>
          <w:kern w:val="0"/>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各实验室应建立历史背景对照数据库（包括阴性和阳性对照数据库）。</w:t>
      </w:r>
      <w:r>
        <w:rPr>
          <w:rFonts w:hint="eastAsia" w:ascii="Times New Roman" w:hAnsi="Times New Roman" w:eastAsia="仿宋" w:cs="Times New Roman"/>
          <w:b/>
          <w:color w:val="000000" w:themeColor="text1"/>
          <w:kern w:val="0"/>
          <w:sz w:val="32"/>
          <w:szCs w:val="32"/>
          <w:highlight w:val="none"/>
          <w:lang w:val="en-US" w:eastAsia="zh-CN"/>
          <w14:textFill>
            <w14:solidFill>
              <w14:schemeClr w14:val="tx1"/>
            </w14:solidFill>
          </w14:textFill>
        </w:rPr>
        <w:t xml:space="preserve">   </w:t>
      </w:r>
      <w:bookmarkStart w:id="9" w:name="_Toc19944"/>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outlineLvl w:val="1"/>
        <w:rPr>
          <w:rFonts w:hint="default"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t>在加或不加S9条件下，均应设置阳性对照组和阴性对照组。</w:t>
      </w:r>
      <w:bookmarkEnd w:id="9"/>
    </w:p>
    <w:p>
      <w:pPr>
        <w:pStyle w:val="16"/>
        <w:keepNext w:val="0"/>
        <w:keepLines w:val="0"/>
        <w:pageBreakBefore w:val="0"/>
        <w:widowControl w:val="0"/>
        <w:numPr>
          <w:ilvl w:val="0"/>
          <w:numId w:val="2"/>
        </w:numPr>
        <w:kinsoku/>
        <w:wordWrap/>
        <w:topLinePunct w:val="0"/>
        <w:bidi w:val="0"/>
        <w:spacing w:line="360" w:lineRule="auto"/>
        <w:ind w:firstLine="64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阳性对照</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物</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应使用已知的</w:t>
      </w:r>
      <w:bookmarkStart w:id="10" w:name="OLE_LINK2"/>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阳性诱变剂</w:t>
      </w:r>
      <w:bookmarkEnd w:id="10"/>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在</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加</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S9</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条件下</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应使用需要代谢活化、并能引起突变的阳性诱变剂。在加或不加S9条件下，可作为阳性对照的物质如下表所示。</w:t>
      </w:r>
    </w:p>
    <w:p>
      <w:pPr>
        <w:pStyle w:val="16"/>
        <w:keepNext w:val="0"/>
        <w:keepLines w:val="0"/>
        <w:pageBreakBefore w:val="0"/>
        <w:widowControl w:val="0"/>
        <w:numPr>
          <w:ilvl w:val="0"/>
          <w:numId w:val="0"/>
        </w:numPr>
        <w:kinsoku/>
        <w:wordWrap/>
        <w:topLinePunct w:val="0"/>
        <w:bidi w:val="0"/>
        <w:spacing w:line="360" w:lineRule="auto"/>
        <w:jc w:val="center"/>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表1. 不同试验条件下推荐选择的阳性对照物</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968"/>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1" w:type="pct"/>
          </w:tcPr>
          <w:p>
            <w:pPr>
              <w:pStyle w:val="16"/>
              <w:keepNext w:val="0"/>
              <w:keepLines w:val="0"/>
              <w:pageBreakBefore w:val="0"/>
              <w:widowControl w:val="0"/>
              <w:numPr>
                <w:ilvl w:val="0"/>
                <w:numId w:val="0"/>
              </w:numPr>
              <w:kinsoku/>
              <w:wordWrap/>
              <w:topLinePunct w:val="0"/>
              <w:bidi w:val="0"/>
              <w:spacing w:line="360" w:lineRule="auto"/>
              <w:jc w:val="both"/>
              <w:textAlignment w:val="auto"/>
              <w:rPr>
                <w:rFonts w:hint="default" w:ascii="Times New Roman" w:hAnsi="Times New Roman" w:eastAsia="仿宋" w:cs="Times New Roman"/>
                <w:color w:val="000000" w:themeColor="text1"/>
                <w:sz w:val="32"/>
                <w:szCs w:val="32"/>
                <w:highlight w:val="none"/>
                <w:vertAlign w:val="baseline"/>
                <w14:textFill>
                  <w14:solidFill>
                    <w14:schemeClr w14:val="tx1"/>
                  </w14:solidFill>
                </w14:textFill>
              </w:rPr>
            </w:pPr>
          </w:p>
        </w:tc>
        <w:tc>
          <w:tcPr>
            <w:tcW w:w="1741" w:type="pct"/>
          </w:tcPr>
          <w:p>
            <w:pPr>
              <w:pStyle w:val="16"/>
              <w:keepNext w:val="0"/>
              <w:keepLines w:val="0"/>
              <w:pageBreakBefore w:val="0"/>
              <w:widowControl w:val="0"/>
              <w:numPr>
                <w:ilvl w:val="0"/>
                <w:numId w:val="0"/>
              </w:numPr>
              <w:kinsoku/>
              <w:wordWrap/>
              <w:topLinePunct w:val="0"/>
              <w:bidi w:val="0"/>
              <w:spacing w:line="360" w:lineRule="auto"/>
              <w:jc w:val="center"/>
              <w:textAlignment w:val="auto"/>
              <w:rPr>
                <w:rFonts w:hint="default"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-S9</w:t>
            </w:r>
          </w:p>
        </w:tc>
        <w:tc>
          <w:tcPr>
            <w:tcW w:w="2636" w:type="pct"/>
          </w:tcPr>
          <w:p>
            <w:pPr>
              <w:pStyle w:val="16"/>
              <w:keepNext w:val="0"/>
              <w:keepLines w:val="0"/>
              <w:pageBreakBefore w:val="0"/>
              <w:widowControl w:val="0"/>
              <w:numPr>
                <w:ilvl w:val="0"/>
                <w:numId w:val="0"/>
              </w:numPr>
              <w:kinsoku/>
              <w:wordWrap/>
              <w:topLinePunct w:val="0"/>
              <w:bidi w:val="0"/>
              <w:spacing w:line="360" w:lineRule="auto"/>
              <w:jc w:val="center"/>
              <w:textAlignment w:val="auto"/>
              <w:rPr>
                <w:rFonts w:hint="default"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+S9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621" w:type="pct"/>
          </w:tcPr>
          <w:p>
            <w:pPr>
              <w:pStyle w:val="16"/>
              <w:keepNext w:val="0"/>
              <w:keepLines w:val="0"/>
              <w:pageBreakBefore w:val="0"/>
              <w:widowControl w:val="0"/>
              <w:numPr>
                <w:ilvl w:val="0"/>
                <w:numId w:val="0"/>
              </w:numPr>
              <w:kinsoku/>
              <w:wordWrap/>
              <w:topLinePunct w:val="0"/>
              <w:bidi w:val="0"/>
              <w:spacing w:line="360" w:lineRule="auto"/>
              <w:jc w:val="center"/>
              <w:textAlignment w:val="auto"/>
              <w:rPr>
                <w:rFonts w:hint="default"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HPRT试验</w:t>
            </w:r>
          </w:p>
        </w:tc>
        <w:tc>
          <w:tcPr>
            <w:tcW w:w="1741" w:type="pct"/>
          </w:tcPr>
          <w:p>
            <w:pPr>
              <w:pStyle w:val="16"/>
              <w:keepNext w:val="0"/>
              <w:keepLines w:val="0"/>
              <w:pageBreakBefore w:val="0"/>
              <w:widowControl w:val="0"/>
              <w:numPr>
                <w:ilvl w:val="0"/>
                <w:numId w:val="0"/>
              </w:numPr>
              <w:kinsoku/>
              <w:wordWrap/>
              <w:topLinePunct w:val="0"/>
              <w:bidi w:val="0"/>
              <w:spacing w:line="360" w:lineRule="auto"/>
              <w:jc w:val="left"/>
              <w:textAlignment w:val="auto"/>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甲磺酸乙酯（ethyl methanesulfonate， EMS）；</w:t>
            </w:r>
          </w:p>
          <w:p>
            <w:pPr>
              <w:pStyle w:val="16"/>
              <w:keepNext w:val="0"/>
              <w:keepLines w:val="0"/>
              <w:pageBreakBefore w:val="0"/>
              <w:widowControl w:val="0"/>
              <w:numPr>
                <w:ilvl w:val="0"/>
                <w:numId w:val="0"/>
              </w:numPr>
              <w:kinsoku/>
              <w:wordWrap/>
              <w:topLinePunct w:val="0"/>
              <w:bidi w:val="0"/>
              <w:spacing w:line="360" w:lineRule="auto"/>
              <w:jc w:val="left"/>
              <w:textAlignment w:val="auto"/>
              <w:rPr>
                <w:rFonts w:hint="default"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乙基甲硝基脲（ethyl nitrosourea，ENU）</w:t>
            </w:r>
          </w:p>
        </w:tc>
        <w:tc>
          <w:tcPr>
            <w:tcW w:w="2636" w:type="pct"/>
          </w:tcPr>
          <w:p>
            <w:pPr>
              <w:pStyle w:val="16"/>
              <w:keepNext w:val="0"/>
              <w:keepLines w:val="0"/>
              <w:pageBreakBefore w:val="0"/>
              <w:widowControl w:val="0"/>
              <w:numPr>
                <w:ilvl w:val="0"/>
                <w:numId w:val="0"/>
              </w:numPr>
              <w:kinsoku/>
              <w:wordWrap/>
              <w:topLinePunct w:val="0"/>
              <w:bidi w:val="0"/>
              <w:spacing w:line="360" w:lineRule="auto"/>
              <w:jc w:val="left"/>
              <w:textAlignment w:val="auto"/>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3-甲基胆蒽（3-methylcholanthrene）；</w:t>
            </w:r>
          </w:p>
          <w:p>
            <w:pPr>
              <w:pStyle w:val="16"/>
              <w:keepNext w:val="0"/>
              <w:keepLines w:val="0"/>
              <w:pageBreakBefore w:val="0"/>
              <w:widowControl w:val="0"/>
              <w:numPr>
                <w:ilvl w:val="0"/>
                <w:numId w:val="0"/>
              </w:numPr>
              <w:kinsoku/>
              <w:wordWrap/>
              <w:topLinePunct w:val="0"/>
              <w:bidi w:val="0"/>
              <w:spacing w:line="360" w:lineRule="auto"/>
              <w:jc w:val="left"/>
              <w:textAlignment w:val="auto"/>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N-亚硝基胍（N-nitroso-dimethylamine）；</w:t>
            </w:r>
          </w:p>
          <w:p>
            <w:pPr>
              <w:pStyle w:val="16"/>
              <w:keepNext w:val="0"/>
              <w:keepLines w:val="0"/>
              <w:pageBreakBefore w:val="0"/>
              <w:widowControl w:val="0"/>
              <w:numPr>
                <w:ilvl w:val="0"/>
                <w:numId w:val="0"/>
              </w:numPr>
              <w:kinsoku/>
              <w:wordWrap/>
              <w:topLinePunct w:val="0"/>
              <w:bidi w:val="0"/>
              <w:spacing w:line="360" w:lineRule="auto"/>
              <w:jc w:val="left"/>
              <w:textAlignment w:val="auto"/>
              <w:rPr>
                <w:rFonts w:hint="default"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7，12-二甲基苯蒽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621" w:type="pct"/>
          </w:tcPr>
          <w:p>
            <w:pPr>
              <w:pStyle w:val="16"/>
              <w:keepNext w:val="0"/>
              <w:keepLines w:val="0"/>
              <w:pageBreakBefore w:val="0"/>
              <w:widowControl w:val="0"/>
              <w:numPr>
                <w:ilvl w:val="0"/>
                <w:numId w:val="0"/>
              </w:numPr>
              <w:kinsoku/>
              <w:wordWrap/>
              <w:topLinePunct w:val="0"/>
              <w:bidi w:val="0"/>
              <w:spacing w:line="360" w:lineRule="auto"/>
              <w:jc w:val="center"/>
              <w:textAlignment w:val="auto"/>
              <w:rPr>
                <w:rFonts w:hint="default"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TK 试验</w:t>
            </w:r>
          </w:p>
        </w:tc>
        <w:tc>
          <w:tcPr>
            <w:tcW w:w="1741" w:type="pct"/>
          </w:tcPr>
          <w:p>
            <w:pPr>
              <w:pStyle w:val="16"/>
              <w:keepNext w:val="0"/>
              <w:keepLines w:val="0"/>
              <w:pageBreakBefore w:val="0"/>
              <w:widowControl w:val="0"/>
              <w:numPr>
                <w:ilvl w:val="0"/>
                <w:numId w:val="0"/>
              </w:numPr>
              <w:kinsoku/>
              <w:wordWrap/>
              <w:topLinePunct w:val="0"/>
              <w:bidi w:val="0"/>
              <w:spacing w:line="360" w:lineRule="auto"/>
              <w:jc w:val="left"/>
              <w:textAlignment w:val="auto"/>
              <w:rPr>
                <w:rFonts w:hint="default" w:ascii="Times New Roman" w:hAnsi="Times New Roman" w:eastAsia="仿宋" w:cs="Times New Roman"/>
                <w:color w:val="000000" w:themeColor="text1"/>
                <w:sz w:val="32"/>
                <w:szCs w:val="32"/>
                <w:highlight w:val="none"/>
                <w:vertAlign w:val="baseline"/>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甲磺酸甲酯（methyl methanesulfonate， MMS）；</w:t>
            </w:r>
          </w:p>
        </w:tc>
        <w:tc>
          <w:tcPr>
            <w:tcW w:w="2636" w:type="pct"/>
          </w:tcPr>
          <w:p>
            <w:pPr>
              <w:pStyle w:val="16"/>
              <w:keepNext w:val="0"/>
              <w:keepLines w:val="0"/>
              <w:pageBreakBefore w:val="0"/>
              <w:widowControl w:val="0"/>
              <w:numPr>
                <w:ilvl w:val="0"/>
                <w:numId w:val="3"/>
              </w:numPr>
              <w:kinsoku/>
              <w:wordWrap/>
              <w:topLinePunct w:val="0"/>
              <w:bidi w:val="0"/>
              <w:spacing w:line="360" w:lineRule="auto"/>
              <w:jc w:val="left"/>
              <w:textAlignment w:val="auto"/>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甲基胆蒽（3-methylcholanthrene）；</w:t>
            </w:r>
          </w:p>
          <w:p>
            <w:pPr>
              <w:pStyle w:val="16"/>
              <w:keepNext w:val="0"/>
              <w:keepLines w:val="0"/>
              <w:pageBreakBefore w:val="0"/>
              <w:widowControl w:val="0"/>
              <w:numPr>
                <w:ilvl w:val="0"/>
                <w:numId w:val="0"/>
              </w:numPr>
              <w:kinsoku/>
              <w:wordWrap/>
              <w:topLinePunct w:val="0"/>
              <w:bidi w:val="0"/>
              <w:spacing w:line="360" w:lineRule="auto"/>
              <w:jc w:val="left"/>
              <w:textAlignment w:val="auto"/>
              <w:rPr>
                <w:rFonts w:hint="default" w:ascii="Times New Roman" w:hAnsi="Times New Roman" w:eastAsia="仿宋" w:cs="Times New Roman"/>
                <w:color w:val="000000" w:themeColor="text1"/>
                <w:sz w:val="32"/>
                <w:szCs w:val="32"/>
                <w:highlight w:val="none"/>
                <w:vertAlign w:val="baseline"/>
                <w:lang w:val="en-US"/>
                <w14:textFill>
                  <w14:solidFill>
                    <w14:schemeClr w14:val="tx1"/>
                  </w14:solidFill>
                </w14:textFill>
              </w:rPr>
            </w:pPr>
            <w:r>
              <w:rPr>
                <w:rFonts w:hint="eastAsia" w:ascii="Times New Roman" w:hAnsi="Times New Roman" w:eastAsia="仿宋" w:cs="Times New Roman"/>
                <w:color w:val="000000" w:themeColor="text1"/>
                <w:sz w:val="32"/>
                <w:szCs w:val="32"/>
                <w:highlight w:val="none"/>
                <w:vertAlign w:val="baseline"/>
                <w:lang w:val="en-US" w:eastAsia="zh-CN"/>
                <w14:textFill>
                  <w14:solidFill>
                    <w14:schemeClr w14:val="tx1"/>
                  </w14:solidFill>
                </w14:textFill>
              </w:rPr>
              <w:t>环磷酰胺（cyclophosphamide）</w:t>
            </w:r>
          </w:p>
        </w:tc>
      </w:tr>
    </w:tbl>
    <w:p>
      <w:pPr>
        <w:pStyle w:val="16"/>
        <w:keepNext w:val="0"/>
        <w:keepLines w:val="0"/>
        <w:pageBreakBefore w:val="0"/>
        <w:widowControl w:val="0"/>
        <w:numPr>
          <w:ilvl w:val="0"/>
          <w:numId w:val="0"/>
        </w:numPr>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阳性对照物需现用现配，否则须</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对受试物进行稳定性分析，以</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确认贮存</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不会对其稳定性和试验结果造成影响</w:t>
      </w:r>
      <w:r>
        <w:rPr>
          <w:rFonts w:hint="default" w:ascii="Times New Roman" w:hAnsi="Times New Roman" w:eastAsia="仿宋" w:cs="Times New Roman"/>
          <w:color w:val="000000" w:themeColor="text1"/>
          <w:kern w:val="2"/>
          <w:sz w:val="32"/>
          <w:szCs w:val="32"/>
          <w:highlight w:val="none"/>
          <w14:textFill>
            <w14:solidFill>
              <w14:schemeClr w14:val="tx1"/>
            </w14:solidFill>
          </w14:textFill>
        </w:rPr>
        <w:t>。</w:t>
      </w:r>
    </w:p>
    <w:p>
      <w:pPr>
        <w:pStyle w:val="16"/>
        <w:keepNext w:val="0"/>
        <w:keepLines w:val="0"/>
        <w:pageBreakBefore w:val="0"/>
        <w:widowControl w:val="0"/>
        <w:numPr>
          <w:ilvl w:val="0"/>
          <w:numId w:val="2"/>
        </w:numPr>
        <w:kinsoku/>
        <w:wordWrap/>
        <w:topLinePunct w:val="0"/>
        <w:bidi w:val="0"/>
        <w:spacing w:line="360" w:lineRule="auto"/>
        <w:ind w:left="0" w:leftChars="0" w:firstLine="640" w:firstLineChars="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阴性对照</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物</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溶媒应为非致突变物，并且不与受试物发生化学反应、不影响细胞存活和S</w:t>
      </w:r>
      <w:r>
        <w:rPr>
          <w:rFonts w:hint="default" w:ascii="Times New Roman" w:hAnsi="Times New Roman" w:eastAsia="仿宋" w:cs="Times New Roman"/>
          <w:color w:val="000000" w:themeColor="text1"/>
          <w:kern w:val="2"/>
          <w:sz w:val="32"/>
          <w:szCs w:val="32"/>
          <w:highlight w:val="none"/>
          <w:vertAlign w:val="baseline"/>
          <w:lang w:val="en-US" w:eastAsia="zh-CN"/>
          <w14:textFill>
            <w14:solidFill>
              <w14:schemeClr w14:val="tx1"/>
            </w14:solidFill>
          </w14:textFill>
        </w:rPr>
        <w:t>9</w:t>
      </w:r>
      <w:r>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的活性。</w:t>
      </w:r>
      <w:r>
        <w:rPr>
          <w:rFonts w:hint="default" w:ascii="Times New Roman" w:hAnsi="Times New Roman" w:eastAsia="仿宋" w:cs="Times New Roman"/>
          <w:color w:val="000000" w:themeColor="text1"/>
          <w:sz w:val="32"/>
          <w:szCs w:val="32"/>
          <w:highlight w:val="none"/>
          <w14:textFill>
            <w14:solidFill>
              <w14:schemeClr w14:val="tx1"/>
            </w14:solidFill>
          </w14:textFill>
        </w:rPr>
        <w:t>常用的阴性对照物包括</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灭菌蒸馏</w:t>
      </w:r>
      <w:r>
        <w:rPr>
          <w:rFonts w:hint="default" w:ascii="Times New Roman" w:hAnsi="Times New Roman" w:eastAsia="仿宋" w:cs="Times New Roman"/>
          <w:color w:val="000000" w:themeColor="text1"/>
          <w:sz w:val="32"/>
          <w:szCs w:val="32"/>
          <w:highlight w:val="none"/>
          <w14:textFill>
            <w14:solidFill>
              <w14:schemeClr w14:val="tx1"/>
            </w14:solidFill>
          </w14:textFill>
        </w:rPr>
        <w:t>水</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/去离子水</w:t>
      </w:r>
      <w:r>
        <w:rPr>
          <w:rFonts w:hint="default" w:ascii="Times New Roman" w:hAnsi="Times New Roman" w:eastAsia="仿宋" w:cs="Times New Roman"/>
          <w:color w:val="000000" w:themeColor="text1"/>
          <w:sz w:val="32"/>
          <w:szCs w:val="32"/>
          <w:highlight w:val="none"/>
          <w14:textFill>
            <w14:solidFill>
              <w14:schemeClr w14:val="tx1"/>
            </w14:solidFill>
          </w14:textFill>
        </w:rPr>
        <w:t>（或</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无菌</w:t>
      </w:r>
      <w:r>
        <w:rPr>
          <w:rFonts w:hint="default" w:ascii="Times New Roman" w:hAnsi="Times New Roman" w:eastAsia="仿宋" w:cs="Times New Roman"/>
          <w:color w:val="000000" w:themeColor="text1"/>
          <w:sz w:val="32"/>
          <w:szCs w:val="32"/>
          <w:highlight w:val="none"/>
          <w14:textFill>
            <w14:solidFill>
              <w14:schemeClr w14:val="tx1"/>
            </w14:solidFill>
          </w14:textFill>
        </w:rPr>
        <w:t>生理盐水）、培养液（不含血清）、二甲基亚砜（DMSO）</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乙醇、丙酮</w:t>
      </w:r>
      <w:r>
        <w:rPr>
          <w:rFonts w:hint="default" w:ascii="Times New Roman" w:hAnsi="Times New Roman" w:eastAsia="仿宋" w:cs="Times New Roman"/>
          <w:color w:val="000000" w:themeColor="text1"/>
          <w:sz w:val="32"/>
          <w:szCs w:val="32"/>
          <w:highlight w:val="none"/>
          <w14:textFill>
            <w14:solidFill>
              <w14:schemeClr w14:val="tx1"/>
            </w14:solidFill>
          </w14:textFill>
        </w:rPr>
        <w:t>等。通常二甲基亚砜（DMSO）在培养液中的终浓度不应超过0.5%。</w:t>
      </w:r>
    </w:p>
    <w:p>
      <w:pPr>
        <w:pStyle w:val="16"/>
        <w:keepNext w:val="0"/>
        <w:keepLines w:val="0"/>
        <w:pageBreakBefore w:val="0"/>
        <w:widowControl w:val="0"/>
        <w:numPr>
          <w:ilvl w:val="0"/>
          <w:numId w:val="2"/>
        </w:numPr>
        <w:kinsoku/>
        <w:wordWrap/>
        <w:topLinePunct w:val="0"/>
        <w:bidi w:val="0"/>
        <w:spacing w:line="360" w:lineRule="auto"/>
        <w:ind w:left="0" w:leftChars="0" w:firstLine="640" w:firstLineChars="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空白对照：如果</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现有资料不能</w:t>
      </w:r>
      <w:r>
        <w:rPr>
          <w:rFonts w:hint="default" w:ascii="Times New Roman" w:hAnsi="Times New Roman" w:eastAsia="仿宋" w:cs="Times New Roman"/>
          <w:color w:val="000000" w:themeColor="text1"/>
          <w:sz w:val="32"/>
          <w:szCs w:val="32"/>
          <w:highlight w:val="none"/>
          <w14:textFill>
            <w14:solidFill>
              <w14:schemeClr w14:val="tx1"/>
            </w14:solidFill>
          </w14:textFill>
        </w:rPr>
        <w:t>证实</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溶媒</w:t>
      </w:r>
      <w:r>
        <w:rPr>
          <w:rFonts w:hint="default" w:ascii="Times New Roman" w:hAnsi="Times New Roman" w:eastAsia="仿宋" w:cs="Times New Roman"/>
          <w:color w:val="000000" w:themeColor="text1"/>
          <w:sz w:val="32"/>
          <w:szCs w:val="32"/>
          <w:highlight w:val="none"/>
          <w14:textFill>
            <w14:solidFill>
              <w14:schemeClr w14:val="tx1"/>
            </w14:solidFill>
          </w14:textFill>
        </w:rPr>
        <w:t>不具有致突变性</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或其他有害作用时</w:t>
      </w:r>
      <w:r>
        <w:rPr>
          <w:rFonts w:hint="default" w:ascii="Times New Roman" w:hAnsi="Times New Roman" w:eastAsia="仿宋" w:cs="Times New Roman"/>
          <w:color w:val="000000" w:themeColor="text1"/>
          <w:sz w:val="32"/>
          <w:szCs w:val="32"/>
          <w:highlight w:val="none"/>
          <w14:textFill>
            <w14:solidFill>
              <w14:schemeClr w14:val="tx1"/>
            </w14:solidFill>
          </w14:textFill>
        </w:rPr>
        <w:t>，或发现</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溶媒对照的</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数据</w:t>
      </w:r>
      <w:r>
        <w:rPr>
          <w:rFonts w:hint="default" w:ascii="Times New Roman" w:hAnsi="Times New Roman" w:eastAsia="仿宋" w:cs="Times New Roman"/>
          <w:color w:val="000000" w:themeColor="text1"/>
          <w:sz w:val="32"/>
          <w:szCs w:val="32"/>
          <w:highlight w:val="none"/>
          <w14:textFill>
            <w14:solidFill>
              <w14:schemeClr w14:val="tx1"/>
            </w14:solidFill>
          </w14:textFill>
        </w:rPr>
        <w:t>与本实验室的历史空白对照</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背景</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数据</w:t>
      </w:r>
      <w:r>
        <w:rPr>
          <w:rFonts w:hint="default" w:ascii="Times New Roman" w:hAnsi="Times New Roman" w:eastAsia="仿宋" w:cs="Times New Roman"/>
          <w:color w:val="000000" w:themeColor="text1"/>
          <w:sz w:val="32"/>
          <w:szCs w:val="32"/>
          <w:highlight w:val="none"/>
          <w14:textFill>
            <w14:solidFill>
              <w14:schemeClr w14:val="tx1"/>
            </w14:solidFill>
          </w14:textFill>
        </w:rPr>
        <w:t>有</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显著</w:t>
      </w:r>
      <w:r>
        <w:rPr>
          <w:rFonts w:hint="default" w:ascii="Times New Roman" w:hAnsi="Times New Roman" w:eastAsia="仿宋" w:cs="Times New Roman"/>
          <w:color w:val="000000" w:themeColor="text1"/>
          <w:sz w:val="32"/>
          <w:szCs w:val="32"/>
          <w:highlight w:val="none"/>
          <w14:textFill>
            <w14:solidFill>
              <w14:schemeClr w14:val="tx1"/>
            </w14:solidFill>
          </w14:textFill>
        </w:rPr>
        <w:t>差异，还应</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增</w:t>
      </w:r>
      <w:r>
        <w:rPr>
          <w:rFonts w:hint="default" w:ascii="Times New Roman" w:hAnsi="Times New Roman" w:eastAsia="仿宋" w:cs="Times New Roman"/>
          <w:color w:val="000000" w:themeColor="text1"/>
          <w:sz w:val="32"/>
          <w:szCs w:val="32"/>
          <w:highlight w:val="none"/>
          <w14:textFill>
            <w14:solidFill>
              <w14:schemeClr w14:val="tx1"/>
            </w14:solidFill>
          </w14:textFill>
        </w:rPr>
        <w:t>设空白对照。</w:t>
      </w:r>
    </w:p>
    <w:p>
      <w:pPr>
        <w:pStyle w:val="16"/>
        <w:keepNext w:val="0"/>
        <w:keepLines w:val="0"/>
        <w:pageBreakBefore w:val="0"/>
        <w:widowControl w:val="0"/>
        <w:kinsoku/>
        <w:wordWrap/>
        <w:topLinePunct w:val="0"/>
        <w:bidi w:val="0"/>
        <w:spacing w:line="360" w:lineRule="auto"/>
        <w:ind w:firstLine="643" w:firstLineChars="200"/>
        <w:jc w:val="both"/>
        <w:textAlignment w:val="auto"/>
        <w:outlineLvl w:val="1"/>
        <w:rPr>
          <w:rFonts w:hint="default" w:ascii="Times New Roman" w:hAnsi="Times New Roman" w:eastAsia="仿宋" w:cs="Times New Roman"/>
          <w:b/>
          <w:color w:val="000000" w:themeColor="text1"/>
          <w:sz w:val="32"/>
          <w:szCs w:val="32"/>
          <w:highlight w:val="none"/>
          <w:lang w:eastAsia="zh-CN"/>
          <w14:textFill>
            <w14:solidFill>
              <w14:schemeClr w14:val="tx1"/>
            </w14:solidFill>
          </w14:textFill>
        </w:rPr>
      </w:pPr>
      <w:bookmarkStart w:id="11" w:name="_Toc25026"/>
      <w:r>
        <w:rPr>
          <w:rFonts w:hint="default" w:ascii="Times New Roman" w:hAnsi="Times New Roman" w:eastAsia="仿宋" w:cs="Times New Roman"/>
          <w:b/>
          <w:color w:val="000000" w:themeColor="text1"/>
          <w:sz w:val="32"/>
          <w:szCs w:val="32"/>
          <w:highlight w:val="none"/>
          <w14:textFill>
            <w14:solidFill>
              <w14:schemeClr w14:val="tx1"/>
            </w14:solidFill>
          </w14:textFill>
        </w:rPr>
        <w:t>（三）细胞的选择原则</w:t>
      </w:r>
      <w:bookmarkEnd w:id="11"/>
    </w:p>
    <w:p>
      <w:pPr>
        <w:pStyle w:val="16"/>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Hprt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位点突变分析常用中国仓鼠肺细胞株（V-79）和中国仓鼠卵巢细胞株（CHO）。</w:t>
      </w: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TK</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位点突变分析常用小鼠淋巴瘤细胞株（L5178Y）和人类淋巴母细胞株（TK6）。</w:t>
      </w:r>
    </w:p>
    <w:p>
      <w:pPr>
        <w:pStyle w:val="16"/>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细胞需定期检查核型和染色体数目，</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以及</w:t>
      </w:r>
      <w:r>
        <w:rPr>
          <w:rFonts w:hint="default" w:ascii="Times New Roman" w:hAnsi="Times New Roman" w:eastAsia="仿宋" w:cs="Times New Roman"/>
          <w:color w:val="000000" w:themeColor="text1"/>
          <w:sz w:val="32"/>
          <w:szCs w:val="32"/>
          <w:highlight w:val="none"/>
          <w14:textFill>
            <w14:solidFill>
              <w14:schemeClr w14:val="tx1"/>
            </w14:solidFill>
          </w14:textFill>
        </w:rPr>
        <w:t>有无支原体污染等</w:t>
      </w:r>
      <w:r>
        <w:rPr>
          <w:rFonts w:eastAsia="仿宋_GB2312"/>
          <w:color w:val="000000" w:themeColor="text1"/>
          <w:sz w:val="32"/>
          <w:szCs w:val="32"/>
          <w:highlight w:val="none"/>
          <w14:textFill>
            <w14:solidFill>
              <w14:schemeClr w14:val="tx1"/>
            </w14:solidFill>
          </w14:textFill>
        </w:rPr>
        <w:t>，必要时进行自发突变细胞的清除</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pStyle w:val="16"/>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bookmarkStart w:id="12" w:name="OLE_LINK4"/>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当使用本试验方法对纳米原料进行体外基因突变性评价时，必须同时提交证明受试物纳米原料能够被所选择细胞系，最好是其细胞核，所摄取的试验数据或背景资料。</w:t>
      </w:r>
      <w:bookmarkEnd w:id="12"/>
    </w:p>
    <w:p>
      <w:pPr>
        <w:keepNext w:val="0"/>
        <w:keepLines w:val="0"/>
        <w:pageBreakBefore w:val="0"/>
        <w:widowControl w:val="0"/>
        <w:kinsoku/>
        <w:wordWrap/>
        <w:topLinePunct w:val="0"/>
        <w:bidi w:val="0"/>
        <w:spacing w:line="360" w:lineRule="auto"/>
        <w:ind w:firstLine="643" w:firstLineChars="200"/>
        <w:jc w:val="both"/>
        <w:textAlignment w:val="auto"/>
        <w:outlineLvl w:val="1"/>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13" w:name="_Toc25797"/>
      <w:r>
        <w:rPr>
          <w:rFonts w:hint="default" w:ascii="Times New Roman" w:hAnsi="Times New Roman" w:eastAsia="仿宋" w:cs="Times New Roman"/>
          <w:b/>
          <w:color w:val="000000" w:themeColor="text1"/>
          <w:sz w:val="32"/>
          <w:szCs w:val="32"/>
          <w:highlight w:val="none"/>
          <w14:textFill>
            <w14:solidFill>
              <w14:schemeClr w14:val="tx1"/>
            </w14:solidFill>
          </w14:textFill>
        </w:rPr>
        <w:t>（四）代谢活化系统的选择原则</w:t>
      </w:r>
      <w:bookmarkEnd w:id="13"/>
    </w:p>
    <w:p>
      <w:pPr>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由于细胞的内源性代谢活化能力不足，需使用外源代谢活化系统，以检测受试物经代谢活化后是否具有致突变性。推荐使用S9 混合物（S9 mix）。S9 mix为经酶诱导剂如多氯联苯（Aroclor 1254）或联合使用苯巴比妥钠和β-萘黄酮诱导啮齿动物肝脏，经处理肝脏后而获得。S9 mix</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在试验系统中</w:t>
      </w:r>
      <w:r>
        <w:rPr>
          <w:rFonts w:hint="default" w:ascii="Times New Roman" w:hAnsi="Times New Roman" w:eastAsia="仿宋" w:cs="Times New Roman"/>
          <w:color w:val="000000" w:themeColor="text1"/>
          <w:sz w:val="32"/>
          <w:szCs w:val="32"/>
          <w:highlight w:val="none"/>
          <w14:textFill>
            <w14:solidFill>
              <w14:schemeClr w14:val="tx1"/>
            </w14:solidFill>
          </w14:textFill>
        </w:rPr>
        <w:t>的使用终浓度</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一般</w:t>
      </w:r>
      <w:r>
        <w:rPr>
          <w:rFonts w:hint="default" w:ascii="Times New Roman" w:hAnsi="Times New Roman" w:eastAsia="仿宋" w:cs="Times New Roman"/>
          <w:color w:val="000000" w:themeColor="text1"/>
          <w:sz w:val="32"/>
          <w:szCs w:val="32"/>
          <w:highlight w:val="none"/>
          <w14:textFill>
            <w14:solidFill>
              <w14:schemeClr w14:val="tx1"/>
            </w14:solidFill>
          </w14:textFill>
        </w:rPr>
        <w:t>为1%～10%</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v/v</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，其活性需保持稳定，在使用浓度下必须能明显活化阳性对照物。</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确认是否描述一致）</w:t>
      </w:r>
    </w:p>
    <w:p>
      <w:pPr>
        <w:pStyle w:val="16"/>
        <w:keepNext w:val="0"/>
        <w:keepLines w:val="0"/>
        <w:pageBreakBefore w:val="0"/>
        <w:widowControl w:val="0"/>
        <w:kinsoku/>
        <w:wordWrap/>
        <w:topLinePunct w:val="0"/>
        <w:bidi w:val="0"/>
        <w:spacing w:line="360" w:lineRule="auto"/>
        <w:ind w:firstLine="643" w:firstLineChars="200"/>
        <w:jc w:val="both"/>
        <w:textAlignment w:val="auto"/>
        <w:outlineLvl w:val="1"/>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14" w:name="_Toc5237"/>
      <w:r>
        <w:rPr>
          <w:rFonts w:hint="default" w:ascii="Times New Roman" w:hAnsi="Times New Roman" w:eastAsia="仿宋" w:cs="Times New Roman"/>
          <w:b/>
          <w:color w:val="000000" w:themeColor="text1"/>
          <w:sz w:val="32"/>
          <w:szCs w:val="32"/>
          <w:highlight w:val="none"/>
          <w14:textFill>
            <w14:solidFill>
              <w14:schemeClr w14:val="tx1"/>
            </w14:solidFill>
          </w14:textFill>
        </w:rPr>
        <w:t>（五）受试物剂量设计原则</w:t>
      </w:r>
      <w:bookmarkEnd w:id="14"/>
    </w:p>
    <w:p>
      <w:pPr>
        <w:keepNext w:val="0"/>
        <w:keepLines w:val="0"/>
        <w:pageBreakBefore w:val="0"/>
        <w:widowControl w:val="0"/>
        <w:kinsoku/>
        <w:wordWrap/>
        <w:topLinePunct w:val="0"/>
        <w:autoSpaceDE w:val="0"/>
        <w:autoSpaceDN w:val="0"/>
        <w:bidi w:val="0"/>
        <w:adjustRightIn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1.细胞毒性的确定原则</w:t>
      </w:r>
    </w:p>
    <w:p>
      <w:pPr>
        <w:keepNext w:val="0"/>
        <w:keepLines w:val="0"/>
        <w:pageBreakBefore w:val="0"/>
        <w:widowControl w:val="0"/>
        <w:kinsoku/>
        <w:wordWrap/>
        <w:topLinePunct w:val="0"/>
        <w:autoSpaceDE w:val="0"/>
        <w:autoSpaceDN w:val="0"/>
        <w:bidi w:val="0"/>
        <w:adjustRightInd w:val="0"/>
        <w:spacing w:line="360" w:lineRule="auto"/>
        <w:ind w:firstLine="640"/>
        <w:jc w:val="both"/>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在</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加或不加S9</w:t>
      </w:r>
      <w:r>
        <w:rPr>
          <w:rFonts w:hint="default" w:ascii="Times New Roman" w:hAnsi="Times New Roman" w:eastAsia="仿宋" w:cs="Times New Roman"/>
          <w:color w:val="000000" w:themeColor="text1"/>
          <w:sz w:val="32"/>
          <w:szCs w:val="32"/>
          <w:highlight w:val="none"/>
          <w14:textFill>
            <w14:solidFill>
              <w14:schemeClr w14:val="tx1"/>
            </w14:solidFill>
          </w14:textFill>
        </w:rPr>
        <w:t>两种条件下，可</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根据受试物在试验系统中的溶解度、细胞毒性检测结果、细胞悬浮增长率、对pH值和渗克分子浓度</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O</w:t>
      </w:r>
      <w:r>
        <w:rPr>
          <w:rFonts w:hint="default" w:ascii="Times New Roman" w:hAnsi="Times New Roman" w:eastAsia="仿宋" w:cs="Times New Roman"/>
          <w:color w:val="000000" w:themeColor="text1"/>
          <w:sz w:val="32"/>
          <w:szCs w:val="32"/>
          <w:highlight w:val="none"/>
          <w14:textFill>
            <w14:solidFill>
              <w14:schemeClr w14:val="tx1"/>
            </w14:solidFill>
          </w14:textFill>
        </w:rPr>
        <w:t>smolality)</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的影响等参数判断细胞毒性，进而确定受试物最高剂量。</w:t>
      </w:r>
    </w:p>
    <w:p>
      <w:pPr>
        <w:keepNext w:val="0"/>
        <w:keepLines w:val="0"/>
        <w:pageBreakBefore w:val="0"/>
        <w:widowControl w:val="0"/>
        <w:kinsoku/>
        <w:wordWrap/>
        <w:topLinePunct w:val="0"/>
        <w:autoSpaceDE w:val="0"/>
        <w:autoSpaceDN w:val="0"/>
        <w:bidi w:val="0"/>
        <w:adjustRightIn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 受试物剂量设计原则</w:t>
      </w:r>
    </w:p>
    <w:p>
      <w:pPr>
        <w:keepNext w:val="0"/>
        <w:keepLines w:val="0"/>
        <w:pageBreakBefore w:val="0"/>
        <w:widowControl w:val="0"/>
        <w:kinsoku/>
        <w:wordWrap/>
        <w:topLinePunct w:val="0"/>
        <w:autoSpaceDE w:val="0"/>
        <w:autoSpaceDN w:val="0"/>
        <w:bidi w:val="0"/>
        <w:adjustRightInd w:val="0"/>
        <w:spacing w:line="360" w:lineRule="auto"/>
        <w:ind w:firstLine="64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2.1 应当根据受试物对细胞的毒性、受试物在试验系统中的溶解度</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pH</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值</w:t>
      </w:r>
      <w:r>
        <w:rPr>
          <w:rFonts w:hint="default" w:ascii="Times New Roman" w:hAnsi="Times New Roman" w:eastAsia="仿宋" w:cs="Times New Roman"/>
          <w:color w:val="000000" w:themeColor="text1"/>
          <w:sz w:val="32"/>
          <w:szCs w:val="32"/>
          <w:highlight w:val="none"/>
          <w14:textFill>
            <w14:solidFill>
              <w14:schemeClr w14:val="tx1"/>
            </w14:solidFill>
          </w14:textFill>
        </w:rPr>
        <w:t>或渗克分子浓度的改变等不同因素确定最高受试浓度。应避免将可能产生</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对结果判定有影响</w:t>
      </w:r>
      <w:r>
        <w:rPr>
          <w:rFonts w:hint="default" w:ascii="Times New Roman" w:hAnsi="Times New Roman" w:eastAsia="仿宋" w:cs="Times New Roman"/>
          <w:color w:val="000000" w:themeColor="text1"/>
          <w:sz w:val="32"/>
          <w:szCs w:val="32"/>
          <w:highlight w:val="none"/>
          <w14:textFill>
            <w14:solidFill>
              <w14:schemeClr w14:val="tx1"/>
            </w14:solidFill>
          </w14:textFill>
        </w:rPr>
        <w:t>的浓度确定为最高受试浓度，如细胞毒性过大、培养液中</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明显</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出现沉淀、或出现明显的pH或渗克分子浓度的改变等。需在正式试验前通过预试验确定受试物的最高受试浓度。  </w:t>
      </w:r>
    </w:p>
    <w:p>
      <w:pPr>
        <w:keepNext w:val="0"/>
        <w:keepLines w:val="0"/>
        <w:pageBreakBefore w:val="0"/>
        <w:widowControl w:val="0"/>
        <w:kinsoku/>
        <w:wordWrap/>
        <w:topLinePunct w:val="0"/>
        <w:autoSpaceDE w:val="0"/>
        <w:autoSpaceDN w:val="0"/>
        <w:bidi w:val="0"/>
        <w:adjustRightIn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2.2 </w:t>
      </w:r>
      <w:r>
        <w:rPr>
          <w:rFonts w:hint="default" w:ascii="Times New Roman" w:hAnsi="Times New Roman" w:eastAsia="仿宋" w:cs="Times New Roman"/>
          <w:color w:val="000000" w:themeColor="text1"/>
          <w:sz w:val="32"/>
          <w:szCs w:val="32"/>
          <w:highlight w:val="none"/>
          <w14:textFill>
            <w14:solidFill>
              <w14:schemeClr w14:val="tx1"/>
            </w14:solidFill>
          </w14:textFill>
        </w:rPr>
        <w:t>至少应</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设置</w:t>
      </w:r>
      <w:r>
        <w:rPr>
          <w:rFonts w:hint="default" w:ascii="Times New Roman" w:hAnsi="Times New Roman" w:eastAsia="仿宋" w:cs="Times New Roman"/>
          <w:color w:val="000000" w:themeColor="text1"/>
          <w:sz w:val="32"/>
          <w:szCs w:val="32"/>
          <w:highlight w:val="none"/>
          <w14:textFill>
            <w14:solidFill>
              <w14:schemeClr w14:val="tx1"/>
            </w14:solidFill>
          </w14:textFill>
        </w:rPr>
        <w:t>4个可用于结果分析的</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受试物剂量组</w:t>
      </w:r>
      <w:r>
        <w:rPr>
          <w:rFonts w:hint="default" w:ascii="Times New Roman" w:hAnsi="Times New Roman" w:eastAsia="仿宋" w:cs="Times New Roman"/>
          <w:color w:val="000000" w:themeColor="text1"/>
          <w:sz w:val="32"/>
          <w:szCs w:val="32"/>
          <w:highlight w:val="none"/>
          <w14:textFill>
            <w14:solidFill>
              <w14:schemeClr w14:val="tx1"/>
            </w14:solidFill>
          </w14:textFill>
        </w:rPr>
        <w:t>。最高浓度主要取决于受试物的细胞毒性和/或溶解度：</w:t>
      </w:r>
    </w:p>
    <w:p>
      <w:pPr>
        <w:keepNext w:val="0"/>
        <w:keepLines w:val="0"/>
        <w:pageBreakBefore w:val="0"/>
        <w:widowControl w:val="0"/>
        <w:numPr>
          <w:ilvl w:val="0"/>
          <w:numId w:val="0"/>
        </w:numPr>
        <w:kinsoku/>
        <w:wordWrap/>
        <w:topLinePunct w:val="0"/>
        <w:autoSpaceDE w:val="0"/>
        <w:autoSpaceDN w:val="0"/>
        <w:bidi w:val="0"/>
        <w:adjustRightIn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2.2.1 </w:t>
      </w:r>
      <w:r>
        <w:rPr>
          <w:rFonts w:hint="default" w:ascii="Times New Roman" w:hAnsi="Times New Roman" w:eastAsia="仿宋" w:cs="Times New Roman"/>
          <w:color w:val="000000" w:themeColor="text1"/>
          <w:sz w:val="32"/>
          <w:szCs w:val="32"/>
          <w:highlight w:val="none"/>
          <w14:textFill>
            <w14:solidFill>
              <w14:schemeClr w14:val="tx1"/>
            </w14:solidFill>
          </w14:textFill>
        </w:rPr>
        <w:t>对于可溶性的</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相对</w:t>
      </w:r>
      <w:r>
        <w:rPr>
          <w:rFonts w:hint="default" w:ascii="Times New Roman" w:hAnsi="Times New Roman" w:eastAsia="仿宋" w:cs="Times New Roman"/>
          <w:color w:val="000000" w:themeColor="text1"/>
          <w:sz w:val="32"/>
          <w:szCs w:val="32"/>
          <w:highlight w:val="none"/>
          <w14:textFill>
            <w14:solidFill>
              <w14:schemeClr w14:val="tx1"/>
            </w14:solidFill>
          </w14:textFill>
        </w:rPr>
        <w:t>无细胞毒性的受试物，最高浓度应为5</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μL/mL，5</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mg/mL或0.01</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mol/L。</w:t>
      </w:r>
    </w:p>
    <w:p>
      <w:pPr>
        <w:keepNext w:val="0"/>
        <w:keepLines w:val="0"/>
        <w:pageBreakBefore w:val="0"/>
        <w:widowControl w:val="0"/>
        <w:numPr>
          <w:ilvl w:val="0"/>
          <w:numId w:val="0"/>
        </w:numPr>
        <w:kinsoku/>
        <w:wordWrap/>
        <w:topLinePunct w:val="0"/>
        <w:autoSpaceDE w:val="0"/>
        <w:autoSpaceDN w:val="0"/>
        <w:bidi w:val="0"/>
        <w:adjustRightIn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2.2.2 </w:t>
      </w:r>
      <w:r>
        <w:rPr>
          <w:rFonts w:hint="default" w:ascii="Times New Roman" w:hAnsi="Times New Roman" w:eastAsia="仿宋" w:cs="Times New Roman"/>
          <w:color w:val="000000" w:themeColor="text1"/>
          <w:sz w:val="32"/>
          <w:szCs w:val="32"/>
          <w:highlight w:val="none"/>
          <w14:textFill>
            <w14:solidFill>
              <w14:schemeClr w14:val="tx1"/>
            </w14:solidFill>
          </w14:textFill>
        </w:rPr>
        <w:t>对于可溶性的有细胞毒性的受试物，其浓度范围应包括从最大毒性至几乎无毒性</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通常浓度间隔系数</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在</w:t>
      </w:r>
      <w:r>
        <w:rPr>
          <w:rFonts w:hint="default" w:ascii="Times New Roman" w:hAnsi="Times New Roman" w:eastAsia="仿宋" w:cs="Times New Roman"/>
          <w:color w:val="000000" w:themeColor="text1"/>
          <w:sz w:val="32"/>
          <w:szCs w:val="32"/>
          <w:highlight w:val="none"/>
          <w:vertAlign w:val="baseline"/>
          <w14:textFill>
            <w14:solidFill>
              <w14:schemeClr w14:val="tx1"/>
            </w14:solidFill>
          </w14:textFill>
        </w:rPr>
        <w:t>2～</w:t>
      </w:r>
      <w:r>
        <w:rPr>
          <w:rFonts w:hint="default" w:ascii="Times New Roman" w:hAnsi="Times New Roman" w:eastAsia="仿宋" w:cs="Times New Roman"/>
          <w:color w:val="000000" w:themeColor="text1"/>
          <w:position w:val="-8"/>
          <w:sz w:val="32"/>
          <w:szCs w:val="32"/>
          <w:highlight w:val="none"/>
          <w:vertAlign w:val="baseline"/>
          <w14:textFill>
            <w14:solidFill>
              <w14:schemeClr w14:val="tx1"/>
            </w14:solidFill>
          </w14:textFill>
        </w:rPr>
        <w:object>
          <v:shape id="_x0000_i1025" o:spt="75" type="#_x0000_t75" style="height:20pt;width:27.0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Times New Roman" w:hAnsi="Times New Roman" w:eastAsia="仿宋" w:cs="Times New Roman"/>
          <w:color w:val="000000" w:themeColor="text1"/>
          <w:position w:val="-8"/>
          <w:sz w:val="32"/>
          <w:szCs w:val="32"/>
          <w:highlight w:val="none"/>
          <w:lang w:val="en-US" w:eastAsia="zh-CN"/>
          <w14:textFill>
            <w14:solidFill>
              <w14:schemeClr w14:val="tx1"/>
            </w14:solidFill>
          </w14:textFill>
        </w:rPr>
        <w:t>之间</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所选择的浓度应覆盖产生细胞毒性的范围，并且包括具有中度或少/无细胞毒性的浓度。</w:t>
      </w:r>
      <w:r>
        <w:rPr>
          <w:rFonts w:hint="default" w:ascii="Times New Roman" w:hAnsi="Times New Roman" w:eastAsia="仿宋" w:cs="Times New Roman"/>
          <w:color w:val="000000" w:themeColor="text1"/>
          <w:sz w:val="32"/>
          <w:szCs w:val="32"/>
          <w:highlight w:val="none"/>
          <w14:textFill>
            <w14:solidFill>
              <w14:schemeClr w14:val="tx1"/>
            </w14:solidFill>
          </w14:textFill>
        </w:rPr>
        <w:t>应根据细胞毒性大小确定最高浓度，最高浓度应能产生80%～90%的细胞毒性</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即最高浓度的细胞相对存活率（相对集落形成率）或相对细胞总生长率（Relative total growth，RTG）应为1</w:t>
      </w:r>
      <w:r>
        <w:rPr>
          <w:rFonts w:hint="default" w:ascii="Times New Roman" w:hAnsi="Times New Roman" w:eastAsia="仿宋" w:cs="Times New Roman"/>
          <w:color w:val="000000" w:themeColor="text1"/>
          <w:sz w:val="32"/>
          <w:szCs w:val="32"/>
          <w:highlight w:val="none"/>
          <w14:textFill>
            <w14:solidFill>
              <w14:schemeClr w14:val="tx1"/>
            </w14:solidFill>
          </w14:textFill>
        </w:rPr>
        <w:t>0%～</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0%</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不低于1</w:t>
      </w:r>
      <w:r>
        <w:rPr>
          <w:rFonts w:hint="default" w:ascii="Times New Roman" w:hAnsi="Times New Roman" w:eastAsia="仿宋" w:cs="Times New Roman"/>
          <w:color w:val="000000" w:themeColor="text1"/>
          <w:sz w:val="32"/>
          <w:szCs w:val="32"/>
          <w:highlight w:val="none"/>
          <w14:textFill>
            <w14:solidFill>
              <w14:schemeClr w14:val="tx1"/>
            </w14:solidFill>
          </w14:textFill>
        </w:rPr>
        <w:t>0%</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topLinePunct w:val="0"/>
        <w:autoSpaceDE w:val="0"/>
        <w:autoSpaceDN w:val="0"/>
        <w:bidi w:val="0"/>
        <w:adjustRightInd w:val="0"/>
        <w:spacing w:line="360" w:lineRule="auto"/>
        <w:ind w:firstLine="640" w:firstLineChars="200"/>
        <w:jc w:val="both"/>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2.2.3 </w:t>
      </w:r>
      <w:r>
        <w:rPr>
          <w:rFonts w:hint="default" w:ascii="Times New Roman" w:hAnsi="Times New Roman" w:eastAsia="仿宋" w:cs="Times New Roman"/>
          <w:color w:val="000000" w:themeColor="text1"/>
          <w:sz w:val="32"/>
          <w:szCs w:val="32"/>
          <w:highlight w:val="none"/>
          <w14:textFill>
            <w14:solidFill>
              <w14:schemeClr w14:val="tx1"/>
            </w14:solidFill>
          </w14:textFill>
        </w:rPr>
        <w:t>对于</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相对不溶解</w:t>
      </w:r>
      <w:r>
        <w:rPr>
          <w:rFonts w:hint="default" w:ascii="Times New Roman" w:hAnsi="Times New Roman" w:eastAsia="仿宋" w:cs="Times New Roman"/>
          <w:color w:val="000000" w:themeColor="text1"/>
          <w:sz w:val="32"/>
          <w:szCs w:val="32"/>
          <w:highlight w:val="none"/>
          <w14:textFill>
            <w14:solidFill>
              <w14:schemeClr w14:val="tx1"/>
            </w14:solidFill>
          </w14:textFill>
        </w:rPr>
        <w:t>的受试物，</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最高浓度应达到或超过在细胞培养状态下的溶解度限制。</w:t>
      </w:r>
      <w:r>
        <w:rPr>
          <w:rFonts w:hint="default" w:ascii="Times New Roman" w:hAnsi="Times New Roman" w:eastAsia="仿宋" w:cs="Times New Roman"/>
          <w:color w:val="000000" w:themeColor="text1"/>
          <w:sz w:val="32"/>
          <w:szCs w:val="32"/>
          <w:highlight w:val="none"/>
          <w14:textFill>
            <w14:solidFill>
              <w14:schemeClr w14:val="tx1"/>
            </w14:solidFill>
          </w14:textFill>
        </w:rPr>
        <w:t>若无细胞毒性，一般采用最小沉淀浓度作为最高浓度；</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若</w:t>
      </w:r>
      <w:r>
        <w:rPr>
          <w:rFonts w:hint="default" w:ascii="Times New Roman" w:hAnsi="Times New Roman" w:eastAsia="仿宋" w:cs="Times New Roman"/>
          <w:color w:val="000000" w:themeColor="text1"/>
          <w:sz w:val="32"/>
          <w:szCs w:val="32"/>
          <w:highlight w:val="none"/>
          <w14:textFill>
            <w14:solidFill>
              <w14:schemeClr w14:val="tx1"/>
            </w14:solidFill>
          </w14:textFill>
        </w:rPr>
        <w:t>细胞毒性出现在最小沉淀浓度以上，一般建议只检测1个沉淀浓度，因为沉淀可能产生干扰。由于细胞、外源代谢活化系统等存在</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于试验系统内，可能会使受试物在染毒过程中溶解度发生改变，因此最好在试验染毒开始和结束时均对受试物溶解度进行判定。不溶解性可用肉眼鉴别，但沉淀不应影响观察。</w:t>
      </w:r>
    </w:p>
    <w:p>
      <w:pPr>
        <w:pStyle w:val="17"/>
        <w:keepNext w:val="0"/>
        <w:keepLines w:val="0"/>
        <w:pageBreakBefore w:val="0"/>
        <w:widowControl w:val="0"/>
        <w:kinsoku/>
        <w:wordWrap/>
        <w:topLinePunct w:val="0"/>
        <w:bidi w:val="0"/>
        <w:spacing w:line="360" w:lineRule="auto"/>
        <w:ind w:left="601" w:firstLine="0" w:firstLineChars="0"/>
        <w:jc w:val="both"/>
        <w:textAlignment w:val="auto"/>
        <w:outlineLvl w:val="0"/>
        <w:rPr>
          <w:rFonts w:hint="default" w:ascii="Times New Roman" w:hAnsi="Times New Roman" w:eastAsia="黑体" w:cs="Times New Roman"/>
          <w:bCs/>
          <w:color w:val="000000" w:themeColor="text1"/>
          <w:sz w:val="32"/>
          <w:szCs w:val="32"/>
          <w:highlight w:val="none"/>
          <w14:textFill>
            <w14:solidFill>
              <w14:schemeClr w14:val="tx1"/>
            </w14:solidFill>
          </w14:textFill>
        </w:rPr>
      </w:pPr>
      <w:bookmarkStart w:id="15" w:name="_Toc15851"/>
      <w:r>
        <w:rPr>
          <w:rFonts w:hint="default" w:ascii="Times New Roman" w:hAnsi="Times New Roman" w:eastAsia="黑体" w:cs="Times New Roman"/>
          <w:bCs/>
          <w:color w:val="000000" w:themeColor="text1"/>
          <w:sz w:val="32"/>
          <w:szCs w:val="32"/>
          <w:highlight w:val="none"/>
          <w14:textFill>
            <w14:solidFill>
              <w14:schemeClr w14:val="tx1"/>
            </w14:solidFill>
          </w14:textFill>
        </w:rPr>
        <w:t>三、基本内容</w:t>
      </w:r>
      <w:bookmarkEnd w:id="15"/>
    </w:p>
    <w:p>
      <w:pPr>
        <w:keepNext w:val="0"/>
        <w:keepLines w:val="0"/>
        <w:pageBreakBefore w:val="0"/>
        <w:widowControl w:val="0"/>
        <w:kinsoku/>
        <w:wordWrap/>
        <w:topLinePunct w:val="0"/>
        <w:bidi w:val="0"/>
        <w:spacing w:line="360" w:lineRule="auto"/>
        <w:ind w:firstLine="643" w:firstLineChars="200"/>
        <w:jc w:val="both"/>
        <w:textAlignment w:val="auto"/>
        <w:outlineLvl w:val="1"/>
        <w:rPr>
          <w:rFonts w:hint="default" w:ascii="Times New Roman" w:hAnsi="Times New Roman" w:eastAsia="仿宋" w:cs="Times New Roman"/>
          <w:b/>
          <w:color w:val="000000" w:themeColor="text1"/>
          <w:sz w:val="32"/>
          <w:szCs w:val="32"/>
          <w:highlight w:val="none"/>
          <w14:textFill>
            <w14:solidFill>
              <w14:schemeClr w14:val="tx1"/>
            </w14:solidFill>
          </w14:textFill>
        </w:rPr>
      </w:pPr>
      <w:bookmarkStart w:id="16" w:name="_Toc12264"/>
      <w:r>
        <w:rPr>
          <w:rFonts w:hint="default" w:ascii="Times New Roman" w:hAnsi="Times New Roman" w:eastAsia="仿宋" w:cs="Times New Roman"/>
          <w:b/>
          <w:color w:val="000000" w:themeColor="text1"/>
          <w:sz w:val="32"/>
          <w:szCs w:val="32"/>
          <w:highlight w:val="none"/>
          <w14:textFill>
            <w14:solidFill>
              <w14:schemeClr w14:val="tx1"/>
            </w14:solidFill>
          </w14:textFill>
        </w:rPr>
        <w:t>（一）试验设计</w:t>
      </w:r>
      <w:bookmarkEnd w:id="16"/>
    </w:p>
    <w:p>
      <w:pPr>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试验时，应同时设置阳性对照组、阴性对照组和至少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个可供分析的受试物剂量组，必要时设置空白对照组。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 w:cs="Times New Roman"/>
          <w:color w:val="000000" w:themeColor="text1"/>
          <w:sz w:val="32"/>
          <w:szCs w:val="32"/>
          <w:highlight w:val="none"/>
          <w14:textFill>
            <w14:solidFill>
              <w14:schemeClr w14:val="tx1"/>
            </w14:solidFill>
          </w14:textFill>
        </w:rPr>
        <w:t>各实验室应建立历史背景对照数据库（包括阴性和阳性对照数据库）。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3. 体外哺乳动物细胞</w:t>
      </w: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TK</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基因突变试验即小鼠淋巴瘤细胞试验（MLA试验）。</w:t>
      </w: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TK</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基因位点的突变可采用小鼠淋巴瘤L5178Y细胞和人淋巴母细胞TK6细胞。目前，TK6试验已纳入OECD指导原则，但对于该试验目前积累的试验经验较少，且未进行充分的方法学验证。若使用TK6细胞进行化妆品及新原料的致突变性评价，需要先经过充分的方法学验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4. 体外试验一般需要首先证明试验方法成立，以MLA试验为例：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阴性对照组和阳性对照组必须符合以下标准才可判定MLA试验成立。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阴</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性对照组的突变率、突变选择时的克隆率、悬液增长应满足以下条件：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表</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MLA成立的阴性对照组标准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3179"/>
        <w:gridCol w:w="3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参数</w:t>
            </w:r>
          </w:p>
        </w:tc>
        <w:tc>
          <w:tcPr>
            <w:tcW w:w="317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软琼脂法</w:t>
            </w:r>
          </w:p>
        </w:tc>
        <w:tc>
          <w:tcPr>
            <w:tcW w:w="0" w:type="auto"/>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微孔法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突变率（MF）</w:t>
            </w:r>
          </w:p>
        </w:tc>
        <w:tc>
          <w:tcPr>
            <w:tcW w:w="317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（35～140）×10</w:t>
            </w:r>
            <w:r>
              <w:rPr>
                <w:rFonts w:hint="default" w:ascii="Times New Roman" w:hAnsi="Times New Roman" w:eastAsia="仿宋" w:cs="Times New Roman"/>
                <w:color w:val="000000" w:themeColor="text1"/>
                <w:sz w:val="32"/>
                <w:szCs w:val="32"/>
                <w:highlight w:val="none"/>
                <w:vertAlign w:val="superscript"/>
                <w:lang w:val="en-US" w:eastAsia="zh-CN"/>
                <w14:textFill>
                  <w14:solidFill>
                    <w14:schemeClr w14:val="tx1"/>
                  </w14:solidFill>
                </w14:textFill>
              </w:rPr>
              <w:t>-6</w:t>
            </w:r>
          </w:p>
        </w:tc>
        <w:tc>
          <w:tcPr>
            <w:tcW w:w="0" w:type="auto"/>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（50～170）×10</w:t>
            </w:r>
            <w:r>
              <w:rPr>
                <w:rFonts w:hint="default" w:ascii="Times New Roman" w:hAnsi="Times New Roman" w:eastAsia="仿宋" w:cs="Times New Roman"/>
                <w:color w:val="000000" w:themeColor="text1"/>
                <w:sz w:val="32"/>
                <w:szCs w:val="32"/>
                <w:highlight w:val="none"/>
                <w:vertAlign w:val="superscript"/>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克隆率</w:t>
            </w:r>
          </w:p>
        </w:tc>
        <w:tc>
          <w:tcPr>
            <w:tcW w:w="317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65%～120%</w:t>
            </w:r>
          </w:p>
        </w:tc>
        <w:tc>
          <w:tcPr>
            <w:tcW w:w="0" w:type="auto"/>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65%～120%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悬液增长</w:t>
            </w:r>
          </w:p>
        </w:tc>
        <w:tc>
          <w:tcPr>
            <w:tcW w:w="317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8～32倍（3～4小时处理）</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32～180倍（24小时处理）</w:t>
            </w:r>
          </w:p>
        </w:tc>
        <w:tc>
          <w:tcPr>
            <w:tcW w:w="0" w:type="auto"/>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8～32倍（3～4小时处理）</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32～180倍（24小时处理）</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阳性对照组应满足以下条件之一：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总突变率绝对增加，比自发背景突变率增加[即诱导MF（IMF）]至少300×10</w:t>
      </w:r>
      <w:r>
        <w:rPr>
          <w:rFonts w:hint="default" w:ascii="Times New Roman" w:hAnsi="Times New Roman" w:eastAsia="仿宋" w:cs="Times New Roman"/>
          <w:color w:val="000000" w:themeColor="text1"/>
          <w:sz w:val="32"/>
          <w:szCs w:val="32"/>
          <w:highlight w:val="none"/>
          <w:vertAlign w:val="superscript"/>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，至少40%的IMF应该在小菌落MF中。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与同期阴性对照组比较，小菌落MF增加至少150×10</w:t>
      </w:r>
      <w:r>
        <w:rPr>
          <w:rFonts w:hint="default" w:ascii="Times New Roman" w:hAnsi="Times New Roman" w:eastAsia="仿宋" w:cs="Times New Roman"/>
          <w:color w:val="000000" w:themeColor="text1"/>
          <w:sz w:val="32"/>
          <w:szCs w:val="32"/>
          <w:highlight w:val="none"/>
          <w:vertAlign w:val="superscript"/>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MLA中突变率的增加具有生物学意义的评价标准为，在任何一种试验条件下，如果一个或多个浓度组的突变率增加超过总评价因子（Global evaluation factor，GEF）（GEF</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表示</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诱导突变率，即高于同期阴性对照的突变率的增加</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值</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。软琼脂法</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GEF为90×10</w:t>
      </w:r>
      <w:r>
        <w:rPr>
          <w:rFonts w:hint="default" w:ascii="Times New Roman" w:hAnsi="Times New Roman" w:eastAsia="仿宋" w:cs="Times New Roman"/>
          <w:color w:val="000000" w:themeColor="text1"/>
          <w:sz w:val="32"/>
          <w:szCs w:val="32"/>
          <w:highlight w:val="none"/>
          <w:vertAlign w:val="superscript"/>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，微孔法</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GEF为126×10</w:t>
      </w:r>
      <w:r>
        <w:rPr>
          <w:rFonts w:hint="default" w:ascii="Times New Roman" w:hAnsi="Times New Roman" w:eastAsia="仿宋" w:cs="Times New Roman"/>
          <w:color w:val="000000" w:themeColor="text1"/>
          <w:sz w:val="32"/>
          <w:szCs w:val="32"/>
          <w:highlight w:val="none"/>
          <w:vertAlign w:val="superscript"/>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），且呈浓度依赖性，判定为阳性结果。如果在所有试验条件下各浓度组的突变率无浓度依赖性增加或突变率的增加未超过GEF，判定为阴性结果。</w:t>
      </w:r>
    </w:p>
    <w:p>
      <w:pPr>
        <w:keepNext w:val="0"/>
        <w:keepLines w:val="0"/>
        <w:pageBreakBefore w:val="0"/>
        <w:widowControl w:val="0"/>
        <w:kinsoku/>
        <w:wordWrap/>
        <w:topLinePunct w:val="0"/>
        <w:bidi w:val="0"/>
        <w:spacing w:line="360" w:lineRule="auto"/>
        <w:ind w:firstLine="643" w:firstLineChars="200"/>
        <w:jc w:val="both"/>
        <w:textAlignment w:val="auto"/>
        <w:outlineLvl w:val="1"/>
        <w:rPr>
          <w:rFonts w:hint="eastAsia" w:ascii="Times New Roman" w:hAnsi="Times New Roman" w:eastAsia="仿宋" w:cs="Times New Roman"/>
          <w:b/>
          <w:color w:val="000000" w:themeColor="text1"/>
          <w:sz w:val="32"/>
          <w:szCs w:val="32"/>
          <w:highlight w:val="none"/>
          <w:lang w:val="en-US" w:eastAsia="zh-CN"/>
          <w14:textFill>
            <w14:solidFill>
              <w14:schemeClr w14:val="tx1"/>
            </w14:solidFill>
          </w14:textFill>
        </w:rPr>
      </w:pPr>
      <w:bookmarkStart w:id="17" w:name="_Toc1794"/>
      <w:r>
        <w:rPr>
          <w:rFonts w:hint="default" w:ascii="Times New Roman" w:hAnsi="Times New Roman" w:eastAsia="仿宋" w:cs="Times New Roman"/>
          <w:b/>
          <w:color w:val="000000" w:themeColor="text1"/>
          <w:sz w:val="32"/>
          <w:szCs w:val="32"/>
          <w:highlight w:val="none"/>
          <w14:textFill>
            <w14:solidFill>
              <w14:schemeClr w14:val="tx1"/>
            </w14:solidFill>
          </w14:textFill>
        </w:rPr>
        <w:t>（二）</w:t>
      </w:r>
      <w:r>
        <w:rPr>
          <w:rFonts w:hint="eastAsia" w:ascii="Times New Roman" w:hAnsi="Times New Roman" w:eastAsia="仿宋" w:cs="Times New Roman"/>
          <w:b/>
          <w:color w:val="000000" w:themeColor="text1"/>
          <w:sz w:val="32"/>
          <w:szCs w:val="32"/>
          <w:highlight w:val="none"/>
          <w:lang w:val="en-US" w:eastAsia="zh-CN"/>
          <w14:textFill>
            <w14:solidFill>
              <w14:schemeClr w14:val="tx1"/>
            </w14:solidFill>
          </w14:textFill>
        </w:rPr>
        <w:t>需通过</w:t>
      </w:r>
      <w:r>
        <w:rPr>
          <w:rFonts w:hint="default" w:ascii="Times New Roman" w:hAnsi="Times New Roman" w:eastAsia="仿宋" w:cs="Times New Roman"/>
          <w:b/>
          <w:color w:val="000000" w:themeColor="text1"/>
          <w:sz w:val="32"/>
          <w:szCs w:val="32"/>
          <w:highlight w:val="none"/>
          <w14:textFill>
            <w14:solidFill>
              <w14:schemeClr w14:val="tx1"/>
            </w14:solidFill>
          </w14:textFill>
        </w:rPr>
        <w:t>重复试验</w:t>
      </w:r>
      <w:bookmarkEnd w:id="17"/>
      <w:r>
        <w:rPr>
          <w:rFonts w:hint="eastAsia" w:ascii="Times New Roman" w:hAnsi="Times New Roman" w:eastAsia="仿宋" w:cs="Times New Roman"/>
          <w:b/>
          <w:color w:val="000000" w:themeColor="text1"/>
          <w:sz w:val="32"/>
          <w:szCs w:val="32"/>
          <w:highlight w:val="none"/>
          <w:lang w:val="en-US" w:eastAsia="zh-CN"/>
          <w14:textFill>
            <w14:solidFill>
              <w14:schemeClr w14:val="tx1"/>
            </w14:solidFill>
          </w14:textFill>
        </w:rPr>
        <w:t xml:space="preserve">进行结果确证的情况 </w:t>
      </w:r>
    </w:p>
    <w:p>
      <w:pPr>
        <w:keepNext w:val="0"/>
        <w:keepLines w:val="0"/>
        <w:pageBreakBefore w:val="0"/>
        <w:widowControl w:val="0"/>
        <w:kinsoku/>
        <w:wordWrap/>
        <w:topLinePunct w:val="0"/>
        <w:bidi w:val="0"/>
        <w:spacing w:line="360" w:lineRule="auto"/>
        <w:ind w:firstLine="64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体外试验</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如果出现明确的阳性或阴性结果，不需要重复试验。</w:t>
      </w:r>
      <w:r>
        <w:rPr>
          <w:rFonts w:hint="default" w:ascii="Times New Roman" w:hAnsi="Times New Roman" w:eastAsia="仿宋" w:cs="Times New Roman"/>
          <w:color w:val="000000" w:themeColor="text1"/>
          <w:sz w:val="32"/>
          <w:szCs w:val="32"/>
          <w:highlight w:val="none"/>
          <w14:textFill>
            <w14:solidFill>
              <w14:schemeClr w14:val="tx1"/>
            </w14:solidFill>
          </w14:textFill>
        </w:rPr>
        <w:t>如果无法获得明确结论时，应</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对数据进行进一步研究</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或</w:t>
      </w:r>
      <w:r>
        <w:rPr>
          <w:rFonts w:hint="default" w:ascii="Times New Roman" w:hAnsi="Times New Roman" w:eastAsia="仿宋" w:cs="Times New Roman"/>
          <w:color w:val="000000" w:themeColor="text1"/>
          <w:sz w:val="32"/>
          <w:szCs w:val="32"/>
          <w:highlight w:val="none"/>
          <w14:textFill>
            <w14:solidFill>
              <w14:schemeClr w14:val="tx1"/>
            </w14:solidFill>
          </w14:textFill>
        </w:rPr>
        <w:t>更换试验条件（如</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改变试验浓度间距、改变代谢活化条件和</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受试物</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处理时间等</w:t>
      </w:r>
      <w:r>
        <w:rPr>
          <w:rFonts w:hint="default" w:ascii="Times New Roman" w:hAnsi="Times New Roman" w:eastAsia="仿宋" w:cs="Times New Roman"/>
          <w:color w:val="000000" w:themeColor="text1"/>
          <w:sz w:val="32"/>
          <w:szCs w:val="32"/>
          <w:highlight w:val="none"/>
          <w14:textFill>
            <w14:solidFill>
              <w14:schemeClr w14:val="tx1"/>
            </w14:solidFill>
          </w14:textFill>
        </w:rPr>
        <w:t>），再重新进行试验</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对结果进一步确证</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 w:cs="Times New Roman"/>
          <w:color w:val="000000" w:themeColor="text1"/>
          <w:sz w:val="32"/>
          <w:szCs w:val="32"/>
          <w:highlight w:val="none"/>
          <w14:textFill>
            <w14:solidFill>
              <w14:schemeClr w14:val="tx1"/>
            </w14:solidFill>
          </w14:textFill>
        </w:rPr>
        <w:t>当试验出现非预期结果</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或</w:t>
      </w:r>
      <w:r>
        <w:rPr>
          <w:rFonts w:hint="default" w:ascii="Times New Roman" w:hAnsi="Times New Roman" w:eastAsia="仿宋" w:cs="Times New Roman"/>
          <w:color w:val="000000" w:themeColor="text1"/>
          <w:sz w:val="32"/>
          <w:szCs w:val="32"/>
          <w:highlight w:val="none"/>
          <w14:textFill>
            <w14:solidFill>
              <w14:schemeClr w14:val="tx1"/>
            </w14:solidFill>
          </w14:textFill>
        </w:rPr>
        <w:t>采用新方法时</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如未采用</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化妆品安全技术规范</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或本指导原则中收录的试验方法、推荐使用的细胞系或检测指标等）</w:t>
      </w:r>
      <w:r>
        <w:rPr>
          <w:rFonts w:hint="default" w:ascii="Times New Roman" w:hAnsi="Times New Roman" w:eastAsia="仿宋" w:cs="Times New Roman"/>
          <w:color w:val="000000" w:themeColor="text1"/>
          <w:sz w:val="32"/>
          <w:szCs w:val="32"/>
          <w:highlight w:val="none"/>
          <w14:textFill>
            <w14:solidFill>
              <w14:schemeClr w14:val="tx1"/>
            </w14:solidFill>
          </w14:textFill>
        </w:rPr>
        <w:t>，有必要进行重复试验</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对试验结果进行确证</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topLinePunct w:val="0"/>
        <w:bidi w:val="0"/>
        <w:spacing w:line="360" w:lineRule="auto"/>
        <w:ind w:firstLine="640" w:firstLineChars="200"/>
        <w:jc w:val="both"/>
        <w:textAlignment w:val="auto"/>
        <w:outlineLvl w:val="0"/>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pPr>
      <w:bookmarkStart w:id="18" w:name="_Toc20983"/>
      <w:r>
        <w:rPr>
          <w:rFonts w:hint="default" w:ascii="Times New Roman" w:hAnsi="Times New Roman" w:eastAsia="黑体" w:cs="Times New Roman"/>
          <w:bCs/>
          <w:color w:val="000000" w:themeColor="text1"/>
          <w:sz w:val="32"/>
          <w:szCs w:val="32"/>
          <w:highlight w:val="none"/>
          <w14:textFill>
            <w14:solidFill>
              <w14:schemeClr w14:val="tx1"/>
            </w14:solidFill>
          </w14:textFill>
        </w:rPr>
        <w:t>四、结果</w:t>
      </w:r>
      <w:r>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t>分析与评价</w:t>
      </w:r>
      <w:bookmarkEnd w:id="18"/>
    </w:p>
    <w:p>
      <w:pPr>
        <w:pStyle w:val="7"/>
        <w:bidi w:val="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）结果分析</w:t>
      </w:r>
    </w:p>
    <w:p>
      <w:pPr>
        <w:keepNext w:val="0"/>
        <w:keepLines w:val="0"/>
        <w:pageBreakBefore w:val="0"/>
        <w:widowControl w:val="0"/>
        <w:kinsoku/>
        <w:wordWrap/>
        <w:topLinePunct w:val="0"/>
        <w:bidi w:val="0"/>
        <w:spacing w:line="360" w:lineRule="auto"/>
        <w:ind w:firstLine="640" w:firstLineChars="200"/>
        <w:jc w:val="both"/>
        <w:textAlignment w:val="auto"/>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1. </w:t>
      </w:r>
      <w:r>
        <w:rPr>
          <w:rFonts w:hint="default" w:ascii="Times New Roman" w:hAnsi="Times New Roman" w:eastAsia="仿宋" w:cs="Times New Roman"/>
          <w:color w:val="000000" w:themeColor="text1"/>
          <w:sz w:val="32"/>
          <w:szCs w:val="32"/>
          <w:highlight w:val="none"/>
          <w14:textFill>
            <w14:solidFill>
              <w14:schemeClr w14:val="tx1"/>
            </w14:solidFill>
          </w14:textFill>
        </w:rPr>
        <w:t>结果中应描述各浓度组细胞毒性大小和沉淀情况</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 w:cs="Times New Roman"/>
          <w:color w:val="000000" w:themeColor="text1"/>
          <w:sz w:val="32"/>
          <w:szCs w:val="32"/>
          <w:highlight w:val="none"/>
          <w14:textFill>
            <w14:solidFill>
              <w14:schemeClr w14:val="tx1"/>
            </w14:solidFill>
          </w14:textFill>
        </w:rPr>
        <w:t>结果表示为各浓度组的突变率（Mutant frequency，MF）</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应用χ</w:t>
      </w:r>
      <w:r>
        <w:rPr>
          <w:rFonts w:hint="default" w:ascii="Times New Roman" w:hAnsi="Times New Roman" w:eastAsia="仿宋" w:cs="Times New Roman"/>
          <w:color w:val="000000" w:themeColor="text1"/>
          <w:sz w:val="32"/>
          <w:szCs w:val="32"/>
          <w:highlight w:val="none"/>
          <w:vertAlign w:val="superscript"/>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检验对阳性对照组、阴性对照组和受试物各剂量组的</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MF</w:t>
      </w:r>
      <w:r>
        <w:rPr>
          <w:rFonts w:hint="default" w:ascii="Times New Roman" w:hAnsi="Times New Roman" w:eastAsia="仿宋" w:cs="Times New Roman"/>
          <w:color w:val="000000" w:themeColor="text1"/>
          <w:sz w:val="32"/>
          <w:szCs w:val="32"/>
          <w:highlight w:val="none"/>
          <w14:textFill>
            <w14:solidFill>
              <w14:schemeClr w14:val="tx1"/>
            </w14:solidFill>
          </w14:textFill>
        </w:rPr>
        <w:t>进行统计学分析。</w:t>
      </w:r>
    </w:p>
    <w:p>
      <w:pPr>
        <w:pStyle w:val="7"/>
        <w:bidi w:val="0"/>
        <w:rPr>
          <w:rFonts w:hint="eastAsia" w:ascii="仿宋" w:hAnsi="仿宋" w:eastAsia="仿宋" w:cs="仿宋"/>
          <w:b/>
          <w:bCs/>
          <w:sz w:val="32"/>
          <w:szCs w:val="32"/>
          <w:lang w:val="en-US" w:eastAsia="zh-CN"/>
        </w:rPr>
      </w:pPr>
      <w:r>
        <w:rPr>
          <w:rFonts w:hint="default" w:ascii="仿宋" w:hAnsi="仿宋" w:eastAsia="仿宋" w:cs="仿宋"/>
          <w:b/>
          <w:bCs/>
          <w:sz w:val="32"/>
          <w:szCs w:val="32"/>
        </w:rPr>
        <w:t>（</w:t>
      </w:r>
      <w:r>
        <w:rPr>
          <w:rFonts w:hint="eastAsia" w:ascii="仿宋" w:hAnsi="仿宋" w:eastAsia="仿宋" w:cs="仿宋"/>
          <w:b/>
          <w:bCs/>
          <w:sz w:val="32"/>
          <w:szCs w:val="32"/>
          <w:lang w:val="en-US" w:eastAsia="zh-CN"/>
        </w:rPr>
        <w:t>二</w:t>
      </w:r>
      <w:r>
        <w:rPr>
          <w:rFonts w:hint="default" w:ascii="仿宋" w:hAnsi="仿宋" w:eastAsia="仿宋" w:cs="仿宋"/>
          <w:b/>
          <w:bCs/>
          <w:sz w:val="32"/>
          <w:szCs w:val="32"/>
        </w:rPr>
        <w:t>）结果</w:t>
      </w:r>
      <w:r>
        <w:rPr>
          <w:rFonts w:hint="eastAsia" w:ascii="仿宋" w:hAnsi="仿宋" w:eastAsia="仿宋" w:cs="仿宋"/>
          <w:b/>
          <w:bCs/>
          <w:sz w:val="32"/>
          <w:szCs w:val="32"/>
          <w:lang w:val="en-US" w:eastAsia="zh-CN"/>
        </w:rPr>
        <w:t>评价</w:t>
      </w:r>
    </w:p>
    <w:p>
      <w:pPr>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在下列两种情况下可判定受试物在本试验系统中具有致突变性：</w:t>
      </w:r>
    </w:p>
    <w:p>
      <w:pPr>
        <w:keepNext w:val="0"/>
        <w:keepLines w:val="0"/>
        <w:pageBreakBefore w:val="0"/>
        <w:widowControl w:val="0"/>
        <w:kinsoku/>
        <w:wordWrap/>
        <w:topLinePunct w:val="0"/>
        <w:autoSpaceDE w:val="0"/>
        <w:autoSpaceDN w:val="0"/>
        <w:bidi w:val="0"/>
        <w:adjustRightInd w:val="0"/>
        <w:spacing w:after="131"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1.受试物引起</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突变频率</w:t>
      </w:r>
      <w:r>
        <w:rPr>
          <w:rFonts w:hint="default" w:ascii="Times New Roman" w:hAnsi="Times New Roman" w:eastAsia="仿宋" w:cs="Times New Roman"/>
          <w:color w:val="000000" w:themeColor="text1"/>
          <w:sz w:val="32"/>
          <w:szCs w:val="32"/>
          <w:highlight w:val="none"/>
          <w14:textFill>
            <w14:solidFill>
              <w14:schemeClr w14:val="tx1"/>
            </w14:solidFill>
          </w14:textFill>
        </w:rPr>
        <w:t>的增加具有统计学意义，并与剂量相关。</w:t>
      </w:r>
    </w:p>
    <w:p>
      <w:pPr>
        <w:keepNext w:val="0"/>
        <w:keepLines w:val="0"/>
        <w:pageBreakBefore w:val="0"/>
        <w:widowControl w:val="0"/>
        <w:kinsoku/>
        <w:wordWrap/>
        <w:topLinePunct w:val="0"/>
        <w:autoSpaceDE w:val="0"/>
        <w:autoSpaceDN w:val="0"/>
        <w:bidi w:val="0"/>
        <w:adjustRightInd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2.受试物在任何一个剂量条件下，引起的</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突变频率</w:t>
      </w:r>
      <w:r>
        <w:rPr>
          <w:rFonts w:hint="default" w:ascii="Times New Roman" w:hAnsi="Times New Roman" w:eastAsia="仿宋" w:cs="Times New Roman"/>
          <w:color w:val="000000" w:themeColor="text1"/>
          <w:sz w:val="32"/>
          <w:szCs w:val="32"/>
          <w:highlight w:val="none"/>
          <w14:textFill>
            <w14:solidFill>
              <w14:schemeClr w14:val="tx1"/>
            </w14:solidFill>
          </w14:textFill>
        </w:rPr>
        <w:t>增加具有统计学意义，并</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具</w:t>
      </w:r>
      <w:r>
        <w:rPr>
          <w:rFonts w:hint="default" w:ascii="Times New Roman" w:hAnsi="Times New Roman" w:eastAsia="仿宋" w:cs="Times New Roman"/>
          <w:color w:val="000000" w:themeColor="text1"/>
          <w:sz w:val="32"/>
          <w:szCs w:val="32"/>
          <w:highlight w:val="none"/>
          <w14:textFill>
            <w14:solidFill>
              <w14:schemeClr w14:val="tx1"/>
            </w14:solidFill>
          </w14:textFill>
        </w:rPr>
        <w:t>有可重复性。</w:t>
      </w:r>
    </w:p>
    <w:p>
      <w:pPr>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在评价</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试验结果</w:t>
      </w:r>
      <w:r>
        <w:rPr>
          <w:rFonts w:hint="default" w:ascii="Times New Roman" w:hAnsi="Times New Roman" w:eastAsia="仿宋" w:cs="Times New Roman"/>
          <w:color w:val="000000" w:themeColor="text1"/>
          <w:sz w:val="32"/>
          <w:szCs w:val="32"/>
          <w:highlight w:val="none"/>
          <w14:textFill>
            <w14:solidFill>
              <w14:schemeClr w14:val="tx1"/>
            </w14:solidFill>
          </w14:textFill>
        </w:rPr>
        <w:t>时</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还应对观察到统计学上的显著变化以及该变化是否具有生物学意义，对结果</w:t>
      </w:r>
      <w:r>
        <w:rPr>
          <w:rFonts w:hint="default" w:ascii="Times New Roman" w:hAnsi="Times New Roman" w:eastAsia="仿宋" w:cs="Times New Roman"/>
          <w:color w:val="000000" w:themeColor="text1"/>
          <w:sz w:val="32"/>
          <w:szCs w:val="32"/>
          <w:highlight w:val="none"/>
          <w14:textFill>
            <w14:solidFill>
              <w14:schemeClr w14:val="tx1"/>
            </w14:solidFill>
          </w14:textFill>
        </w:rPr>
        <w:t>进行综合</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评估</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topLinePunct w:val="0"/>
        <w:bidi w:val="0"/>
        <w:spacing w:line="360" w:lineRule="auto"/>
        <w:ind w:firstLine="640" w:firstLineChars="200"/>
        <w:jc w:val="both"/>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受试物在加和不加S9条件下，体外哺乳动物细胞基因突变试验结果均为阴性，可视为产品不具有致突变性；若以上任何一种条件下出现阳性结果，则视为产品具有潜在致突变性风险。</w:t>
      </w:r>
    </w:p>
    <w:p>
      <w:pPr>
        <w:keepNext w:val="0"/>
        <w:keepLines w:val="0"/>
        <w:pageBreakBefore w:val="0"/>
        <w:widowControl w:val="0"/>
        <w:kinsoku/>
        <w:wordWrap/>
        <w:topLinePunct w:val="0"/>
        <w:bidi w:val="0"/>
        <w:spacing w:line="360" w:lineRule="auto"/>
        <w:ind w:firstLine="640" w:firstLineChars="200"/>
        <w:jc w:val="both"/>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受试物的致突变试验组合（至少应包括一项基因突变试验和一项染色体畸变试验）结果应为阴性，如其中一项试验结果为阳性，应补充相应检测终点的其他试验，如哺乳动物骨髓细胞染色体畸变试验。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default" w:ascii="Times New Roman" w:hAnsi="Times New Roman" w:eastAsia="黑体" w:cs="Times New Roman"/>
          <w:bCs/>
          <w:color w:val="000000" w:themeColor="text1"/>
          <w:sz w:val="32"/>
          <w:szCs w:val="32"/>
          <w:highlight w:val="none"/>
          <w14:textFill>
            <w14:solidFill>
              <w14:schemeClr w14:val="tx1"/>
            </w14:solidFill>
          </w14:textFill>
        </w:rPr>
      </w:pPr>
      <w:bookmarkStart w:id="19" w:name="_Toc14848"/>
      <w:r>
        <w:rPr>
          <w:rFonts w:hint="default" w:ascii="Times New Roman" w:hAnsi="Times New Roman" w:eastAsia="黑体" w:cs="Times New Roman"/>
          <w:bCs/>
          <w:color w:val="000000" w:themeColor="text1"/>
          <w:sz w:val="32"/>
          <w:szCs w:val="32"/>
          <w:highlight w:val="none"/>
          <w14:textFill>
            <w14:solidFill>
              <w14:schemeClr w14:val="tx1"/>
            </w14:solidFill>
          </w14:textFill>
        </w:rPr>
        <w:t>五、参考文献</w:t>
      </w:r>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 国家药品监督管理局.化妆品安全技术规范.</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2015.</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2.SCCS. Guidance on the safety assessment of nanomaterials in cosmetics.(2019.10)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3.SCCS. The SCCS Notes of guidance for the testing of cosmetic ingredients and their safety evaluation (11</w:t>
      </w:r>
      <w:r>
        <w:rPr>
          <w:rFonts w:hint="eastAsia" w:ascii="Times New Roman" w:hAnsi="Times New Roman" w:eastAsia="仿宋" w:cs="Times New Roman"/>
          <w:color w:val="000000" w:themeColor="text1"/>
          <w:sz w:val="32"/>
          <w:szCs w:val="32"/>
          <w:highlight w:val="none"/>
          <w:vertAlign w:val="superscript"/>
          <w:lang w:val="en-US" w:eastAsia="zh-CN"/>
          <w14:textFill>
            <w14:solidFill>
              <w14:schemeClr w14:val="tx1"/>
            </w14:solidFill>
          </w14:textFill>
        </w:rPr>
        <w:t>th</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revision). (2021.3)</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.国家食品药品监督管理总局. 药物遗传毒性研究技术指导原则.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2018.</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OECD.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OECD </w:t>
      </w:r>
      <w:r>
        <w:rPr>
          <w:rFonts w:hint="default" w:ascii="Times New Roman" w:hAnsi="Times New Roman" w:eastAsia="仿宋" w:cs="Times New Roman"/>
          <w:color w:val="000000" w:themeColor="text1"/>
          <w:sz w:val="32"/>
          <w:szCs w:val="32"/>
          <w:highlight w:val="none"/>
          <w14:textFill>
            <w14:solidFill>
              <w14:schemeClr w14:val="tx1"/>
            </w14:solidFill>
          </w14:textFill>
        </w:rPr>
        <w:t>Guideline for the testing of chemicals</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i/>
          <w:iCs/>
          <w:color w:val="000000" w:themeColor="text1"/>
          <w:sz w:val="32"/>
          <w:szCs w:val="32"/>
          <w:highlight w:val="none"/>
          <w14:textFill>
            <w14:solidFill>
              <w14:schemeClr w14:val="tx1"/>
            </w14:solidFill>
          </w14:textFill>
        </w:rPr>
        <w:t xml:space="preserve">In </w:t>
      </w: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v</w:t>
      </w:r>
      <w:r>
        <w:rPr>
          <w:rFonts w:hint="default" w:ascii="Times New Roman" w:hAnsi="Times New Roman" w:eastAsia="仿宋" w:cs="Times New Roman"/>
          <w:i/>
          <w:iCs/>
          <w:color w:val="000000" w:themeColor="text1"/>
          <w:sz w:val="32"/>
          <w:szCs w:val="32"/>
          <w:highlight w:val="none"/>
          <w14:textFill>
            <w14:solidFill>
              <w14:schemeClr w14:val="tx1"/>
            </w14:solidFill>
          </w14:textFill>
        </w:rPr>
        <w:t>itro</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m</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ammalian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c</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ell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g</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ene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m</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utation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t</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ests using the </w:t>
      </w:r>
      <w:r>
        <w:rPr>
          <w:rFonts w:hint="eastAsia" w:ascii="Times New Roman" w:hAnsi="Times New Roman" w:eastAsia="仿宋" w:cs="Times New Roman"/>
          <w:i/>
          <w:iCs/>
          <w:color w:val="000000" w:themeColor="text1"/>
          <w:sz w:val="32"/>
          <w:szCs w:val="32"/>
          <w:highlight w:val="none"/>
          <w:lang w:eastAsia="zh-CN"/>
          <w14:textFill>
            <w14:solidFill>
              <w14:schemeClr w14:val="tx1"/>
            </w14:solidFill>
          </w14:textFill>
        </w:rPr>
        <w:t>H</w:t>
      </w: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prt</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and </w:t>
      </w:r>
      <w:r>
        <w:rPr>
          <w:rFonts w:hint="default" w:ascii="Times New Roman" w:hAnsi="Times New Roman" w:eastAsia="仿宋" w:cs="Times New Roman"/>
          <w:i/>
          <w:iCs/>
          <w:color w:val="000000" w:themeColor="text1"/>
          <w:sz w:val="32"/>
          <w:szCs w:val="32"/>
          <w:highlight w:val="none"/>
          <w14:textFill>
            <w14:solidFill>
              <w14:schemeClr w14:val="tx1"/>
            </w14:solidFill>
          </w14:textFill>
        </w:rPr>
        <w:t>xprt</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genes</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(476)</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2016.</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OECD.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OECD </w:t>
      </w:r>
      <w:r>
        <w:rPr>
          <w:rFonts w:hint="default" w:ascii="Times New Roman" w:hAnsi="Times New Roman" w:eastAsia="仿宋" w:cs="Times New Roman"/>
          <w:color w:val="000000" w:themeColor="text1"/>
          <w:sz w:val="32"/>
          <w:szCs w:val="32"/>
          <w:highlight w:val="none"/>
          <w14:textFill>
            <w14:solidFill>
              <w14:schemeClr w14:val="tx1"/>
            </w14:solidFill>
          </w14:textFill>
        </w:rPr>
        <w:t>Guideline for the testing of chemicals</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i/>
          <w:iCs/>
          <w:color w:val="000000" w:themeColor="text1"/>
          <w:sz w:val="32"/>
          <w:szCs w:val="32"/>
          <w:highlight w:val="none"/>
          <w14:textFill>
            <w14:solidFill>
              <w14:schemeClr w14:val="tx1"/>
            </w14:solidFill>
          </w14:textFill>
        </w:rPr>
        <w:t xml:space="preserve">In </w:t>
      </w: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v</w:t>
      </w:r>
      <w:r>
        <w:rPr>
          <w:rFonts w:hint="default" w:ascii="Times New Roman" w:hAnsi="Times New Roman" w:eastAsia="仿宋" w:cs="Times New Roman"/>
          <w:i/>
          <w:iCs/>
          <w:color w:val="000000" w:themeColor="text1"/>
          <w:sz w:val="32"/>
          <w:szCs w:val="32"/>
          <w:highlight w:val="none"/>
          <w14:textFill>
            <w14:solidFill>
              <w14:schemeClr w14:val="tx1"/>
            </w14:solidFill>
          </w14:textFill>
        </w:rPr>
        <w:t>itro</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m</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ammalian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c</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ell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g</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ene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m</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utation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t</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ests using the </w:t>
      </w:r>
      <w:r>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t>T</w:t>
      </w:r>
      <w:r>
        <w:rPr>
          <w:rFonts w:hint="default" w:ascii="Times New Roman" w:hAnsi="Times New Roman" w:eastAsia="仿宋" w:cs="Times New Roman"/>
          <w:i w:val="0"/>
          <w:iCs w:val="0"/>
          <w:color w:val="000000" w:themeColor="text1"/>
          <w:sz w:val="32"/>
          <w:szCs w:val="32"/>
          <w:highlight w:val="none"/>
          <w14:textFill>
            <w14:solidFill>
              <w14:schemeClr w14:val="tx1"/>
            </w14:solidFill>
          </w14:textFill>
        </w:rPr>
        <w:t xml:space="preserve">hymidine </w:t>
      </w:r>
      <w:r>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t>K</w:t>
      </w:r>
      <w:r>
        <w:rPr>
          <w:rFonts w:hint="default" w:ascii="Times New Roman" w:hAnsi="Times New Roman" w:eastAsia="仿宋" w:cs="Times New Roman"/>
          <w:i w:val="0"/>
          <w:iCs w:val="0"/>
          <w:color w:val="000000" w:themeColor="text1"/>
          <w:sz w:val="32"/>
          <w:szCs w:val="32"/>
          <w:highlight w:val="none"/>
          <w14:textFill>
            <w14:solidFill>
              <w14:schemeClr w14:val="tx1"/>
            </w14:solidFill>
          </w14:textFill>
        </w:rPr>
        <w:t>inase</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g</w:t>
      </w:r>
      <w:r>
        <w:rPr>
          <w:rFonts w:hint="default" w:ascii="Times New Roman" w:hAnsi="Times New Roman" w:eastAsia="仿宋" w:cs="Times New Roman"/>
          <w:color w:val="000000" w:themeColor="text1"/>
          <w:sz w:val="32"/>
          <w:szCs w:val="32"/>
          <w:highlight w:val="none"/>
          <w14:textFill>
            <w14:solidFill>
              <w14:schemeClr w14:val="tx1"/>
            </w14:solidFill>
          </w14:textFill>
        </w:rPr>
        <w:t>ene</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(490)</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2016.</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 w:cs="Times New Roman"/>
          <w:color w:val="000000" w:themeColor="text1"/>
          <w:sz w:val="32"/>
          <w:szCs w:val="32"/>
          <w:highlight w:val="none"/>
          <w14:textFill>
            <w14:solidFill>
              <w14:schemeClr w14:val="tx1"/>
            </w14:solidFill>
          </w14:textFill>
        </w:rPr>
        <w:t>.中华人民共和国</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卫生部</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中华人民共和国国家职业卫生标准 化学品毒理学评价程序和试验方法 第10部分：</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体外哺乳动物细胞</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基因突变</w:t>
      </w:r>
      <w:r>
        <w:rPr>
          <w:rFonts w:hint="default" w:ascii="Times New Roman" w:hAnsi="Times New Roman" w:eastAsia="仿宋" w:cs="Times New Roman"/>
          <w:color w:val="000000" w:themeColor="text1"/>
          <w:sz w:val="32"/>
          <w:szCs w:val="32"/>
          <w:highlight w:val="none"/>
          <w14:textFill>
            <w14:solidFill>
              <w14:schemeClr w14:val="tx1"/>
            </w14:solidFill>
          </w14:textFill>
        </w:rPr>
        <w:t>试验: GB</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Z/T 240.10-2011</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(2011.8)</w:t>
      </w:r>
    </w:p>
    <w:p>
      <w:pPr>
        <w:keepNext w:val="0"/>
        <w:keepLines w:val="0"/>
        <w:pageBreakBefore w:val="0"/>
        <w:widowControl w:val="0"/>
        <w:kinsoku/>
        <w:wordWrap/>
        <w:topLinePunct w:val="0"/>
        <w:bidi w:val="0"/>
        <w:spacing w:line="360" w:lineRule="auto"/>
        <w:ind w:firstLine="640" w:firstLineChars="200"/>
        <w:textAlignment w:val="auto"/>
        <w:outlineLvl w:val="0"/>
        <w:rPr>
          <w:rFonts w:hint="default" w:ascii="Times New Roman" w:hAnsi="Times New Roman" w:eastAsia="仿宋" w:cs="Times New Roman"/>
          <w:color w:val="000000" w:themeColor="text1"/>
          <w:sz w:val="32"/>
          <w:szCs w:val="32"/>
          <w:highlight w:val="none"/>
          <w14:textFill>
            <w14:solidFill>
              <w14:schemeClr w14:val="tx1"/>
            </w14:solidFill>
          </w14:textFill>
        </w:rPr>
      </w:pPr>
      <w:bookmarkStart w:id="20" w:name="_Toc14875"/>
      <w:r>
        <w:rPr>
          <w:rFonts w:hint="default" w:ascii="Times New Roman" w:hAnsi="Times New Roman" w:eastAsia="黑体" w:cs="Times New Roman"/>
          <w:bCs/>
          <w:color w:val="000000" w:themeColor="text1"/>
          <w:sz w:val="32"/>
          <w:szCs w:val="32"/>
          <w:highlight w:val="none"/>
          <w14:textFill>
            <w14:solidFill>
              <w14:schemeClr w14:val="tx1"/>
            </w14:solidFill>
          </w14:textFill>
        </w:rPr>
        <w:t>六、术语和释义</w:t>
      </w:r>
      <w:bookmarkEnd w:id="20"/>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（一）</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致突变性（Mutagenicity）：</w:t>
      </w:r>
    </w:p>
    <w:p>
      <w:pPr>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在毒理学中，通常广义地</w:t>
      </w:r>
      <w:r>
        <w:rPr>
          <w:rFonts w:hint="default" w:ascii="Times New Roman" w:hAnsi="Times New Roman" w:eastAsia="仿宋" w:cs="Times New Roman"/>
          <w:color w:val="000000" w:themeColor="text1"/>
          <w:sz w:val="32"/>
          <w:szCs w:val="32"/>
          <w:highlight w:val="none"/>
          <w14:textFill>
            <w14:solidFill>
              <w14:schemeClr w14:val="tx1"/>
            </w14:solidFill>
          </w14:textFill>
        </w:rPr>
        <w:t>将</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至</w:t>
      </w:r>
      <w:r>
        <w:rPr>
          <w:rFonts w:hint="default" w:ascii="Times New Roman" w:hAnsi="Times New Roman" w:eastAsia="仿宋" w:cs="Times New Roman"/>
          <w:color w:val="000000" w:themeColor="text1"/>
          <w:sz w:val="32"/>
          <w:szCs w:val="32"/>
          <w:highlight w:val="none"/>
          <w14:textFill>
            <w14:solidFill>
              <w14:schemeClr w14:val="tx1"/>
            </w14:solidFill>
          </w14:textFill>
        </w:rPr>
        <w:t>突变</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定义为</w:t>
      </w:r>
      <w:r>
        <w:rPr>
          <w:rFonts w:hint="default" w:ascii="Times New Roman" w:hAnsi="Times New Roman" w:eastAsia="仿宋" w:cs="Times New Roman"/>
          <w:color w:val="000000" w:themeColor="text1"/>
          <w:sz w:val="32"/>
          <w:szCs w:val="32"/>
          <w:highlight w:val="none"/>
          <w14:textFill>
            <w14:solidFill>
              <w14:schemeClr w14:val="tx1"/>
            </w14:solidFill>
          </w14:textFill>
        </w:rPr>
        <w:t>基因突变</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32"/>
          <w:highlight w:val="none"/>
          <w14:textFill>
            <w14:solidFill>
              <w14:schemeClr w14:val="tx1"/>
            </w14:solidFill>
          </w14:textFill>
        </w:rPr>
        <w:t>染色体畸变</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其中，</w:t>
      </w:r>
      <w:r>
        <w:rPr>
          <w:rFonts w:hint="default" w:ascii="Times New Roman" w:hAnsi="Times New Roman" w:eastAsia="仿宋" w:cs="Times New Roman"/>
          <w:color w:val="000000" w:themeColor="text1"/>
          <w:sz w:val="32"/>
          <w:szCs w:val="32"/>
          <w:highlight w:val="none"/>
          <w14:textFill>
            <w14:solidFill>
              <w14:schemeClr w14:val="tx1"/>
            </w14:solidFill>
          </w14:textFill>
        </w:rPr>
        <w:t>染色体结构畸变和染色体数目畸变统称为染色体畸变</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topLinePunct w:val="0"/>
        <w:bidi w:val="0"/>
        <w:spacing w:line="360" w:lineRule="auto"/>
        <w:ind w:left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（二）诱变剂</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（M</w:t>
      </w:r>
      <w:r>
        <w:rPr>
          <w:rFonts w:hint="default" w:ascii="Times New Roman" w:hAnsi="Times New Roman" w:eastAsia="仿宋" w:cs="Times New Roman"/>
          <w:color w:val="000000" w:themeColor="text1"/>
          <w:sz w:val="32"/>
          <w:szCs w:val="32"/>
          <w:highlight w:val="none"/>
          <w14:textFill>
            <w14:solidFill>
              <w14:schemeClr w14:val="tx1"/>
            </w14:solidFill>
          </w14:textFill>
        </w:rPr>
        <w:t>utagen</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即致突变物。一般</w:t>
      </w:r>
      <w:r>
        <w:rPr>
          <w:rFonts w:hint="default" w:ascii="Times New Roman" w:hAnsi="Times New Roman" w:eastAsia="仿宋" w:cs="Times New Roman"/>
          <w:color w:val="000000" w:themeColor="text1"/>
          <w:sz w:val="32"/>
          <w:szCs w:val="32"/>
          <w:highlight w:val="none"/>
          <w14:textFill>
            <w14:solidFill>
              <w14:schemeClr w14:val="tx1"/>
            </w14:solidFill>
          </w14:textFill>
        </w:rPr>
        <w:t>狭义的</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是</w:t>
      </w:r>
      <w:r>
        <w:rPr>
          <w:rFonts w:hint="default" w:ascii="Times New Roman" w:hAnsi="Times New Roman" w:eastAsia="仿宋" w:cs="Times New Roman"/>
          <w:color w:val="000000" w:themeColor="text1"/>
          <w:sz w:val="32"/>
          <w:szCs w:val="32"/>
          <w:highlight w:val="none"/>
          <w14:textFill>
            <w14:solidFill>
              <w14:schemeClr w14:val="tx1"/>
            </w14:solidFill>
          </w14:textFill>
        </w:rPr>
        <w:t>指能引起基因突变或增加突变速度的物质，而将引起染色体结构畸变和染色体数目异常的物质分别称为断裂剂和非整倍体诱变剂。广义的诱变剂则既包括引起基因突变的物质，也包括了引起染色体结构或数目异常的物质。</w:t>
      </w:r>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基因突变</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G</w:t>
      </w:r>
      <w:r>
        <w:rPr>
          <w:rFonts w:hint="default" w:ascii="Times New Roman" w:hAnsi="Times New Roman" w:eastAsia="仿宋" w:cs="Times New Roman"/>
          <w:color w:val="000000" w:themeColor="text1"/>
          <w:sz w:val="32"/>
          <w:szCs w:val="32"/>
          <w:highlight w:val="none"/>
          <w14:textFill>
            <w14:solidFill>
              <w14:schemeClr w14:val="tx1"/>
            </w14:solidFill>
          </w14:textFill>
        </w:rPr>
        <w:t>ene mutation）</w:t>
      </w:r>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基因突变是指基因在结构上发生了碱基对组成和排列顺序的改变。这种改变可发生于生殖细胞或体细胞，发生于生殖细胞的突变可以遗传给下一代，发生于体细胞的突变可以遗传给该细胞有丝分裂而产生的子代。</w:t>
      </w:r>
    </w:p>
    <w:p>
      <w:pPr>
        <w:keepNext w:val="0"/>
        <w:keepLines w:val="0"/>
        <w:pageBreakBefore w:val="0"/>
        <w:widowControl w:val="0"/>
        <w:numPr>
          <w:ilvl w:val="0"/>
          <w:numId w:val="0"/>
        </w:numPr>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 w:cs="Times New Roman"/>
          <w:color w:val="000000" w:themeColor="text1"/>
          <w:sz w:val="32"/>
          <w:szCs w:val="32"/>
          <w:highlight w:val="none"/>
          <w14:textFill>
            <w14:solidFill>
              <w14:schemeClr w14:val="tx1"/>
            </w14:solidFill>
          </w14:textFill>
        </w:rPr>
        <w:t>）小鼠淋巴瘤细胞试验（</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M</w:t>
      </w:r>
      <w:r>
        <w:rPr>
          <w:rFonts w:hint="default" w:ascii="Times New Roman" w:hAnsi="Times New Roman" w:eastAsia="仿宋" w:cs="Times New Roman"/>
          <w:color w:val="000000" w:themeColor="text1"/>
          <w:sz w:val="32"/>
          <w:szCs w:val="32"/>
          <w:highlight w:val="none"/>
          <w14:textFill>
            <w14:solidFill>
              <w14:schemeClr w14:val="tx1"/>
            </w14:solidFill>
          </w14:textFill>
        </w:rPr>
        <w:t>ouse lymphoma assay，MLA）</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TK</w:t>
      </w:r>
      <w:r>
        <w:rPr>
          <w:rFonts w:hint="default" w:ascii="Times New Roman" w:hAnsi="Times New Roman" w:eastAsia="仿宋" w:cs="Times New Roman"/>
          <w:color w:val="000000" w:themeColor="text1"/>
          <w:sz w:val="32"/>
          <w:szCs w:val="32"/>
          <w:highlight w:val="none"/>
          <w14:textFill>
            <w14:solidFill>
              <w14:schemeClr w14:val="tx1"/>
            </w14:solidFill>
          </w14:textFill>
        </w:rPr>
        <w:t>基因突变试验和</w:t>
      </w: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Hprt</w:t>
      </w:r>
      <w:r>
        <w:rPr>
          <w:rFonts w:hint="default" w:ascii="Times New Roman" w:hAnsi="Times New Roman" w:eastAsia="仿宋" w:cs="Times New Roman"/>
          <w:color w:val="000000" w:themeColor="text1"/>
          <w:sz w:val="32"/>
          <w:szCs w:val="32"/>
          <w:highlight w:val="none"/>
          <w14:textFill>
            <w14:solidFill>
              <w14:schemeClr w14:val="tx1"/>
            </w14:solidFill>
          </w14:textFill>
        </w:rPr>
        <w:t>基因突变试验均可使用小鼠淋巴瘤细胞L5178Y细胞开展</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其中使用L5178Y细胞开展</w:t>
      </w:r>
      <w:r>
        <w:rPr>
          <w:rFonts w:hint="eastAsia" w:ascii="Times New Roman" w:hAnsi="Times New Roman" w:eastAsia="仿宋" w:cs="Times New Roman"/>
          <w:i/>
          <w:iCs/>
          <w:color w:val="000000" w:themeColor="text1"/>
          <w:sz w:val="32"/>
          <w:szCs w:val="32"/>
          <w:highlight w:val="none"/>
          <w:lang w:val="en-US" w:eastAsia="zh-CN"/>
          <w14:textFill>
            <w14:solidFill>
              <w14:schemeClr w14:val="tx1"/>
            </w14:solidFill>
          </w14:textFill>
        </w:rPr>
        <w:t>TK</w:t>
      </w:r>
      <w:r>
        <w:rPr>
          <w:rFonts w:hint="default" w:ascii="Times New Roman" w:hAnsi="Times New Roman" w:eastAsia="仿宋" w:cs="Times New Roman"/>
          <w:color w:val="000000" w:themeColor="text1"/>
          <w:sz w:val="32"/>
          <w:szCs w:val="32"/>
          <w:highlight w:val="none"/>
          <w14:textFill>
            <w14:solidFill>
              <w14:schemeClr w14:val="tx1"/>
            </w14:solidFill>
          </w14:textFill>
        </w:rPr>
        <w:t>基因突变试验又称小鼠淋巴瘤细胞试验。</w:t>
      </w:r>
    </w:p>
    <w:p>
      <w:pPr>
        <w:keepNext w:val="0"/>
        <w:keepLines w:val="0"/>
        <w:pageBreakBefore w:val="0"/>
        <w:widowControl w:val="0"/>
        <w:kinsoku/>
        <w:wordWrap/>
        <w:topLinePunct w:val="0"/>
        <w:bidi w:val="0"/>
        <w:spacing w:line="360" w:lineRule="auto"/>
        <w:ind w:firstLine="640" w:firstLineChars="200"/>
        <w:textAlignment w:val="auto"/>
        <w:outlineLvl w:val="0"/>
        <w:rPr>
          <w:rFonts w:hint="default" w:ascii="Times New Roman" w:hAnsi="Times New Roman" w:eastAsia="黑体" w:cs="Times New Roman"/>
          <w:bCs/>
          <w:color w:val="000000" w:themeColor="text1"/>
          <w:sz w:val="32"/>
          <w:szCs w:val="32"/>
          <w:highlight w:val="none"/>
          <w14:textFill>
            <w14:solidFill>
              <w14:schemeClr w14:val="tx1"/>
            </w14:solidFill>
          </w14:textFill>
        </w:rPr>
      </w:pPr>
      <w:bookmarkStart w:id="21" w:name="_Toc6226"/>
      <w:r>
        <w:rPr>
          <w:rFonts w:hint="default" w:ascii="Times New Roman" w:hAnsi="Times New Roman" w:eastAsia="黑体" w:cs="Times New Roman"/>
          <w:bCs/>
          <w:color w:val="000000" w:themeColor="text1"/>
          <w:sz w:val="32"/>
          <w:szCs w:val="32"/>
          <w:highlight w:val="none"/>
          <w14:textFill>
            <w14:solidFill>
              <w14:schemeClr w14:val="tx1"/>
            </w14:solidFill>
          </w14:textFill>
        </w:rPr>
        <w:t>七、附录</w:t>
      </w:r>
      <w:bookmarkEnd w:id="21"/>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strike/>
          <w:dstrike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可参考《化妆品安全技术规范》中收录的</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体外哺乳动物细胞</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基因突变</w:t>
      </w:r>
      <w:r>
        <w:rPr>
          <w:rFonts w:hint="default" w:ascii="Times New Roman" w:hAnsi="Times New Roman" w:eastAsia="仿宋" w:cs="Times New Roman"/>
          <w:color w:val="000000" w:themeColor="text1"/>
          <w:sz w:val="32"/>
          <w:szCs w:val="32"/>
          <w:highlight w:val="none"/>
          <w14:textFill>
            <w14:solidFill>
              <w14:schemeClr w14:val="tx1"/>
            </w14:solidFill>
          </w14:textFill>
        </w:rPr>
        <w:t>试验</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方法。</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6245908"/>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936245908"/>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C115F"/>
    <w:multiLevelType w:val="singleLevel"/>
    <w:tmpl w:val="B55C115F"/>
    <w:lvl w:ilvl="0" w:tentative="0">
      <w:start w:val="2"/>
      <w:numFmt w:val="chineseCounting"/>
      <w:suff w:val="nothing"/>
      <w:lvlText w:val="（%1）"/>
      <w:lvlJc w:val="left"/>
      <w:rPr>
        <w:rFonts w:hint="eastAsia"/>
      </w:rPr>
    </w:lvl>
  </w:abstractNum>
  <w:abstractNum w:abstractNumId="1">
    <w:nsid w:val="CEA38A66"/>
    <w:multiLevelType w:val="singleLevel"/>
    <w:tmpl w:val="CEA38A66"/>
    <w:lvl w:ilvl="0" w:tentative="0">
      <w:start w:val="1"/>
      <w:numFmt w:val="decimal"/>
      <w:suff w:val="nothing"/>
      <w:lvlText w:val="%1．"/>
      <w:lvlJc w:val="left"/>
    </w:lvl>
  </w:abstractNum>
  <w:abstractNum w:abstractNumId="2">
    <w:nsid w:val="19F00ECF"/>
    <w:multiLevelType w:val="singleLevel"/>
    <w:tmpl w:val="19F00ECF"/>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zA0NTJjZTE3ZmM3MGI4ZjQ4ZmZjZjg5OGZiOGEifQ=="/>
  </w:docVars>
  <w:rsids>
    <w:rsidRoot w:val="004B04B8"/>
    <w:rsid w:val="00001360"/>
    <w:rsid w:val="00003431"/>
    <w:rsid w:val="00003450"/>
    <w:rsid w:val="0000366C"/>
    <w:rsid w:val="000042D0"/>
    <w:rsid w:val="0000570D"/>
    <w:rsid w:val="00005886"/>
    <w:rsid w:val="00005D2C"/>
    <w:rsid w:val="000061AE"/>
    <w:rsid w:val="000076B5"/>
    <w:rsid w:val="00010569"/>
    <w:rsid w:val="0001080A"/>
    <w:rsid w:val="000108B3"/>
    <w:rsid w:val="0001358A"/>
    <w:rsid w:val="00013ED8"/>
    <w:rsid w:val="00014FEB"/>
    <w:rsid w:val="00015834"/>
    <w:rsid w:val="00015853"/>
    <w:rsid w:val="00015A11"/>
    <w:rsid w:val="00015C69"/>
    <w:rsid w:val="00016397"/>
    <w:rsid w:val="00017D22"/>
    <w:rsid w:val="000200A0"/>
    <w:rsid w:val="00021399"/>
    <w:rsid w:val="00021F79"/>
    <w:rsid w:val="000222B9"/>
    <w:rsid w:val="00022FB4"/>
    <w:rsid w:val="0002301C"/>
    <w:rsid w:val="0002356E"/>
    <w:rsid w:val="00024806"/>
    <w:rsid w:val="00024C84"/>
    <w:rsid w:val="00025C5C"/>
    <w:rsid w:val="000304C2"/>
    <w:rsid w:val="00030B66"/>
    <w:rsid w:val="00031145"/>
    <w:rsid w:val="0003135C"/>
    <w:rsid w:val="00031499"/>
    <w:rsid w:val="00031897"/>
    <w:rsid w:val="00031983"/>
    <w:rsid w:val="00031ACD"/>
    <w:rsid w:val="00032B0C"/>
    <w:rsid w:val="000336BB"/>
    <w:rsid w:val="00033A56"/>
    <w:rsid w:val="00034606"/>
    <w:rsid w:val="000352CD"/>
    <w:rsid w:val="0003751C"/>
    <w:rsid w:val="0004032E"/>
    <w:rsid w:val="00041A07"/>
    <w:rsid w:val="000431CB"/>
    <w:rsid w:val="00043DC4"/>
    <w:rsid w:val="000444FD"/>
    <w:rsid w:val="00044914"/>
    <w:rsid w:val="00045BE0"/>
    <w:rsid w:val="000464BC"/>
    <w:rsid w:val="00046953"/>
    <w:rsid w:val="00047025"/>
    <w:rsid w:val="000473AB"/>
    <w:rsid w:val="00047529"/>
    <w:rsid w:val="0005067E"/>
    <w:rsid w:val="000515A0"/>
    <w:rsid w:val="000522DA"/>
    <w:rsid w:val="0005271F"/>
    <w:rsid w:val="00054636"/>
    <w:rsid w:val="00055472"/>
    <w:rsid w:val="00055FEE"/>
    <w:rsid w:val="000613E6"/>
    <w:rsid w:val="000615BB"/>
    <w:rsid w:val="00061D47"/>
    <w:rsid w:val="00061D8F"/>
    <w:rsid w:val="00062411"/>
    <w:rsid w:val="00063862"/>
    <w:rsid w:val="0006442E"/>
    <w:rsid w:val="0006455D"/>
    <w:rsid w:val="000649D0"/>
    <w:rsid w:val="00064B18"/>
    <w:rsid w:val="00064C13"/>
    <w:rsid w:val="00064D70"/>
    <w:rsid w:val="00071BF9"/>
    <w:rsid w:val="00072384"/>
    <w:rsid w:val="000728C6"/>
    <w:rsid w:val="00072D0A"/>
    <w:rsid w:val="00073A54"/>
    <w:rsid w:val="0007451E"/>
    <w:rsid w:val="000758D2"/>
    <w:rsid w:val="00076BAB"/>
    <w:rsid w:val="00077972"/>
    <w:rsid w:val="00080FB3"/>
    <w:rsid w:val="00081785"/>
    <w:rsid w:val="00083F80"/>
    <w:rsid w:val="00084B9D"/>
    <w:rsid w:val="00086B60"/>
    <w:rsid w:val="00086DE5"/>
    <w:rsid w:val="000879A6"/>
    <w:rsid w:val="00091424"/>
    <w:rsid w:val="0009143A"/>
    <w:rsid w:val="00091D26"/>
    <w:rsid w:val="000923BE"/>
    <w:rsid w:val="00094421"/>
    <w:rsid w:val="00094B08"/>
    <w:rsid w:val="000972AD"/>
    <w:rsid w:val="000973CA"/>
    <w:rsid w:val="000A2C57"/>
    <w:rsid w:val="000A32F4"/>
    <w:rsid w:val="000A414F"/>
    <w:rsid w:val="000A453A"/>
    <w:rsid w:val="000A4E77"/>
    <w:rsid w:val="000A527E"/>
    <w:rsid w:val="000A6C6F"/>
    <w:rsid w:val="000B11E9"/>
    <w:rsid w:val="000B330D"/>
    <w:rsid w:val="000B3862"/>
    <w:rsid w:val="000B447F"/>
    <w:rsid w:val="000B45E9"/>
    <w:rsid w:val="000B4667"/>
    <w:rsid w:val="000B4BF4"/>
    <w:rsid w:val="000B4D07"/>
    <w:rsid w:val="000B4F8E"/>
    <w:rsid w:val="000B5803"/>
    <w:rsid w:val="000B661D"/>
    <w:rsid w:val="000B6A23"/>
    <w:rsid w:val="000B6B18"/>
    <w:rsid w:val="000B768E"/>
    <w:rsid w:val="000B7ABF"/>
    <w:rsid w:val="000B7DC9"/>
    <w:rsid w:val="000C03C3"/>
    <w:rsid w:val="000C0625"/>
    <w:rsid w:val="000C1915"/>
    <w:rsid w:val="000C30B8"/>
    <w:rsid w:val="000C3D91"/>
    <w:rsid w:val="000C59CA"/>
    <w:rsid w:val="000C6579"/>
    <w:rsid w:val="000C7394"/>
    <w:rsid w:val="000D12E4"/>
    <w:rsid w:val="000D28F4"/>
    <w:rsid w:val="000D35BC"/>
    <w:rsid w:val="000D47BE"/>
    <w:rsid w:val="000D5332"/>
    <w:rsid w:val="000D5400"/>
    <w:rsid w:val="000D5FE3"/>
    <w:rsid w:val="000D61F5"/>
    <w:rsid w:val="000D6514"/>
    <w:rsid w:val="000D7123"/>
    <w:rsid w:val="000D7213"/>
    <w:rsid w:val="000E00D2"/>
    <w:rsid w:val="000E10AD"/>
    <w:rsid w:val="000E1AB2"/>
    <w:rsid w:val="000E1B19"/>
    <w:rsid w:val="000E2201"/>
    <w:rsid w:val="000E3662"/>
    <w:rsid w:val="000E3692"/>
    <w:rsid w:val="000E3A8B"/>
    <w:rsid w:val="000E42D2"/>
    <w:rsid w:val="000E4E4F"/>
    <w:rsid w:val="000E63F5"/>
    <w:rsid w:val="000E710D"/>
    <w:rsid w:val="000E7199"/>
    <w:rsid w:val="000E7C9C"/>
    <w:rsid w:val="000E7EA3"/>
    <w:rsid w:val="000F260B"/>
    <w:rsid w:val="000F58FB"/>
    <w:rsid w:val="000F5ADF"/>
    <w:rsid w:val="000F76AE"/>
    <w:rsid w:val="000F7CB4"/>
    <w:rsid w:val="00100277"/>
    <w:rsid w:val="00100B1A"/>
    <w:rsid w:val="0010120F"/>
    <w:rsid w:val="001056F9"/>
    <w:rsid w:val="00105A8A"/>
    <w:rsid w:val="001060D4"/>
    <w:rsid w:val="00110526"/>
    <w:rsid w:val="00110582"/>
    <w:rsid w:val="001105FB"/>
    <w:rsid w:val="00110C8C"/>
    <w:rsid w:val="00110E34"/>
    <w:rsid w:val="00110F91"/>
    <w:rsid w:val="00113212"/>
    <w:rsid w:val="0011330D"/>
    <w:rsid w:val="0011553D"/>
    <w:rsid w:val="001208CC"/>
    <w:rsid w:val="00122FA5"/>
    <w:rsid w:val="00123E7A"/>
    <w:rsid w:val="00126241"/>
    <w:rsid w:val="00126834"/>
    <w:rsid w:val="001269B0"/>
    <w:rsid w:val="0013102B"/>
    <w:rsid w:val="001315C3"/>
    <w:rsid w:val="00132A96"/>
    <w:rsid w:val="00133243"/>
    <w:rsid w:val="00133759"/>
    <w:rsid w:val="00133DC4"/>
    <w:rsid w:val="0013467B"/>
    <w:rsid w:val="00135773"/>
    <w:rsid w:val="00135D36"/>
    <w:rsid w:val="00136585"/>
    <w:rsid w:val="00136B45"/>
    <w:rsid w:val="00140E1D"/>
    <w:rsid w:val="00142930"/>
    <w:rsid w:val="00143500"/>
    <w:rsid w:val="00143774"/>
    <w:rsid w:val="00144EEA"/>
    <w:rsid w:val="00144FD6"/>
    <w:rsid w:val="0014667C"/>
    <w:rsid w:val="00146DEA"/>
    <w:rsid w:val="00147246"/>
    <w:rsid w:val="001473ED"/>
    <w:rsid w:val="00150FEB"/>
    <w:rsid w:val="00151D2A"/>
    <w:rsid w:val="00152DA9"/>
    <w:rsid w:val="00153F3B"/>
    <w:rsid w:val="0015423A"/>
    <w:rsid w:val="00155034"/>
    <w:rsid w:val="00156BFE"/>
    <w:rsid w:val="00157BB6"/>
    <w:rsid w:val="00160AA3"/>
    <w:rsid w:val="00162373"/>
    <w:rsid w:val="001636A2"/>
    <w:rsid w:val="00163EC7"/>
    <w:rsid w:val="00164145"/>
    <w:rsid w:val="00165D47"/>
    <w:rsid w:val="0017237A"/>
    <w:rsid w:val="001724EC"/>
    <w:rsid w:val="0017413C"/>
    <w:rsid w:val="00174C39"/>
    <w:rsid w:val="00181010"/>
    <w:rsid w:val="00181EC5"/>
    <w:rsid w:val="00182342"/>
    <w:rsid w:val="001858DC"/>
    <w:rsid w:val="00186B00"/>
    <w:rsid w:val="001902F6"/>
    <w:rsid w:val="00191B53"/>
    <w:rsid w:val="00191D9C"/>
    <w:rsid w:val="0019262F"/>
    <w:rsid w:val="0019325D"/>
    <w:rsid w:val="00193B91"/>
    <w:rsid w:val="00193D43"/>
    <w:rsid w:val="00193F5D"/>
    <w:rsid w:val="00194031"/>
    <w:rsid w:val="0019413E"/>
    <w:rsid w:val="0019574A"/>
    <w:rsid w:val="0019586A"/>
    <w:rsid w:val="00195F24"/>
    <w:rsid w:val="00196787"/>
    <w:rsid w:val="00197D93"/>
    <w:rsid w:val="001A015A"/>
    <w:rsid w:val="001A0CD7"/>
    <w:rsid w:val="001A0F2D"/>
    <w:rsid w:val="001A31FC"/>
    <w:rsid w:val="001A32B8"/>
    <w:rsid w:val="001A3397"/>
    <w:rsid w:val="001A3411"/>
    <w:rsid w:val="001A3943"/>
    <w:rsid w:val="001A40F8"/>
    <w:rsid w:val="001A42E7"/>
    <w:rsid w:val="001A51AA"/>
    <w:rsid w:val="001A56D6"/>
    <w:rsid w:val="001A58E3"/>
    <w:rsid w:val="001A6F75"/>
    <w:rsid w:val="001B0259"/>
    <w:rsid w:val="001B0341"/>
    <w:rsid w:val="001B225B"/>
    <w:rsid w:val="001B3110"/>
    <w:rsid w:val="001B397C"/>
    <w:rsid w:val="001B651C"/>
    <w:rsid w:val="001B6DD6"/>
    <w:rsid w:val="001B76F8"/>
    <w:rsid w:val="001B771C"/>
    <w:rsid w:val="001C05A6"/>
    <w:rsid w:val="001C254A"/>
    <w:rsid w:val="001C2ADC"/>
    <w:rsid w:val="001C3AB2"/>
    <w:rsid w:val="001C3C3C"/>
    <w:rsid w:val="001C5771"/>
    <w:rsid w:val="001C6291"/>
    <w:rsid w:val="001C7973"/>
    <w:rsid w:val="001C7E9D"/>
    <w:rsid w:val="001D1E5B"/>
    <w:rsid w:val="001D3583"/>
    <w:rsid w:val="001D3649"/>
    <w:rsid w:val="001D365D"/>
    <w:rsid w:val="001D6154"/>
    <w:rsid w:val="001D6D25"/>
    <w:rsid w:val="001E1624"/>
    <w:rsid w:val="001E25BE"/>
    <w:rsid w:val="001E3F42"/>
    <w:rsid w:val="001E4E6B"/>
    <w:rsid w:val="001E51E9"/>
    <w:rsid w:val="001E61AF"/>
    <w:rsid w:val="001E63EA"/>
    <w:rsid w:val="001E6621"/>
    <w:rsid w:val="001F0925"/>
    <w:rsid w:val="001F0F1B"/>
    <w:rsid w:val="001F1BE7"/>
    <w:rsid w:val="001F3A62"/>
    <w:rsid w:val="001F42EA"/>
    <w:rsid w:val="001F4E96"/>
    <w:rsid w:val="001F5709"/>
    <w:rsid w:val="001F57B2"/>
    <w:rsid w:val="001F5A33"/>
    <w:rsid w:val="001F783F"/>
    <w:rsid w:val="00201336"/>
    <w:rsid w:val="00201D15"/>
    <w:rsid w:val="00202440"/>
    <w:rsid w:val="00202F6E"/>
    <w:rsid w:val="00203296"/>
    <w:rsid w:val="0020358B"/>
    <w:rsid w:val="0020385A"/>
    <w:rsid w:val="00205921"/>
    <w:rsid w:val="002065F9"/>
    <w:rsid w:val="00207414"/>
    <w:rsid w:val="00207C44"/>
    <w:rsid w:val="00210134"/>
    <w:rsid w:val="002101CB"/>
    <w:rsid w:val="00210A31"/>
    <w:rsid w:val="0021207A"/>
    <w:rsid w:val="0021208A"/>
    <w:rsid w:val="002123D1"/>
    <w:rsid w:val="00212498"/>
    <w:rsid w:val="0021378F"/>
    <w:rsid w:val="00214114"/>
    <w:rsid w:val="0021691F"/>
    <w:rsid w:val="00217CFC"/>
    <w:rsid w:val="00217FB0"/>
    <w:rsid w:val="00220AA9"/>
    <w:rsid w:val="00220FFB"/>
    <w:rsid w:val="00221CAC"/>
    <w:rsid w:val="00222155"/>
    <w:rsid w:val="00222435"/>
    <w:rsid w:val="00222781"/>
    <w:rsid w:val="00222A08"/>
    <w:rsid w:val="0022330A"/>
    <w:rsid w:val="0022332A"/>
    <w:rsid w:val="00225949"/>
    <w:rsid w:val="00225D4F"/>
    <w:rsid w:val="0022621E"/>
    <w:rsid w:val="0022627F"/>
    <w:rsid w:val="002271A8"/>
    <w:rsid w:val="00230C39"/>
    <w:rsid w:val="00231558"/>
    <w:rsid w:val="00231809"/>
    <w:rsid w:val="0023423A"/>
    <w:rsid w:val="00234564"/>
    <w:rsid w:val="0023498E"/>
    <w:rsid w:val="00235501"/>
    <w:rsid w:val="00235EB8"/>
    <w:rsid w:val="00236A54"/>
    <w:rsid w:val="00236E58"/>
    <w:rsid w:val="0024168A"/>
    <w:rsid w:val="0024185B"/>
    <w:rsid w:val="002422FA"/>
    <w:rsid w:val="002439EF"/>
    <w:rsid w:val="0024566D"/>
    <w:rsid w:val="00246FB4"/>
    <w:rsid w:val="00247FB7"/>
    <w:rsid w:val="002508E8"/>
    <w:rsid w:val="00251AB4"/>
    <w:rsid w:val="002537FF"/>
    <w:rsid w:val="0025382E"/>
    <w:rsid w:val="0025717F"/>
    <w:rsid w:val="0026057E"/>
    <w:rsid w:val="00261F75"/>
    <w:rsid w:val="00262040"/>
    <w:rsid w:val="00262BFB"/>
    <w:rsid w:val="00263629"/>
    <w:rsid w:val="002638F3"/>
    <w:rsid w:val="0026441A"/>
    <w:rsid w:val="00265BF1"/>
    <w:rsid w:val="00265C4D"/>
    <w:rsid w:val="00267319"/>
    <w:rsid w:val="00271BB3"/>
    <w:rsid w:val="002730C5"/>
    <w:rsid w:val="002732FA"/>
    <w:rsid w:val="00273AC1"/>
    <w:rsid w:val="00274072"/>
    <w:rsid w:val="002740DD"/>
    <w:rsid w:val="002769D4"/>
    <w:rsid w:val="00276B0D"/>
    <w:rsid w:val="00276B5D"/>
    <w:rsid w:val="00280D2B"/>
    <w:rsid w:val="00281FEB"/>
    <w:rsid w:val="0028356E"/>
    <w:rsid w:val="002842BF"/>
    <w:rsid w:val="0028609D"/>
    <w:rsid w:val="00286982"/>
    <w:rsid w:val="002872F5"/>
    <w:rsid w:val="0028799D"/>
    <w:rsid w:val="00290BD6"/>
    <w:rsid w:val="002914FA"/>
    <w:rsid w:val="002929AC"/>
    <w:rsid w:val="002934C4"/>
    <w:rsid w:val="002942CD"/>
    <w:rsid w:val="00294B50"/>
    <w:rsid w:val="00294EEC"/>
    <w:rsid w:val="002953BB"/>
    <w:rsid w:val="00295E86"/>
    <w:rsid w:val="002971EB"/>
    <w:rsid w:val="00297888"/>
    <w:rsid w:val="002A0206"/>
    <w:rsid w:val="002A09AA"/>
    <w:rsid w:val="002A0D08"/>
    <w:rsid w:val="002A36E3"/>
    <w:rsid w:val="002A5BC8"/>
    <w:rsid w:val="002A5C0D"/>
    <w:rsid w:val="002A5C46"/>
    <w:rsid w:val="002A7405"/>
    <w:rsid w:val="002B06A1"/>
    <w:rsid w:val="002B0DA5"/>
    <w:rsid w:val="002B0DA9"/>
    <w:rsid w:val="002B2371"/>
    <w:rsid w:val="002B278E"/>
    <w:rsid w:val="002B2B15"/>
    <w:rsid w:val="002B3257"/>
    <w:rsid w:val="002B386B"/>
    <w:rsid w:val="002B3A41"/>
    <w:rsid w:val="002B3D33"/>
    <w:rsid w:val="002B5933"/>
    <w:rsid w:val="002B5A50"/>
    <w:rsid w:val="002B68AA"/>
    <w:rsid w:val="002B7445"/>
    <w:rsid w:val="002B7FB7"/>
    <w:rsid w:val="002C1203"/>
    <w:rsid w:val="002C1594"/>
    <w:rsid w:val="002C24D7"/>
    <w:rsid w:val="002C28E1"/>
    <w:rsid w:val="002C4F76"/>
    <w:rsid w:val="002C59D7"/>
    <w:rsid w:val="002C6656"/>
    <w:rsid w:val="002C6ED9"/>
    <w:rsid w:val="002C7E1A"/>
    <w:rsid w:val="002C7F50"/>
    <w:rsid w:val="002D02A1"/>
    <w:rsid w:val="002D0C4C"/>
    <w:rsid w:val="002D0C56"/>
    <w:rsid w:val="002D1D84"/>
    <w:rsid w:val="002D2089"/>
    <w:rsid w:val="002D4783"/>
    <w:rsid w:val="002D514B"/>
    <w:rsid w:val="002D55DB"/>
    <w:rsid w:val="002D6918"/>
    <w:rsid w:val="002D69A8"/>
    <w:rsid w:val="002D72AD"/>
    <w:rsid w:val="002D79AD"/>
    <w:rsid w:val="002D7F91"/>
    <w:rsid w:val="002E07CC"/>
    <w:rsid w:val="002E0BAA"/>
    <w:rsid w:val="002E1D24"/>
    <w:rsid w:val="002E29DC"/>
    <w:rsid w:val="002E2C2E"/>
    <w:rsid w:val="002E5155"/>
    <w:rsid w:val="002E5302"/>
    <w:rsid w:val="002E5AF3"/>
    <w:rsid w:val="002F0375"/>
    <w:rsid w:val="002F060B"/>
    <w:rsid w:val="002F17D1"/>
    <w:rsid w:val="002F26A0"/>
    <w:rsid w:val="002F2A9B"/>
    <w:rsid w:val="002F4884"/>
    <w:rsid w:val="002F4BCF"/>
    <w:rsid w:val="002F6872"/>
    <w:rsid w:val="002F7241"/>
    <w:rsid w:val="002F7983"/>
    <w:rsid w:val="00300BB7"/>
    <w:rsid w:val="00300D1A"/>
    <w:rsid w:val="003017C2"/>
    <w:rsid w:val="003027E2"/>
    <w:rsid w:val="00302A6A"/>
    <w:rsid w:val="00302C3F"/>
    <w:rsid w:val="0030498C"/>
    <w:rsid w:val="00304BC5"/>
    <w:rsid w:val="00304BC7"/>
    <w:rsid w:val="00304D5D"/>
    <w:rsid w:val="003050AE"/>
    <w:rsid w:val="00306971"/>
    <w:rsid w:val="00307771"/>
    <w:rsid w:val="00307BE8"/>
    <w:rsid w:val="00307D59"/>
    <w:rsid w:val="0031029A"/>
    <w:rsid w:val="00311A77"/>
    <w:rsid w:val="00311AC0"/>
    <w:rsid w:val="00313742"/>
    <w:rsid w:val="003141DB"/>
    <w:rsid w:val="00315352"/>
    <w:rsid w:val="003175CF"/>
    <w:rsid w:val="00322876"/>
    <w:rsid w:val="00323045"/>
    <w:rsid w:val="00323335"/>
    <w:rsid w:val="00324965"/>
    <w:rsid w:val="003272F1"/>
    <w:rsid w:val="003277D7"/>
    <w:rsid w:val="00331340"/>
    <w:rsid w:val="00332957"/>
    <w:rsid w:val="00333ED7"/>
    <w:rsid w:val="00334070"/>
    <w:rsid w:val="0033424B"/>
    <w:rsid w:val="0033495E"/>
    <w:rsid w:val="0033541C"/>
    <w:rsid w:val="00335462"/>
    <w:rsid w:val="0033636C"/>
    <w:rsid w:val="00337598"/>
    <w:rsid w:val="003402A1"/>
    <w:rsid w:val="0034052A"/>
    <w:rsid w:val="00341EAB"/>
    <w:rsid w:val="003422FD"/>
    <w:rsid w:val="00343819"/>
    <w:rsid w:val="003442C3"/>
    <w:rsid w:val="00344DCF"/>
    <w:rsid w:val="003463E0"/>
    <w:rsid w:val="00346400"/>
    <w:rsid w:val="00347B84"/>
    <w:rsid w:val="003527C4"/>
    <w:rsid w:val="00352AAD"/>
    <w:rsid w:val="003530CF"/>
    <w:rsid w:val="00353F83"/>
    <w:rsid w:val="0035448B"/>
    <w:rsid w:val="003544BF"/>
    <w:rsid w:val="00355A06"/>
    <w:rsid w:val="00355A19"/>
    <w:rsid w:val="00360B77"/>
    <w:rsid w:val="00360FA7"/>
    <w:rsid w:val="003639D3"/>
    <w:rsid w:val="00364B92"/>
    <w:rsid w:val="0036591D"/>
    <w:rsid w:val="00365F3A"/>
    <w:rsid w:val="00366864"/>
    <w:rsid w:val="00367897"/>
    <w:rsid w:val="0037063E"/>
    <w:rsid w:val="00370A71"/>
    <w:rsid w:val="00370C30"/>
    <w:rsid w:val="00370C36"/>
    <w:rsid w:val="00370F46"/>
    <w:rsid w:val="0037120D"/>
    <w:rsid w:val="0037194E"/>
    <w:rsid w:val="003765FF"/>
    <w:rsid w:val="00377568"/>
    <w:rsid w:val="00377636"/>
    <w:rsid w:val="00377792"/>
    <w:rsid w:val="00377A26"/>
    <w:rsid w:val="00377D86"/>
    <w:rsid w:val="00377F85"/>
    <w:rsid w:val="00380B29"/>
    <w:rsid w:val="0038147F"/>
    <w:rsid w:val="00381FCF"/>
    <w:rsid w:val="00383415"/>
    <w:rsid w:val="00383752"/>
    <w:rsid w:val="00385A85"/>
    <w:rsid w:val="00386B4C"/>
    <w:rsid w:val="00386F42"/>
    <w:rsid w:val="00387428"/>
    <w:rsid w:val="00387AED"/>
    <w:rsid w:val="00387F92"/>
    <w:rsid w:val="00391017"/>
    <w:rsid w:val="00391705"/>
    <w:rsid w:val="0039199E"/>
    <w:rsid w:val="00391C92"/>
    <w:rsid w:val="00392223"/>
    <w:rsid w:val="003929ED"/>
    <w:rsid w:val="00394803"/>
    <w:rsid w:val="00395A84"/>
    <w:rsid w:val="003970FF"/>
    <w:rsid w:val="003A15C5"/>
    <w:rsid w:val="003A2F32"/>
    <w:rsid w:val="003A3EEA"/>
    <w:rsid w:val="003A43D1"/>
    <w:rsid w:val="003A4548"/>
    <w:rsid w:val="003A4DB8"/>
    <w:rsid w:val="003A520A"/>
    <w:rsid w:val="003A559E"/>
    <w:rsid w:val="003A6444"/>
    <w:rsid w:val="003A6B11"/>
    <w:rsid w:val="003B03E2"/>
    <w:rsid w:val="003B156D"/>
    <w:rsid w:val="003B15BA"/>
    <w:rsid w:val="003B2503"/>
    <w:rsid w:val="003B2662"/>
    <w:rsid w:val="003B37BC"/>
    <w:rsid w:val="003B56D0"/>
    <w:rsid w:val="003B7D1A"/>
    <w:rsid w:val="003B7D8D"/>
    <w:rsid w:val="003C12B9"/>
    <w:rsid w:val="003C2885"/>
    <w:rsid w:val="003C44A1"/>
    <w:rsid w:val="003C6032"/>
    <w:rsid w:val="003C6E02"/>
    <w:rsid w:val="003C72F4"/>
    <w:rsid w:val="003C739C"/>
    <w:rsid w:val="003C7B12"/>
    <w:rsid w:val="003C7DE1"/>
    <w:rsid w:val="003C7F60"/>
    <w:rsid w:val="003D0D5C"/>
    <w:rsid w:val="003D23BA"/>
    <w:rsid w:val="003D4DCC"/>
    <w:rsid w:val="003D6231"/>
    <w:rsid w:val="003D7662"/>
    <w:rsid w:val="003D7814"/>
    <w:rsid w:val="003E10B2"/>
    <w:rsid w:val="003E1857"/>
    <w:rsid w:val="003E324C"/>
    <w:rsid w:val="003E41EB"/>
    <w:rsid w:val="003E42B1"/>
    <w:rsid w:val="003E4A18"/>
    <w:rsid w:val="003E6480"/>
    <w:rsid w:val="003E791C"/>
    <w:rsid w:val="003F1307"/>
    <w:rsid w:val="003F2058"/>
    <w:rsid w:val="003F53BC"/>
    <w:rsid w:val="00400E06"/>
    <w:rsid w:val="004024B5"/>
    <w:rsid w:val="004032EC"/>
    <w:rsid w:val="00404407"/>
    <w:rsid w:val="00405590"/>
    <w:rsid w:val="00405CDD"/>
    <w:rsid w:val="00406934"/>
    <w:rsid w:val="004074B4"/>
    <w:rsid w:val="00407EAA"/>
    <w:rsid w:val="0041047A"/>
    <w:rsid w:val="00410807"/>
    <w:rsid w:val="00411376"/>
    <w:rsid w:val="0041151F"/>
    <w:rsid w:val="00411DF0"/>
    <w:rsid w:val="00412A44"/>
    <w:rsid w:val="00413BA1"/>
    <w:rsid w:val="00415472"/>
    <w:rsid w:val="0041710E"/>
    <w:rsid w:val="00417585"/>
    <w:rsid w:val="00417E87"/>
    <w:rsid w:val="00420757"/>
    <w:rsid w:val="00420AD3"/>
    <w:rsid w:val="0042256C"/>
    <w:rsid w:val="00423B2C"/>
    <w:rsid w:val="004252FA"/>
    <w:rsid w:val="00425721"/>
    <w:rsid w:val="00425DB2"/>
    <w:rsid w:val="0042622D"/>
    <w:rsid w:val="00426294"/>
    <w:rsid w:val="00426726"/>
    <w:rsid w:val="00430E78"/>
    <w:rsid w:val="00432303"/>
    <w:rsid w:val="0043321E"/>
    <w:rsid w:val="004332CA"/>
    <w:rsid w:val="00434811"/>
    <w:rsid w:val="00434C5F"/>
    <w:rsid w:val="0043706B"/>
    <w:rsid w:val="00440F8F"/>
    <w:rsid w:val="00441B85"/>
    <w:rsid w:val="004422A7"/>
    <w:rsid w:val="004422B9"/>
    <w:rsid w:val="00442FE6"/>
    <w:rsid w:val="00443574"/>
    <w:rsid w:val="00443668"/>
    <w:rsid w:val="00443B35"/>
    <w:rsid w:val="00443F8D"/>
    <w:rsid w:val="00445830"/>
    <w:rsid w:val="004458B4"/>
    <w:rsid w:val="0044734F"/>
    <w:rsid w:val="004509CB"/>
    <w:rsid w:val="00453480"/>
    <w:rsid w:val="0045368E"/>
    <w:rsid w:val="00453D88"/>
    <w:rsid w:val="0045458E"/>
    <w:rsid w:val="00454590"/>
    <w:rsid w:val="00454B8A"/>
    <w:rsid w:val="004551FB"/>
    <w:rsid w:val="00455B62"/>
    <w:rsid w:val="004560FB"/>
    <w:rsid w:val="00456149"/>
    <w:rsid w:val="004570EE"/>
    <w:rsid w:val="00460BCD"/>
    <w:rsid w:val="00461223"/>
    <w:rsid w:val="00461E56"/>
    <w:rsid w:val="00462C58"/>
    <w:rsid w:val="00463BD1"/>
    <w:rsid w:val="00464642"/>
    <w:rsid w:val="00464E2E"/>
    <w:rsid w:val="004674C8"/>
    <w:rsid w:val="004674D0"/>
    <w:rsid w:val="00467998"/>
    <w:rsid w:val="004713EE"/>
    <w:rsid w:val="00471880"/>
    <w:rsid w:val="004721BA"/>
    <w:rsid w:val="004738D3"/>
    <w:rsid w:val="004749F9"/>
    <w:rsid w:val="00474B6D"/>
    <w:rsid w:val="00474C06"/>
    <w:rsid w:val="00474F1F"/>
    <w:rsid w:val="004778E1"/>
    <w:rsid w:val="00481819"/>
    <w:rsid w:val="004823E5"/>
    <w:rsid w:val="00482DEF"/>
    <w:rsid w:val="00483E39"/>
    <w:rsid w:val="00484728"/>
    <w:rsid w:val="004849CF"/>
    <w:rsid w:val="00485A93"/>
    <w:rsid w:val="004860ED"/>
    <w:rsid w:val="004869B1"/>
    <w:rsid w:val="00487530"/>
    <w:rsid w:val="004879C6"/>
    <w:rsid w:val="00487BB9"/>
    <w:rsid w:val="004905A0"/>
    <w:rsid w:val="0049105E"/>
    <w:rsid w:val="00492342"/>
    <w:rsid w:val="00493707"/>
    <w:rsid w:val="00495C38"/>
    <w:rsid w:val="00496B2B"/>
    <w:rsid w:val="00496DD8"/>
    <w:rsid w:val="00497F8B"/>
    <w:rsid w:val="004A6541"/>
    <w:rsid w:val="004A661D"/>
    <w:rsid w:val="004A688F"/>
    <w:rsid w:val="004A6F61"/>
    <w:rsid w:val="004A7280"/>
    <w:rsid w:val="004A74B9"/>
    <w:rsid w:val="004B04B8"/>
    <w:rsid w:val="004B0F12"/>
    <w:rsid w:val="004B131F"/>
    <w:rsid w:val="004B1800"/>
    <w:rsid w:val="004B1F48"/>
    <w:rsid w:val="004B2E6F"/>
    <w:rsid w:val="004B427E"/>
    <w:rsid w:val="004B45E9"/>
    <w:rsid w:val="004B5D5D"/>
    <w:rsid w:val="004B6514"/>
    <w:rsid w:val="004B69E9"/>
    <w:rsid w:val="004B76D9"/>
    <w:rsid w:val="004C085F"/>
    <w:rsid w:val="004C0DE9"/>
    <w:rsid w:val="004C54B2"/>
    <w:rsid w:val="004C5FD7"/>
    <w:rsid w:val="004C6294"/>
    <w:rsid w:val="004C712C"/>
    <w:rsid w:val="004C7DE4"/>
    <w:rsid w:val="004D08AF"/>
    <w:rsid w:val="004D221F"/>
    <w:rsid w:val="004D2470"/>
    <w:rsid w:val="004D3757"/>
    <w:rsid w:val="004D3DFC"/>
    <w:rsid w:val="004D418F"/>
    <w:rsid w:val="004D546A"/>
    <w:rsid w:val="004D65BC"/>
    <w:rsid w:val="004D66BD"/>
    <w:rsid w:val="004E2293"/>
    <w:rsid w:val="004E23D5"/>
    <w:rsid w:val="004E41A6"/>
    <w:rsid w:val="004E6291"/>
    <w:rsid w:val="004E6E16"/>
    <w:rsid w:val="004E71A9"/>
    <w:rsid w:val="004E7727"/>
    <w:rsid w:val="004F1166"/>
    <w:rsid w:val="004F1AC9"/>
    <w:rsid w:val="004F1E1E"/>
    <w:rsid w:val="004F31C9"/>
    <w:rsid w:val="004F3E7D"/>
    <w:rsid w:val="004F5191"/>
    <w:rsid w:val="004F5536"/>
    <w:rsid w:val="004F6E8D"/>
    <w:rsid w:val="004F7594"/>
    <w:rsid w:val="005001C4"/>
    <w:rsid w:val="00500319"/>
    <w:rsid w:val="00501226"/>
    <w:rsid w:val="00501290"/>
    <w:rsid w:val="00501A2A"/>
    <w:rsid w:val="00501E85"/>
    <w:rsid w:val="00501F47"/>
    <w:rsid w:val="00502225"/>
    <w:rsid w:val="0050233C"/>
    <w:rsid w:val="0050276C"/>
    <w:rsid w:val="00502C5A"/>
    <w:rsid w:val="005040A9"/>
    <w:rsid w:val="00505266"/>
    <w:rsid w:val="005060DF"/>
    <w:rsid w:val="00506B0C"/>
    <w:rsid w:val="00516E57"/>
    <w:rsid w:val="005214FE"/>
    <w:rsid w:val="00525165"/>
    <w:rsid w:val="005252FD"/>
    <w:rsid w:val="005253DF"/>
    <w:rsid w:val="0052553C"/>
    <w:rsid w:val="00525E87"/>
    <w:rsid w:val="0052615F"/>
    <w:rsid w:val="00526477"/>
    <w:rsid w:val="005276D7"/>
    <w:rsid w:val="00527741"/>
    <w:rsid w:val="00531231"/>
    <w:rsid w:val="00532673"/>
    <w:rsid w:val="005331E0"/>
    <w:rsid w:val="005349B5"/>
    <w:rsid w:val="0053660E"/>
    <w:rsid w:val="00536A6D"/>
    <w:rsid w:val="005405E6"/>
    <w:rsid w:val="00542B59"/>
    <w:rsid w:val="00545122"/>
    <w:rsid w:val="00545FF4"/>
    <w:rsid w:val="00551056"/>
    <w:rsid w:val="00551DE1"/>
    <w:rsid w:val="00551F3D"/>
    <w:rsid w:val="0055281C"/>
    <w:rsid w:val="0055321C"/>
    <w:rsid w:val="00553F4B"/>
    <w:rsid w:val="0055405B"/>
    <w:rsid w:val="00554B2C"/>
    <w:rsid w:val="005613B4"/>
    <w:rsid w:val="0056158E"/>
    <w:rsid w:val="00561790"/>
    <w:rsid w:val="00562265"/>
    <w:rsid w:val="0056379E"/>
    <w:rsid w:val="00563DE1"/>
    <w:rsid w:val="00563F36"/>
    <w:rsid w:val="00564992"/>
    <w:rsid w:val="00564B27"/>
    <w:rsid w:val="00565BE1"/>
    <w:rsid w:val="00565EED"/>
    <w:rsid w:val="00566E39"/>
    <w:rsid w:val="00566E46"/>
    <w:rsid w:val="005670D1"/>
    <w:rsid w:val="00571187"/>
    <w:rsid w:val="00571961"/>
    <w:rsid w:val="00572267"/>
    <w:rsid w:val="00573841"/>
    <w:rsid w:val="005747BD"/>
    <w:rsid w:val="005747E9"/>
    <w:rsid w:val="0057556E"/>
    <w:rsid w:val="0057703C"/>
    <w:rsid w:val="0058095C"/>
    <w:rsid w:val="00581775"/>
    <w:rsid w:val="00581958"/>
    <w:rsid w:val="00584578"/>
    <w:rsid w:val="005867C1"/>
    <w:rsid w:val="00586984"/>
    <w:rsid w:val="00591944"/>
    <w:rsid w:val="0059203A"/>
    <w:rsid w:val="005928FB"/>
    <w:rsid w:val="00593616"/>
    <w:rsid w:val="0059382E"/>
    <w:rsid w:val="0059386C"/>
    <w:rsid w:val="00594962"/>
    <w:rsid w:val="00596108"/>
    <w:rsid w:val="005966C3"/>
    <w:rsid w:val="00596D62"/>
    <w:rsid w:val="00597587"/>
    <w:rsid w:val="00597F27"/>
    <w:rsid w:val="005A052F"/>
    <w:rsid w:val="005A05EE"/>
    <w:rsid w:val="005A2245"/>
    <w:rsid w:val="005A38C5"/>
    <w:rsid w:val="005A3E1E"/>
    <w:rsid w:val="005A4133"/>
    <w:rsid w:val="005A492B"/>
    <w:rsid w:val="005A5536"/>
    <w:rsid w:val="005A69B8"/>
    <w:rsid w:val="005A703B"/>
    <w:rsid w:val="005A7BF4"/>
    <w:rsid w:val="005A7DF0"/>
    <w:rsid w:val="005B0A6F"/>
    <w:rsid w:val="005B29DC"/>
    <w:rsid w:val="005B3A81"/>
    <w:rsid w:val="005B4050"/>
    <w:rsid w:val="005B4E43"/>
    <w:rsid w:val="005B5771"/>
    <w:rsid w:val="005B5F7E"/>
    <w:rsid w:val="005C0678"/>
    <w:rsid w:val="005C0F56"/>
    <w:rsid w:val="005C1A26"/>
    <w:rsid w:val="005C3599"/>
    <w:rsid w:val="005C50A8"/>
    <w:rsid w:val="005C5695"/>
    <w:rsid w:val="005C5775"/>
    <w:rsid w:val="005C63D9"/>
    <w:rsid w:val="005C692B"/>
    <w:rsid w:val="005C7608"/>
    <w:rsid w:val="005D1FE2"/>
    <w:rsid w:val="005D2935"/>
    <w:rsid w:val="005D2990"/>
    <w:rsid w:val="005D2A41"/>
    <w:rsid w:val="005D69ED"/>
    <w:rsid w:val="005D7F08"/>
    <w:rsid w:val="005E0F11"/>
    <w:rsid w:val="005E1FC2"/>
    <w:rsid w:val="005E2A51"/>
    <w:rsid w:val="005E2B40"/>
    <w:rsid w:val="005E31CE"/>
    <w:rsid w:val="005E35FA"/>
    <w:rsid w:val="005E44E0"/>
    <w:rsid w:val="005E4C2D"/>
    <w:rsid w:val="005E5178"/>
    <w:rsid w:val="005E54FA"/>
    <w:rsid w:val="005E56C5"/>
    <w:rsid w:val="005E6CE8"/>
    <w:rsid w:val="005E77C0"/>
    <w:rsid w:val="005F0280"/>
    <w:rsid w:val="005F1149"/>
    <w:rsid w:val="005F279E"/>
    <w:rsid w:val="005F27EF"/>
    <w:rsid w:val="005F6901"/>
    <w:rsid w:val="005F69AA"/>
    <w:rsid w:val="005F6E19"/>
    <w:rsid w:val="005F7ED4"/>
    <w:rsid w:val="00600397"/>
    <w:rsid w:val="00600909"/>
    <w:rsid w:val="00602410"/>
    <w:rsid w:val="0060261D"/>
    <w:rsid w:val="00604FF4"/>
    <w:rsid w:val="0060558D"/>
    <w:rsid w:val="00605E48"/>
    <w:rsid w:val="00610B4C"/>
    <w:rsid w:val="00610E5E"/>
    <w:rsid w:val="00611CE9"/>
    <w:rsid w:val="00613392"/>
    <w:rsid w:val="006136CF"/>
    <w:rsid w:val="00613917"/>
    <w:rsid w:val="00613FA2"/>
    <w:rsid w:val="00614ED2"/>
    <w:rsid w:val="006150F1"/>
    <w:rsid w:val="006172AC"/>
    <w:rsid w:val="00617788"/>
    <w:rsid w:val="00620EAF"/>
    <w:rsid w:val="0062252F"/>
    <w:rsid w:val="00623731"/>
    <w:rsid w:val="00624F85"/>
    <w:rsid w:val="00625F94"/>
    <w:rsid w:val="006309FA"/>
    <w:rsid w:val="00630A5A"/>
    <w:rsid w:val="00632DA2"/>
    <w:rsid w:val="00633322"/>
    <w:rsid w:val="00633808"/>
    <w:rsid w:val="00634780"/>
    <w:rsid w:val="0063482D"/>
    <w:rsid w:val="00635A1F"/>
    <w:rsid w:val="006360E6"/>
    <w:rsid w:val="00636B35"/>
    <w:rsid w:val="00636E6A"/>
    <w:rsid w:val="0063796B"/>
    <w:rsid w:val="00644B1A"/>
    <w:rsid w:val="00644E5D"/>
    <w:rsid w:val="006465E1"/>
    <w:rsid w:val="00646620"/>
    <w:rsid w:val="00647D8B"/>
    <w:rsid w:val="00650042"/>
    <w:rsid w:val="00650C8B"/>
    <w:rsid w:val="006513AA"/>
    <w:rsid w:val="00652610"/>
    <w:rsid w:val="006534DC"/>
    <w:rsid w:val="006535EC"/>
    <w:rsid w:val="00653A25"/>
    <w:rsid w:val="0065471A"/>
    <w:rsid w:val="006565ED"/>
    <w:rsid w:val="00660D23"/>
    <w:rsid w:val="00662AEE"/>
    <w:rsid w:val="00662B35"/>
    <w:rsid w:val="00662D9A"/>
    <w:rsid w:val="00662FBF"/>
    <w:rsid w:val="00664A14"/>
    <w:rsid w:val="00664A75"/>
    <w:rsid w:val="006713A4"/>
    <w:rsid w:val="00671745"/>
    <w:rsid w:val="00672A2C"/>
    <w:rsid w:val="00672B17"/>
    <w:rsid w:val="00672EF1"/>
    <w:rsid w:val="00673375"/>
    <w:rsid w:val="00673EA9"/>
    <w:rsid w:val="006750E6"/>
    <w:rsid w:val="00676031"/>
    <w:rsid w:val="006801DB"/>
    <w:rsid w:val="006825B2"/>
    <w:rsid w:val="00684FB3"/>
    <w:rsid w:val="0068522F"/>
    <w:rsid w:val="0068548A"/>
    <w:rsid w:val="00685F72"/>
    <w:rsid w:val="00686D51"/>
    <w:rsid w:val="00686D5E"/>
    <w:rsid w:val="00686E9D"/>
    <w:rsid w:val="006876B0"/>
    <w:rsid w:val="006878CE"/>
    <w:rsid w:val="006917AA"/>
    <w:rsid w:val="0069216A"/>
    <w:rsid w:val="00693573"/>
    <w:rsid w:val="0069458E"/>
    <w:rsid w:val="00694AED"/>
    <w:rsid w:val="00695777"/>
    <w:rsid w:val="0069577B"/>
    <w:rsid w:val="00695CEE"/>
    <w:rsid w:val="006A09E5"/>
    <w:rsid w:val="006A1469"/>
    <w:rsid w:val="006A3606"/>
    <w:rsid w:val="006A39EA"/>
    <w:rsid w:val="006A5B11"/>
    <w:rsid w:val="006A5D2E"/>
    <w:rsid w:val="006A63BB"/>
    <w:rsid w:val="006A63F0"/>
    <w:rsid w:val="006A6532"/>
    <w:rsid w:val="006A693B"/>
    <w:rsid w:val="006A745F"/>
    <w:rsid w:val="006A79EA"/>
    <w:rsid w:val="006B002B"/>
    <w:rsid w:val="006B0FC5"/>
    <w:rsid w:val="006B1EA7"/>
    <w:rsid w:val="006B301D"/>
    <w:rsid w:val="006B3751"/>
    <w:rsid w:val="006B3E9D"/>
    <w:rsid w:val="006B48D6"/>
    <w:rsid w:val="006B572F"/>
    <w:rsid w:val="006B5827"/>
    <w:rsid w:val="006B5D62"/>
    <w:rsid w:val="006B5EE3"/>
    <w:rsid w:val="006B6B5B"/>
    <w:rsid w:val="006C09FB"/>
    <w:rsid w:val="006C0C21"/>
    <w:rsid w:val="006C3420"/>
    <w:rsid w:val="006C5181"/>
    <w:rsid w:val="006C589F"/>
    <w:rsid w:val="006C6093"/>
    <w:rsid w:val="006C702E"/>
    <w:rsid w:val="006C7D7F"/>
    <w:rsid w:val="006C7EC2"/>
    <w:rsid w:val="006D1039"/>
    <w:rsid w:val="006D1C1D"/>
    <w:rsid w:val="006D2054"/>
    <w:rsid w:val="006D22D4"/>
    <w:rsid w:val="006D3C45"/>
    <w:rsid w:val="006D3E5E"/>
    <w:rsid w:val="006D45F4"/>
    <w:rsid w:val="006D473B"/>
    <w:rsid w:val="006D5648"/>
    <w:rsid w:val="006D6AF9"/>
    <w:rsid w:val="006D778B"/>
    <w:rsid w:val="006E09CE"/>
    <w:rsid w:val="006E1D4C"/>
    <w:rsid w:val="006E25D5"/>
    <w:rsid w:val="006E45BE"/>
    <w:rsid w:val="006F3025"/>
    <w:rsid w:val="006F41B7"/>
    <w:rsid w:val="006F45C2"/>
    <w:rsid w:val="006F4C57"/>
    <w:rsid w:val="006F5C5C"/>
    <w:rsid w:val="006F617A"/>
    <w:rsid w:val="006F6EE9"/>
    <w:rsid w:val="00700BD3"/>
    <w:rsid w:val="00700E81"/>
    <w:rsid w:val="00701274"/>
    <w:rsid w:val="00701B0F"/>
    <w:rsid w:val="00702E87"/>
    <w:rsid w:val="0070318D"/>
    <w:rsid w:val="0070417F"/>
    <w:rsid w:val="00704A64"/>
    <w:rsid w:val="00704D31"/>
    <w:rsid w:val="007063CB"/>
    <w:rsid w:val="0070694D"/>
    <w:rsid w:val="00706D6B"/>
    <w:rsid w:val="007073C8"/>
    <w:rsid w:val="00710763"/>
    <w:rsid w:val="00710877"/>
    <w:rsid w:val="00710B5F"/>
    <w:rsid w:val="00711818"/>
    <w:rsid w:val="00711AAF"/>
    <w:rsid w:val="00713C49"/>
    <w:rsid w:val="007146E4"/>
    <w:rsid w:val="00716A96"/>
    <w:rsid w:val="00716D1A"/>
    <w:rsid w:val="00716FE2"/>
    <w:rsid w:val="007176D0"/>
    <w:rsid w:val="00720BF7"/>
    <w:rsid w:val="00721DBF"/>
    <w:rsid w:val="00721E79"/>
    <w:rsid w:val="007220E1"/>
    <w:rsid w:val="00722E6A"/>
    <w:rsid w:val="007238F3"/>
    <w:rsid w:val="00723908"/>
    <w:rsid w:val="00724655"/>
    <w:rsid w:val="00726842"/>
    <w:rsid w:val="00727613"/>
    <w:rsid w:val="0073231C"/>
    <w:rsid w:val="007345B2"/>
    <w:rsid w:val="00734E7F"/>
    <w:rsid w:val="007352C0"/>
    <w:rsid w:val="0073713A"/>
    <w:rsid w:val="00737941"/>
    <w:rsid w:val="00740CEC"/>
    <w:rsid w:val="00742D3F"/>
    <w:rsid w:val="00743B09"/>
    <w:rsid w:val="007451AF"/>
    <w:rsid w:val="0074546B"/>
    <w:rsid w:val="00745A94"/>
    <w:rsid w:val="00745B58"/>
    <w:rsid w:val="007508BA"/>
    <w:rsid w:val="00751E74"/>
    <w:rsid w:val="007523D8"/>
    <w:rsid w:val="00752977"/>
    <w:rsid w:val="00754552"/>
    <w:rsid w:val="007548E3"/>
    <w:rsid w:val="00755979"/>
    <w:rsid w:val="0075610C"/>
    <w:rsid w:val="00756A07"/>
    <w:rsid w:val="00756DCE"/>
    <w:rsid w:val="0075779D"/>
    <w:rsid w:val="00757AA9"/>
    <w:rsid w:val="007610A6"/>
    <w:rsid w:val="00761BC5"/>
    <w:rsid w:val="00762C40"/>
    <w:rsid w:val="00762F71"/>
    <w:rsid w:val="007636B0"/>
    <w:rsid w:val="0076375C"/>
    <w:rsid w:val="00763A4F"/>
    <w:rsid w:val="00763F81"/>
    <w:rsid w:val="007642FA"/>
    <w:rsid w:val="00764675"/>
    <w:rsid w:val="007658C0"/>
    <w:rsid w:val="00765ED0"/>
    <w:rsid w:val="0076743D"/>
    <w:rsid w:val="007674E4"/>
    <w:rsid w:val="00767525"/>
    <w:rsid w:val="00770226"/>
    <w:rsid w:val="00770BDC"/>
    <w:rsid w:val="00770D44"/>
    <w:rsid w:val="00773516"/>
    <w:rsid w:val="007737C6"/>
    <w:rsid w:val="00775192"/>
    <w:rsid w:val="00776074"/>
    <w:rsid w:val="00776328"/>
    <w:rsid w:val="00776A6C"/>
    <w:rsid w:val="00776D71"/>
    <w:rsid w:val="0078035F"/>
    <w:rsid w:val="00780DE6"/>
    <w:rsid w:val="00781124"/>
    <w:rsid w:val="00781380"/>
    <w:rsid w:val="0078452B"/>
    <w:rsid w:val="007847B8"/>
    <w:rsid w:val="00785062"/>
    <w:rsid w:val="00785C43"/>
    <w:rsid w:val="00786FC3"/>
    <w:rsid w:val="007907A2"/>
    <w:rsid w:val="00790C9E"/>
    <w:rsid w:val="00790D8C"/>
    <w:rsid w:val="00790F24"/>
    <w:rsid w:val="00791626"/>
    <w:rsid w:val="00791CDC"/>
    <w:rsid w:val="007928A8"/>
    <w:rsid w:val="00792E17"/>
    <w:rsid w:val="00793862"/>
    <w:rsid w:val="00793B64"/>
    <w:rsid w:val="007955E4"/>
    <w:rsid w:val="00795AEA"/>
    <w:rsid w:val="007A001A"/>
    <w:rsid w:val="007A3057"/>
    <w:rsid w:val="007A4886"/>
    <w:rsid w:val="007A4AEE"/>
    <w:rsid w:val="007A55D1"/>
    <w:rsid w:val="007B1CF2"/>
    <w:rsid w:val="007B20CC"/>
    <w:rsid w:val="007B3BEF"/>
    <w:rsid w:val="007B4914"/>
    <w:rsid w:val="007B4F52"/>
    <w:rsid w:val="007B7D0F"/>
    <w:rsid w:val="007C0E2A"/>
    <w:rsid w:val="007C1A0A"/>
    <w:rsid w:val="007C23BD"/>
    <w:rsid w:val="007C247C"/>
    <w:rsid w:val="007C32D8"/>
    <w:rsid w:val="007C4E72"/>
    <w:rsid w:val="007C6AC9"/>
    <w:rsid w:val="007C6C18"/>
    <w:rsid w:val="007C6E15"/>
    <w:rsid w:val="007C799F"/>
    <w:rsid w:val="007D0B99"/>
    <w:rsid w:val="007D14F1"/>
    <w:rsid w:val="007D2C09"/>
    <w:rsid w:val="007D31DA"/>
    <w:rsid w:val="007D3225"/>
    <w:rsid w:val="007D3940"/>
    <w:rsid w:val="007D3975"/>
    <w:rsid w:val="007D575D"/>
    <w:rsid w:val="007D5A00"/>
    <w:rsid w:val="007D5C44"/>
    <w:rsid w:val="007D6A9C"/>
    <w:rsid w:val="007E0274"/>
    <w:rsid w:val="007E0558"/>
    <w:rsid w:val="007E08BA"/>
    <w:rsid w:val="007E0966"/>
    <w:rsid w:val="007E1AF7"/>
    <w:rsid w:val="007E1DC2"/>
    <w:rsid w:val="007E45A6"/>
    <w:rsid w:val="007E4BA3"/>
    <w:rsid w:val="007E5BF2"/>
    <w:rsid w:val="007E6601"/>
    <w:rsid w:val="007F1067"/>
    <w:rsid w:val="007F1E07"/>
    <w:rsid w:val="007F3D97"/>
    <w:rsid w:val="007F47C7"/>
    <w:rsid w:val="007F5E02"/>
    <w:rsid w:val="008002A1"/>
    <w:rsid w:val="00801AB2"/>
    <w:rsid w:val="00803337"/>
    <w:rsid w:val="00803791"/>
    <w:rsid w:val="00803DBD"/>
    <w:rsid w:val="00804C5E"/>
    <w:rsid w:val="00806E00"/>
    <w:rsid w:val="00807195"/>
    <w:rsid w:val="00810832"/>
    <w:rsid w:val="00813101"/>
    <w:rsid w:val="008144C5"/>
    <w:rsid w:val="00815F3E"/>
    <w:rsid w:val="00815F4C"/>
    <w:rsid w:val="00820716"/>
    <w:rsid w:val="008208E5"/>
    <w:rsid w:val="00821376"/>
    <w:rsid w:val="00821436"/>
    <w:rsid w:val="0082215E"/>
    <w:rsid w:val="00823C41"/>
    <w:rsid w:val="00825DA3"/>
    <w:rsid w:val="008279D3"/>
    <w:rsid w:val="00830A2B"/>
    <w:rsid w:val="00830F1B"/>
    <w:rsid w:val="00831631"/>
    <w:rsid w:val="0083175F"/>
    <w:rsid w:val="00832949"/>
    <w:rsid w:val="008362AB"/>
    <w:rsid w:val="00836531"/>
    <w:rsid w:val="00836AC9"/>
    <w:rsid w:val="00837789"/>
    <w:rsid w:val="00837A3D"/>
    <w:rsid w:val="00840F57"/>
    <w:rsid w:val="00842E3D"/>
    <w:rsid w:val="008432FF"/>
    <w:rsid w:val="00844D18"/>
    <w:rsid w:val="00844DBD"/>
    <w:rsid w:val="0084504C"/>
    <w:rsid w:val="0084608A"/>
    <w:rsid w:val="00847416"/>
    <w:rsid w:val="00847448"/>
    <w:rsid w:val="0085067B"/>
    <w:rsid w:val="00851FD7"/>
    <w:rsid w:val="008521F3"/>
    <w:rsid w:val="00853512"/>
    <w:rsid w:val="00854463"/>
    <w:rsid w:val="00854D60"/>
    <w:rsid w:val="00855CEF"/>
    <w:rsid w:val="00856310"/>
    <w:rsid w:val="0085773A"/>
    <w:rsid w:val="00862640"/>
    <w:rsid w:val="00862837"/>
    <w:rsid w:val="00863F98"/>
    <w:rsid w:val="008648B8"/>
    <w:rsid w:val="0086492B"/>
    <w:rsid w:val="00876E51"/>
    <w:rsid w:val="00881B36"/>
    <w:rsid w:val="008821FE"/>
    <w:rsid w:val="00882258"/>
    <w:rsid w:val="00882550"/>
    <w:rsid w:val="008840B8"/>
    <w:rsid w:val="0088502E"/>
    <w:rsid w:val="008860F1"/>
    <w:rsid w:val="008862C3"/>
    <w:rsid w:val="008864EE"/>
    <w:rsid w:val="00886581"/>
    <w:rsid w:val="00890316"/>
    <w:rsid w:val="00891761"/>
    <w:rsid w:val="008952E6"/>
    <w:rsid w:val="00895601"/>
    <w:rsid w:val="00895813"/>
    <w:rsid w:val="008A062C"/>
    <w:rsid w:val="008A1887"/>
    <w:rsid w:val="008A1FCF"/>
    <w:rsid w:val="008A2708"/>
    <w:rsid w:val="008A3A75"/>
    <w:rsid w:val="008A44E6"/>
    <w:rsid w:val="008A45A6"/>
    <w:rsid w:val="008A4C95"/>
    <w:rsid w:val="008A5294"/>
    <w:rsid w:val="008A5891"/>
    <w:rsid w:val="008A6617"/>
    <w:rsid w:val="008A6E37"/>
    <w:rsid w:val="008B08F0"/>
    <w:rsid w:val="008B2DB1"/>
    <w:rsid w:val="008B2E7B"/>
    <w:rsid w:val="008B56A3"/>
    <w:rsid w:val="008B56C6"/>
    <w:rsid w:val="008B5B7E"/>
    <w:rsid w:val="008B67EA"/>
    <w:rsid w:val="008C021E"/>
    <w:rsid w:val="008C238C"/>
    <w:rsid w:val="008C5C2D"/>
    <w:rsid w:val="008C74AC"/>
    <w:rsid w:val="008C7DB1"/>
    <w:rsid w:val="008D3046"/>
    <w:rsid w:val="008D31A4"/>
    <w:rsid w:val="008D4EE8"/>
    <w:rsid w:val="008D64AF"/>
    <w:rsid w:val="008D6B2C"/>
    <w:rsid w:val="008E0DD0"/>
    <w:rsid w:val="008E1632"/>
    <w:rsid w:val="008E29B2"/>
    <w:rsid w:val="008E31E9"/>
    <w:rsid w:val="008E542B"/>
    <w:rsid w:val="008E62D5"/>
    <w:rsid w:val="008E7EB3"/>
    <w:rsid w:val="008F1614"/>
    <w:rsid w:val="008F32C8"/>
    <w:rsid w:val="008F34D8"/>
    <w:rsid w:val="008F4734"/>
    <w:rsid w:val="008F4BC5"/>
    <w:rsid w:val="008F6692"/>
    <w:rsid w:val="008F6A24"/>
    <w:rsid w:val="008F7EAA"/>
    <w:rsid w:val="009018F6"/>
    <w:rsid w:val="00902670"/>
    <w:rsid w:val="00902A28"/>
    <w:rsid w:val="00902A3D"/>
    <w:rsid w:val="00902AB8"/>
    <w:rsid w:val="00904B45"/>
    <w:rsid w:val="00904FFE"/>
    <w:rsid w:val="009051BE"/>
    <w:rsid w:val="009059E8"/>
    <w:rsid w:val="00907892"/>
    <w:rsid w:val="009100B2"/>
    <w:rsid w:val="00910DD5"/>
    <w:rsid w:val="00911BCD"/>
    <w:rsid w:val="00911E40"/>
    <w:rsid w:val="00913EC4"/>
    <w:rsid w:val="0091635C"/>
    <w:rsid w:val="00917ACE"/>
    <w:rsid w:val="00920906"/>
    <w:rsid w:val="0092168D"/>
    <w:rsid w:val="00921F19"/>
    <w:rsid w:val="009225C2"/>
    <w:rsid w:val="00922B57"/>
    <w:rsid w:val="0092581A"/>
    <w:rsid w:val="0092649C"/>
    <w:rsid w:val="00931F76"/>
    <w:rsid w:val="00932AE5"/>
    <w:rsid w:val="00932EA0"/>
    <w:rsid w:val="00933180"/>
    <w:rsid w:val="00934C88"/>
    <w:rsid w:val="009364BC"/>
    <w:rsid w:val="00937922"/>
    <w:rsid w:val="00937C88"/>
    <w:rsid w:val="00937E6B"/>
    <w:rsid w:val="0094099E"/>
    <w:rsid w:val="00940D82"/>
    <w:rsid w:val="0094553C"/>
    <w:rsid w:val="009458C2"/>
    <w:rsid w:val="00946111"/>
    <w:rsid w:val="0094654A"/>
    <w:rsid w:val="00951B47"/>
    <w:rsid w:val="00955F62"/>
    <w:rsid w:val="00960BEB"/>
    <w:rsid w:val="009624DB"/>
    <w:rsid w:val="00962B0C"/>
    <w:rsid w:val="00963ABB"/>
    <w:rsid w:val="00963EE1"/>
    <w:rsid w:val="009646A7"/>
    <w:rsid w:val="00965334"/>
    <w:rsid w:val="00965AB0"/>
    <w:rsid w:val="00967113"/>
    <w:rsid w:val="00967995"/>
    <w:rsid w:val="009708BB"/>
    <w:rsid w:val="00971FF8"/>
    <w:rsid w:val="00972EB4"/>
    <w:rsid w:val="00973A08"/>
    <w:rsid w:val="009742E9"/>
    <w:rsid w:val="0097485F"/>
    <w:rsid w:val="00974879"/>
    <w:rsid w:val="00976684"/>
    <w:rsid w:val="009766FE"/>
    <w:rsid w:val="0098229F"/>
    <w:rsid w:val="009827D1"/>
    <w:rsid w:val="00984BF6"/>
    <w:rsid w:val="00986CA4"/>
    <w:rsid w:val="009914BD"/>
    <w:rsid w:val="00991D90"/>
    <w:rsid w:val="009920A9"/>
    <w:rsid w:val="00993527"/>
    <w:rsid w:val="009936E0"/>
    <w:rsid w:val="00993E69"/>
    <w:rsid w:val="00994890"/>
    <w:rsid w:val="009973A4"/>
    <w:rsid w:val="00997D1E"/>
    <w:rsid w:val="009A0A3D"/>
    <w:rsid w:val="009A284A"/>
    <w:rsid w:val="009A3052"/>
    <w:rsid w:val="009A44A6"/>
    <w:rsid w:val="009A5FA2"/>
    <w:rsid w:val="009A658E"/>
    <w:rsid w:val="009A7AC6"/>
    <w:rsid w:val="009A7D91"/>
    <w:rsid w:val="009B179A"/>
    <w:rsid w:val="009B1E30"/>
    <w:rsid w:val="009B3090"/>
    <w:rsid w:val="009B5951"/>
    <w:rsid w:val="009B69C8"/>
    <w:rsid w:val="009B726E"/>
    <w:rsid w:val="009C016B"/>
    <w:rsid w:val="009C0B09"/>
    <w:rsid w:val="009C1494"/>
    <w:rsid w:val="009C1792"/>
    <w:rsid w:val="009C1D34"/>
    <w:rsid w:val="009C262C"/>
    <w:rsid w:val="009C30E9"/>
    <w:rsid w:val="009C34D1"/>
    <w:rsid w:val="009C3C95"/>
    <w:rsid w:val="009C745D"/>
    <w:rsid w:val="009C7545"/>
    <w:rsid w:val="009D0AA1"/>
    <w:rsid w:val="009D2BF3"/>
    <w:rsid w:val="009D4C88"/>
    <w:rsid w:val="009D6537"/>
    <w:rsid w:val="009E224F"/>
    <w:rsid w:val="009E281E"/>
    <w:rsid w:val="009E2A54"/>
    <w:rsid w:val="009E38E4"/>
    <w:rsid w:val="009E52D6"/>
    <w:rsid w:val="009E56FB"/>
    <w:rsid w:val="009F0DE4"/>
    <w:rsid w:val="009F12E9"/>
    <w:rsid w:val="009F1505"/>
    <w:rsid w:val="009F1EA7"/>
    <w:rsid w:val="009F3CF2"/>
    <w:rsid w:val="009F4449"/>
    <w:rsid w:val="009F5027"/>
    <w:rsid w:val="009F53CA"/>
    <w:rsid w:val="009F5E39"/>
    <w:rsid w:val="009F638A"/>
    <w:rsid w:val="00A0420F"/>
    <w:rsid w:val="00A04273"/>
    <w:rsid w:val="00A05BA9"/>
    <w:rsid w:val="00A07847"/>
    <w:rsid w:val="00A108A4"/>
    <w:rsid w:val="00A10ED0"/>
    <w:rsid w:val="00A11C69"/>
    <w:rsid w:val="00A13283"/>
    <w:rsid w:val="00A148B9"/>
    <w:rsid w:val="00A14B42"/>
    <w:rsid w:val="00A15AEE"/>
    <w:rsid w:val="00A1616F"/>
    <w:rsid w:val="00A16836"/>
    <w:rsid w:val="00A21955"/>
    <w:rsid w:val="00A21B50"/>
    <w:rsid w:val="00A22A62"/>
    <w:rsid w:val="00A23763"/>
    <w:rsid w:val="00A2387D"/>
    <w:rsid w:val="00A23E98"/>
    <w:rsid w:val="00A24B3B"/>
    <w:rsid w:val="00A25FD7"/>
    <w:rsid w:val="00A26D0B"/>
    <w:rsid w:val="00A2781E"/>
    <w:rsid w:val="00A27D5F"/>
    <w:rsid w:val="00A27ED4"/>
    <w:rsid w:val="00A30D96"/>
    <w:rsid w:val="00A323C6"/>
    <w:rsid w:val="00A323D8"/>
    <w:rsid w:val="00A33DEF"/>
    <w:rsid w:val="00A36026"/>
    <w:rsid w:val="00A364B9"/>
    <w:rsid w:val="00A37126"/>
    <w:rsid w:val="00A371E8"/>
    <w:rsid w:val="00A37745"/>
    <w:rsid w:val="00A37C27"/>
    <w:rsid w:val="00A37E04"/>
    <w:rsid w:val="00A41CFB"/>
    <w:rsid w:val="00A4387C"/>
    <w:rsid w:val="00A43E53"/>
    <w:rsid w:val="00A44BE3"/>
    <w:rsid w:val="00A45BB5"/>
    <w:rsid w:val="00A4674E"/>
    <w:rsid w:val="00A467A4"/>
    <w:rsid w:val="00A46D52"/>
    <w:rsid w:val="00A471E1"/>
    <w:rsid w:val="00A47290"/>
    <w:rsid w:val="00A4775C"/>
    <w:rsid w:val="00A47CE4"/>
    <w:rsid w:val="00A501DC"/>
    <w:rsid w:val="00A50354"/>
    <w:rsid w:val="00A51766"/>
    <w:rsid w:val="00A51DA3"/>
    <w:rsid w:val="00A53291"/>
    <w:rsid w:val="00A53C74"/>
    <w:rsid w:val="00A54BA0"/>
    <w:rsid w:val="00A54CF0"/>
    <w:rsid w:val="00A54DFA"/>
    <w:rsid w:val="00A54E7C"/>
    <w:rsid w:val="00A5530D"/>
    <w:rsid w:val="00A562D7"/>
    <w:rsid w:val="00A5659B"/>
    <w:rsid w:val="00A56672"/>
    <w:rsid w:val="00A601B8"/>
    <w:rsid w:val="00A61E56"/>
    <w:rsid w:val="00A64609"/>
    <w:rsid w:val="00A64B1A"/>
    <w:rsid w:val="00A70D33"/>
    <w:rsid w:val="00A715D3"/>
    <w:rsid w:val="00A718AC"/>
    <w:rsid w:val="00A71935"/>
    <w:rsid w:val="00A722B4"/>
    <w:rsid w:val="00A7233C"/>
    <w:rsid w:val="00A72CB1"/>
    <w:rsid w:val="00A73E9F"/>
    <w:rsid w:val="00A74CE3"/>
    <w:rsid w:val="00A75A4D"/>
    <w:rsid w:val="00A75C6C"/>
    <w:rsid w:val="00A77F86"/>
    <w:rsid w:val="00A818A0"/>
    <w:rsid w:val="00A842CC"/>
    <w:rsid w:val="00A8606D"/>
    <w:rsid w:val="00A86592"/>
    <w:rsid w:val="00A877CD"/>
    <w:rsid w:val="00A90B89"/>
    <w:rsid w:val="00A93D4C"/>
    <w:rsid w:val="00A95332"/>
    <w:rsid w:val="00A961D9"/>
    <w:rsid w:val="00A96316"/>
    <w:rsid w:val="00A9698B"/>
    <w:rsid w:val="00A96BA2"/>
    <w:rsid w:val="00A96DE7"/>
    <w:rsid w:val="00AA005B"/>
    <w:rsid w:val="00AA11D9"/>
    <w:rsid w:val="00AA1412"/>
    <w:rsid w:val="00AA1F3E"/>
    <w:rsid w:val="00AA1FC7"/>
    <w:rsid w:val="00AA2C4C"/>
    <w:rsid w:val="00AA39E4"/>
    <w:rsid w:val="00AA3A08"/>
    <w:rsid w:val="00AA5F76"/>
    <w:rsid w:val="00AA60C0"/>
    <w:rsid w:val="00AA6156"/>
    <w:rsid w:val="00AA6628"/>
    <w:rsid w:val="00AB026E"/>
    <w:rsid w:val="00AB199F"/>
    <w:rsid w:val="00AB1DF7"/>
    <w:rsid w:val="00AB204B"/>
    <w:rsid w:val="00AB27F6"/>
    <w:rsid w:val="00AB35B6"/>
    <w:rsid w:val="00AB3C88"/>
    <w:rsid w:val="00AB4AF8"/>
    <w:rsid w:val="00AB4DAA"/>
    <w:rsid w:val="00AB5268"/>
    <w:rsid w:val="00AB5954"/>
    <w:rsid w:val="00AB5D87"/>
    <w:rsid w:val="00AB62E0"/>
    <w:rsid w:val="00AB64F9"/>
    <w:rsid w:val="00AC15E9"/>
    <w:rsid w:val="00AC2D15"/>
    <w:rsid w:val="00AC2EC6"/>
    <w:rsid w:val="00AC3EC3"/>
    <w:rsid w:val="00AC5A46"/>
    <w:rsid w:val="00AC5A7C"/>
    <w:rsid w:val="00AC6530"/>
    <w:rsid w:val="00AC6F82"/>
    <w:rsid w:val="00AC7FE5"/>
    <w:rsid w:val="00AC7FEF"/>
    <w:rsid w:val="00AD0A08"/>
    <w:rsid w:val="00AD19AB"/>
    <w:rsid w:val="00AD22CB"/>
    <w:rsid w:val="00AD31FC"/>
    <w:rsid w:val="00AD3407"/>
    <w:rsid w:val="00AD4990"/>
    <w:rsid w:val="00AD52B5"/>
    <w:rsid w:val="00AD58DE"/>
    <w:rsid w:val="00AD61A6"/>
    <w:rsid w:val="00AD6850"/>
    <w:rsid w:val="00AD6D2B"/>
    <w:rsid w:val="00AD7FB3"/>
    <w:rsid w:val="00AE298D"/>
    <w:rsid w:val="00AE37BC"/>
    <w:rsid w:val="00AE4343"/>
    <w:rsid w:val="00AE6696"/>
    <w:rsid w:val="00AE67A5"/>
    <w:rsid w:val="00AE6F4B"/>
    <w:rsid w:val="00AF164B"/>
    <w:rsid w:val="00AF2A4D"/>
    <w:rsid w:val="00AF64E0"/>
    <w:rsid w:val="00AF6CD7"/>
    <w:rsid w:val="00AF7CDA"/>
    <w:rsid w:val="00B01012"/>
    <w:rsid w:val="00B01020"/>
    <w:rsid w:val="00B0147E"/>
    <w:rsid w:val="00B019B9"/>
    <w:rsid w:val="00B01B43"/>
    <w:rsid w:val="00B0287F"/>
    <w:rsid w:val="00B02A58"/>
    <w:rsid w:val="00B03C28"/>
    <w:rsid w:val="00B03CC8"/>
    <w:rsid w:val="00B03D07"/>
    <w:rsid w:val="00B0513E"/>
    <w:rsid w:val="00B05534"/>
    <w:rsid w:val="00B056D1"/>
    <w:rsid w:val="00B05CBE"/>
    <w:rsid w:val="00B064DA"/>
    <w:rsid w:val="00B06F9E"/>
    <w:rsid w:val="00B07988"/>
    <w:rsid w:val="00B07D79"/>
    <w:rsid w:val="00B10795"/>
    <w:rsid w:val="00B10F5D"/>
    <w:rsid w:val="00B112CD"/>
    <w:rsid w:val="00B11393"/>
    <w:rsid w:val="00B12A32"/>
    <w:rsid w:val="00B135E0"/>
    <w:rsid w:val="00B14284"/>
    <w:rsid w:val="00B15917"/>
    <w:rsid w:val="00B15EB7"/>
    <w:rsid w:val="00B16AA7"/>
    <w:rsid w:val="00B17751"/>
    <w:rsid w:val="00B179E7"/>
    <w:rsid w:val="00B212B4"/>
    <w:rsid w:val="00B21894"/>
    <w:rsid w:val="00B21F10"/>
    <w:rsid w:val="00B24917"/>
    <w:rsid w:val="00B24A0B"/>
    <w:rsid w:val="00B250DF"/>
    <w:rsid w:val="00B25B12"/>
    <w:rsid w:val="00B25C64"/>
    <w:rsid w:val="00B26CA1"/>
    <w:rsid w:val="00B27DE9"/>
    <w:rsid w:val="00B3014C"/>
    <w:rsid w:val="00B32170"/>
    <w:rsid w:val="00B3355E"/>
    <w:rsid w:val="00B33613"/>
    <w:rsid w:val="00B344FE"/>
    <w:rsid w:val="00B35519"/>
    <w:rsid w:val="00B3642B"/>
    <w:rsid w:val="00B36D6F"/>
    <w:rsid w:val="00B370C0"/>
    <w:rsid w:val="00B3733F"/>
    <w:rsid w:val="00B37D70"/>
    <w:rsid w:val="00B422B8"/>
    <w:rsid w:val="00B42AA0"/>
    <w:rsid w:val="00B4412D"/>
    <w:rsid w:val="00B44383"/>
    <w:rsid w:val="00B44A07"/>
    <w:rsid w:val="00B466DB"/>
    <w:rsid w:val="00B47FA1"/>
    <w:rsid w:val="00B5032D"/>
    <w:rsid w:val="00B50D4F"/>
    <w:rsid w:val="00B50DC8"/>
    <w:rsid w:val="00B5111E"/>
    <w:rsid w:val="00B5114D"/>
    <w:rsid w:val="00B52226"/>
    <w:rsid w:val="00B52958"/>
    <w:rsid w:val="00B52BB2"/>
    <w:rsid w:val="00B55CAE"/>
    <w:rsid w:val="00B5609A"/>
    <w:rsid w:val="00B57E5E"/>
    <w:rsid w:val="00B604BA"/>
    <w:rsid w:val="00B60CA3"/>
    <w:rsid w:val="00B61AE9"/>
    <w:rsid w:val="00B61D7D"/>
    <w:rsid w:val="00B62303"/>
    <w:rsid w:val="00B623EC"/>
    <w:rsid w:val="00B635CC"/>
    <w:rsid w:val="00B64451"/>
    <w:rsid w:val="00B64488"/>
    <w:rsid w:val="00B646C7"/>
    <w:rsid w:val="00B64E3C"/>
    <w:rsid w:val="00B65ABA"/>
    <w:rsid w:val="00B65C2D"/>
    <w:rsid w:val="00B66107"/>
    <w:rsid w:val="00B6665F"/>
    <w:rsid w:val="00B67AF5"/>
    <w:rsid w:val="00B67EB0"/>
    <w:rsid w:val="00B73EB8"/>
    <w:rsid w:val="00B742FD"/>
    <w:rsid w:val="00B74463"/>
    <w:rsid w:val="00B7490B"/>
    <w:rsid w:val="00B77839"/>
    <w:rsid w:val="00B77CEF"/>
    <w:rsid w:val="00B81B19"/>
    <w:rsid w:val="00B83CAD"/>
    <w:rsid w:val="00B84CF6"/>
    <w:rsid w:val="00B850C1"/>
    <w:rsid w:val="00B85E11"/>
    <w:rsid w:val="00B87121"/>
    <w:rsid w:val="00B87783"/>
    <w:rsid w:val="00B878BC"/>
    <w:rsid w:val="00B902A2"/>
    <w:rsid w:val="00B90A23"/>
    <w:rsid w:val="00B90A43"/>
    <w:rsid w:val="00B90B33"/>
    <w:rsid w:val="00B90D0D"/>
    <w:rsid w:val="00B90DAA"/>
    <w:rsid w:val="00B91805"/>
    <w:rsid w:val="00B91A43"/>
    <w:rsid w:val="00B91DBA"/>
    <w:rsid w:val="00B921DE"/>
    <w:rsid w:val="00B92205"/>
    <w:rsid w:val="00B922C6"/>
    <w:rsid w:val="00B9234F"/>
    <w:rsid w:val="00B9241C"/>
    <w:rsid w:val="00B928AC"/>
    <w:rsid w:val="00B92F8D"/>
    <w:rsid w:val="00B92FB9"/>
    <w:rsid w:val="00B93F6A"/>
    <w:rsid w:val="00B95B7D"/>
    <w:rsid w:val="00B960E7"/>
    <w:rsid w:val="00B9760E"/>
    <w:rsid w:val="00BA07D5"/>
    <w:rsid w:val="00BA0960"/>
    <w:rsid w:val="00BA190B"/>
    <w:rsid w:val="00BA1940"/>
    <w:rsid w:val="00BA266F"/>
    <w:rsid w:val="00BA3A60"/>
    <w:rsid w:val="00BA3EB8"/>
    <w:rsid w:val="00BA494A"/>
    <w:rsid w:val="00BA7661"/>
    <w:rsid w:val="00BA7ADB"/>
    <w:rsid w:val="00BA7B60"/>
    <w:rsid w:val="00BB02BD"/>
    <w:rsid w:val="00BB1712"/>
    <w:rsid w:val="00BB1A65"/>
    <w:rsid w:val="00BB34D6"/>
    <w:rsid w:val="00BB3DD5"/>
    <w:rsid w:val="00BB4D27"/>
    <w:rsid w:val="00BB52AB"/>
    <w:rsid w:val="00BB5B42"/>
    <w:rsid w:val="00BC0615"/>
    <w:rsid w:val="00BC23F3"/>
    <w:rsid w:val="00BC37D9"/>
    <w:rsid w:val="00BC37E1"/>
    <w:rsid w:val="00BC3BEC"/>
    <w:rsid w:val="00BC416E"/>
    <w:rsid w:val="00BC6A9F"/>
    <w:rsid w:val="00BD1019"/>
    <w:rsid w:val="00BD27DD"/>
    <w:rsid w:val="00BD3525"/>
    <w:rsid w:val="00BD39E7"/>
    <w:rsid w:val="00BD5C1A"/>
    <w:rsid w:val="00BD5E0A"/>
    <w:rsid w:val="00BD62B8"/>
    <w:rsid w:val="00BE1128"/>
    <w:rsid w:val="00BE1545"/>
    <w:rsid w:val="00BE299F"/>
    <w:rsid w:val="00BE2B32"/>
    <w:rsid w:val="00BE3379"/>
    <w:rsid w:val="00BE3888"/>
    <w:rsid w:val="00BE4A95"/>
    <w:rsid w:val="00BE4EA5"/>
    <w:rsid w:val="00BE6CD7"/>
    <w:rsid w:val="00BE748B"/>
    <w:rsid w:val="00BE7C1F"/>
    <w:rsid w:val="00BE7C6A"/>
    <w:rsid w:val="00BF0479"/>
    <w:rsid w:val="00BF0845"/>
    <w:rsid w:val="00BF0D60"/>
    <w:rsid w:val="00BF2F23"/>
    <w:rsid w:val="00BF4BEA"/>
    <w:rsid w:val="00BF4D09"/>
    <w:rsid w:val="00BF5175"/>
    <w:rsid w:val="00BF5594"/>
    <w:rsid w:val="00BF6BF5"/>
    <w:rsid w:val="00BF74E2"/>
    <w:rsid w:val="00BF7EBC"/>
    <w:rsid w:val="00C000DF"/>
    <w:rsid w:val="00C00127"/>
    <w:rsid w:val="00C01356"/>
    <w:rsid w:val="00C01934"/>
    <w:rsid w:val="00C02A25"/>
    <w:rsid w:val="00C02CF8"/>
    <w:rsid w:val="00C03008"/>
    <w:rsid w:val="00C03301"/>
    <w:rsid w:val="00C03BE2"/>
    <w:rsid w:val="00C05CF4"/>
    <w:rsid w:val="00C07266"/>
    <w:rsid w:val="00C11125"/>
    <w:rsid w:val="00C11631"/>
    <w:rsid w:val="00C12C0F"/>
    <w:rsid w:val="00C13C20"/>
    <w:rsid w:val="00C1429C"/>
    <w:rsid w:val="00C1486E"/>
    <w:rsid w:val="00C1589B"/>
    <w:rsid w:val="00C2140B"/>
    <w:rsid w:val="00C217A8"/>
    <w:rsid w:val="00C21879"/>
    <w:rsid w:val="00C22087"/>
    <w:rsid w:val="00C2210B"/>
    <w:rsid w:val="00C23D5D"/>
    <w:rsid w:val="00C25C34"/>
    <w:rsid w:val="00C26072"/>
    <w:rsid w:val="00C31490"/>
    <w:rsid w:val="00C31D98"/>
    <w:rsid w:val="00C33253"/>
    <w:rsid w:val="00C33320"/>
    <w:rsid w:val="00C34336"/>
    <w:rsid w:val="00C35298"/>
    <w:rsid w:val="00C3737D"/>
    <w:rsid w:val="00C411AC"/>
    <w:rsid w:val="00C4301D"/>
    <w:rsid w:val="00C4342C"/>
    <w:rsid w:val="00C44082"/>
    <w:rsid w:val="00C44770"/>
    <w:rsid w:val="00C4564C"/>
    <w:rsid w:val="00C45CE3"/>
    <w:rsid w:val="00C467CD"/>
    <w:rsid w:val="00C46E8A"/>
    <w:rsid w:val="00C46F30"/>
    <w:rsid w:val="00C47352"/>
    <w:rsid w:val="00C5041D"/>
    <w:rsid w:val="00C51B15"/>
    <w:rsid w:val="00C540ED"/>
    <w:rsid w:val="00C55512"/>
    <w:rsid w:val="00C555C2"/>
    <w:rsid w:val="00C556A7"/>
    <w:rsid w:val="00C56F58"/>
    <w:rsid w:val="00C57055"/>
    <w:rsid w:val="00C61508"/>
    <w:rsid w:val="00C62B5E"/>
    <w:rsid w:val="00C62E6D"/>
    <w:rsid w:val="00C630E2"/>
    <w:rsid w:val="00C64E2D"/>
    <w:rsid w:val="00C653BC"/>
    <w:rsid w:val="00C67000"/>
    <w:rsid w:val="00C67E29"/>
    <w:rsid w:val="00C70949"/>
    <w:rsid w:val="00C72335"/>
    <w:rsid w:val="00C727DB"/>
    <w:rsid w:val="00C7319C"/>
    <w:rsid w:val="00C73F42"/>
    <w:rsid w:val="00C75592"/>
    <w:rsid w:val="00C75ADD"/>
    <w:rsid w:val="00C75D94"/>
    <w:rsid w:val="00C76C92"/>
    <w:rsid w:val="00C77954"/>
    <w:rsid w:val="00C77DAA"/>
    <w:rsid w:val="00C81260"/>
    <w:rsid w:val="00C81513"/>
    <w:rsid w:val="00C81730"/>
    <w:rsid w:val="00C8211A"/>
    <w:rsid w:val="00C85036"/>
    <w:rsid w:val="00C85276"/>
    <w:rsid w:val="00C85EFA"/>
    <w:rsid w:val="00C878EF"/>
    <w:rsid w:val="00C87D1D"/>
    <w:rsid w:val="00C90A1D"/>
    <w:rsid w:val="00C91155"/>
    <w:rsid w:val="00C91786"/>
    <w:rsid w:val="00C91CB5"/>
    <w:rsid w:val="00C91F31"/>
    <w:rsid w:val="00C93E42"/>
    <w:rsid w:val="00C9512C"/>
    <w:rsid w:val="00C96072"/>
    <w:rsid w:val="00C96CE1"/>
    <w:rsid w:val="00C97A89"/>
    <w:rsid w:val="00CA1FC4"/>
    <w:rsid w:val="00CA3A70"/>
    <w:rsid w:val="00CA4F58"/>
    <w:rsid w:val="00CA5957"/>
    <w:rsid w:val="00CA5B1E"/>
    <w:rsid w:val="00CA5C66"/>
    <w:rsid w:val="00CA6371"/>
    <w:rsid w:val="00CA679D"/>
    <w:rsid w:val="00CA67C4"/>
    <w:rsid w:val="00CB0856"/>
    <w:rsid w:val="00CB1F80"/>
    <w:rsid w:val="00CB21D7"/>
    <w:rsid w:val="00CB2E83"/>
    <w:rsid w:val="00CB386A"/>
    <w:rsid w:val="00CB4167"/>
    <w:rsid w:val="00CB508C"/>
    <w:rsid w:val="00CB674A"/>
    <w:rsid w:val="00CB6B6D"/>
    <w:rsid w:val="00CB739A"/>
    <w:rsid w:val="00CB73FD"/>
    <w:rsid w:val="00CB7CB7"/>
    <w:rsid w:val="00CB7F9D"/>
    <w:rsid w:val="00CC0ED1"/>
    <w:rsid w:val="00CC149E"/>
    <w:rsid w:val="00CC1BDA"/>
    <w:rsid w:val="00CC2C82"/>
    <w:rsid w:val="00CC2F90"/>
    <w:rsid w:val="00CC3276"/>
    <w:rsid w:val="00CC3FB2"/>
    <w:rsid w:val="00CD020E"/>
    <w:rsid w:val="00CD2B33"/>
    <w:rsid w:val="00CD40AB"/>
    <w:rsid w:val="00CD5235"/>
    <w:rsid w:val="00CD59DC"/>
    <w:rsid w:val="00CD6ACA"/>
    <w:rsid w:val="00CD739F"/>
    <w:rsid w:val="00CD79AA"/>
    <w:rsid w:val="00CE1AF1"/>
    <w:rsid w:val="00CE2BA6"/>
    <w:rsid w:val="00CE2D9D"/>
    <w:rsid w:val="00CE4681"/>
    <w:rsid w:val="00CE475C"/>
    <w:rsid w:val="00CE58B7"/>
    <w:rsid w:val="00CF0D41"/>
    <w:rsid w:val="00CF0DE1"/>
    <w:rsid w:val="00CF12E4"/>
    <w:rsid w:val="00CF3EFA"/>
    <w:rsid w:val="00CF5CEC"/>
    <w:rsid w:val="00CF6937"/>
    <w:rsid w:val="00CF6C64"/>
    <w:rsid w:val="00CF75F9"/>
    <w:rsid w:val="00CF7729"/>
    <w:rsid w:val="00CF7AE0"/>
    <w:rsid w:val="00D004D8"/>
    <w:rsid w:val="00D03026"/>
    <w:rsid w:val="00D03F8E"/>
    <w:rsid w:val="00D04348"/>
    <w:rsid w:val="00D04543"/>
    <w:rsid w:val="00D04B22"/>
    <w:rsid w:val="00D063AB"/>
    <w:rsid w:val="00D1024B"/>
    <w:rsid w:val="00D10642"/>
    <w:rsid w:val="00D10AD0"/>
    <w:rsid w:val="00D10B7B"/>
    <w:rsid w:val="00D14554"/>
    <w:rsid w:val="00D14AD8"/>
    <w:rsid w:val="00D14F74"/>
    <w:rsid w:val="00D169A5"/>
    <w:rsid w:val="00D17777"/>
    <w:rsid w:val="00D203B3"/>
    <w:rsid w:val="00D2160B"/>
    <w:rsid w:val="00D21B22"/>
    <w:rsid w:val="00D22979"/>
    <w:rsid w:val="00D22ECE"/>
    <w:rsid w:val="00D23189"/>
    <w:rsid w:val="00D24986"/>
    <w:rsid w:val="00D24C49"/>
    <w:rsid w:val="00D31080"/>
    <w:rsid w:val="00D31C2C"/>
    <w:rsid w:val="00D332E5"/>
    <w:rsid w:val="00D3432F"/>
    <w:rsid w:val="00D3458F"/>
    <w:rsid w:val="00D34F44"/>
    <w:rsid w:val="00D35CC6"/>
    <w:rsid w:val="00D362D7"/>
    <w:rsid w:val="00D36B0F"/>
    <w:rsid w:val="00D36D7A"/>
    <w:rsid w:val="00D37C04"/>
    <w:rsid w:val="00D40873"/>
    <w:rsid w:val="00D42A14"/>
    <w:rsid w:val="00D42EC4"/>
    <w:rsid w:val="00D43157"/>
    <w:rsid w:val="00D4440E"/>
    <w:rsid w:val="00D45146"/>
    <w:rsid w:val="00D45312"/>
    <w:rsid w:val="00D50EBF"/>
    <w:rsid w:val="00D51CAB"/>
    <w:rsid w:val="00D52CEC"/>
    <w:rsid w:val="00D545CB"/>
    <w:rsid w:val="00D548FF"/>
    <w:rsid w:val="00D55D2E"/>
    <w:rsid w:val="00D5660F"/>
    <w:rsid w:val="00D57E55"/>
    <w:rsid w:val="00D57F50"/>
    <w:rsid w:val="00D618A7"/>
    <w:rsid w:val="00D63BC3"/>
    <w:rsid w:val="00D64348"/>
    <w:rsid w:val="00D66400"/>
    <w:rsid w:val="00D676CF"/>
    <w:rsid w:val="00D728D2"/>
    <w:rsid w:val="00D72A76"/>
    <w:rsid w:val="00D75FBF"/>
    <w:rsid w:val="00D76604"/>
    <w:rsid w:val="00D76A04"/>
    <w:rsid w:val="00D811FF"/>
    <w:rsid w:val="00D81A62"/>
    <w:rsid w:val="00D827DE"/>
    <w:rsid w:val="00D82C68"/>
    <w:rsid w:val="00D87C58"/>
    <w:rsid w:val="00D90151"/>
    <w:rsid w:val="00D904C9"/>
    <w:rsid w:val="00D905E6"/>
    <w:rsid w:val="00D9617D"/>
    <w:rsid w:val="00D965D2"/>
    <w:rsid w:val="00D96B08"/>
    <w:rsid w:val="00D97028"/>
    <w:rsid w:val="00D97378"/>
    <w:rsid w:val="00DA1303"/>
    <w:rsid w:val="00DA59D5"/>
    <w:rsid w:val="00DA7D52"/>
    <w:rsid w:val="00DB00B0"/>
    <w:rsid w:val="00DB21B8"/>
    <w:rsid w:val="00DB2948"/>
    <w:rsid w:val="00DB3D21"/>
    <w:rsid w:val="00DB473B"/>
    <w:rsid w:val="00DB554C"/>
    <w:rsid w:val="00DB681A"/>
    <w:rsid w:val="00DB7555"/>
    <w:rsid w:val="00DB761D"/>
    <w:rsid w:val="00DC145E"/>
    <w:rsid w:val="00DC2ACF"/>
    <w:rsid w:val="00DC3DF8"/>
    <w:rsid w:val="00DC5E1A"/>
    <w:rsid w:val="00DC6789"/>
    <w:rsid w:val="00DC6E0E"/>
    <w:rsid w:val="00DC7278"/>
    <w:rsid w:val="00DD077B"/>
    <w:rsid w:val="00DD10B9"/>
    <w:rsid w:val="00DD1654"/>
    <w:rsid w:val="00DD1AB3"/>
    <w:rsid w:val="00DD2157"/>
    <w:rsid w:val="00DD3F3E"/>
    <w:rsid w:val="00DD40C9"/>
    <w:rsid w:val="00DD48F6"/>
    <w:rsid w:val="00DD5864"/>
    <w:rsid w:val="00DD5ACA"/>
    <w:rsid w:val="00DD5AE5"/>
    <w:rsid w:val="00DD675F"/>
    <w:rsid w:val="00DD6DF2"/>
    <w:rsid w:val="00DE0C00"/>
    <w:rsid w:val="00DE21FC"/>
    <w:rsid w:val="00DE2BEF"/>
    <w:rsid w:val="00DE66D4"/>
    <w:rsid w:val="00DE7988"/>
    <w:rsid w:val="00DE7A1D"/>
    <w:rsid w:val="00DF1057"/>
    <w:rsid w:val="00DF2190"/>
    <w:rsid w:val="00DF238A"/>
    <w:rsid w:val="00DF4B80"/>
    <w:rsid w:val="00DF5D4A"/>
    <w:rsid w:val="00DF61FD"/>
    <w:rsid w:val="00DF64EF"/>
    <w:rsid w:val="00DF6EFC"/>
    <w:rsid w:val="00DF7555"/>
    <w:rsid w:val="00E00893"/>
    <w:rsid w:val="00E02090"/>
    <w:rsid w:val="00E029A2"/>
    <w:rsid w:val="00E036B0"/>
    <w:rsid w:val="00E03801"/>
    <w:rsid w:val="00E051B2"/>
    <w:rsid w:val="00E055C9"/>
    <w:rsid w:val="00E06438"/>
    <w:rsid w:val="00E105CA"/>
    <w:rsid w:val="00E106A7"/>
    <w:rsid w:val="00E10EF0"/>
    <w:rsid w:val="00E117F6"/>
    <w:rsid w:val="00E12759"/>
    <w:rsid w:val="00E128ED"/>
    <w:rsid w:val="00E12C99"/>
    <w:rsid w:val="00E12DD7"/>
    <w:rsid w:val="00E13452"/>
    <w:rsid w:val="00E13F6A"/>
    <w:rsid w:val="00E15D41"/>
    <w:rsid w:val="00E175A7"/>
    <w:rsid w:val="00E2144E"/>
    <w:rsid w:val="00E22DED"/>
    <w:rsid w:val="00E23B6C"/>
    <w:rsid w:val="00E23DA5"/>
    <w:rsid w:val="00E23EB4"/>
    <w:rsid w:val="00E25D93"/>
    <w:rsid w:val="00E25EE5"/>
    <w:rsid w:val="00E2693C"/>
    <w:rsid w:val="00E27A37"/>
    <w:rsid w:val="00E30A68"/>
    <w:rsid w:val="00E33A3B"/>
    <w:rsid w:val="00E370A6"/>
    <w:rsid w:val="00E3719A"/>
    <w:rsid w:val="00E373C1"/>
    <w:rsid w:val="00E3758B"/>
    <w:rsid w:val="00E37AEB"/>
    <w:rsid w:val="00E40FEE"/>
    <w:rsid w:val="00E41B01"/>
    <w:rsid w:val="00E4302B"/>
    <w:rsid w:val="00E4396A"/>
    <w:rsid w:val="00E43B1F"/>
    <w:rsid w:val="00E454C4"/>
    <w:rsid w:val="00E45FB6"/>
    <w:rsid w:val="00E50194"/>
    <w:rsid w:val="00E50977"/>
    <w:rsid w:val="00E50E98"/>
    <w:rsid w:val="00E542D3"/>
    <w:rsid w:val="00E54A57"/>
    <w:rsid w:val="00E56E99"/>
    <w:rsid w:val="00E57FD4"/>
    <w:rsid w:val="00E60289"/>
    <w:rsid w:val="00E60882"/>
    <w:rsid w:val="00E618F6"/>
    <w:rsid w:val="00E61D4F"/>
    <w:rsid w:val="00E632B6"/>
    <w:rsid w:val="00E63B6F"/>
    <w:rsid w:val="00E6691C"/>
    <w:rsid w:val="00E6758C"/>
    <w:rsid w:val="00E67B2B"/>
    <w:rsid w:val="00E67E54"/>
    <w:rsid w:val="00E70CA1"/>
    <w:rsid w:val="00E72279"/>
    <w:rsid w:val="00E72F2B"/>
    <w:rsid w:val="00E73A45"/>
    <w:rsid w:val="00E73AB1"/>
    <w:rsid w:val="00E73D1A"/>
    <w:rsid w:val="00E74FDC"/>
    <w:rsid w:val="00E7676A"/>
    <w:rsid w:val="00E77465"/>
    <w:rsid w:val="00E808D6"/>
    <w:rsid w:val="00E8128D"/>
    <w:rsid w:val="00E81556"/>
    <w:rsid w:val="00E81E90"/>
    <w:rsid w:val="00E82B46"/>
    <w:rsid w:val="00E86BA8"/>
    <w:rsid w:val="00E912CB"/>
    <w:rsid w:val="00E94396"/>
    <w:rsid w:val="00E96459"/>
    <w:rsid w:val="00E969E6"/>
    <w:rsid w:val="00E9708A"/>
    <w:rsid w:val="00EA0188"/>
    <w:rsid w:val="00EA089B"/>
    <w:rsid w:val="00EA1677"/>
    <w:rsid w:val="00EA1EE5"/>
    <w:rsid w:val="00EA27CD"/>
    <w:rsid w:val="00EA2E0A"/>
    <w:rsid w:val="00EA4BD6"/>
    <w:rsid w:val="00EA4BE6"/>
    <w:rsid w:val="00EA6099"/>
    <w:rsid w:val="00EA6517"/>
    <w:rsid w:val="00EA68C4"/>
    <w:rsid w:val="00EA701E"/>
    <w:rsid w:val="00EB0287"/>
    <w:rsid w:val="00EB0F61"/>
    <w:rsid w:val="00EB3EDF"/>
    <w:rsid w:val="00EB5919"/>
    <w:rsid w:val="00EB5A2C"/>
    <w:rsid w:val="00EB5BB5"/>
    <w:rsid w:val="00EB691E"/>
    <w:rsid w:val="00EB7895"/>
    <w:rsid w:val="00EB7989"/>
    <w:rsid w:val="00EC1391"/>
    <w:rsid w:val="00EC2FE5"/>
    <w:rsid w:val="00EC4245"/>
    <w:rsid w:val="00EC477D"/>
    <w:rsid w:val="00EC5BD8"/>
    <w:rsid w:val="00EC5D86"/>
    <w:rsid w:val="00EC7877"/>
    <w:rsid w:val="00ED173F"/>
    <w:rsid w:val="00ED1DB5"/>
    <w:rsid w:val="00ED2062"/>
    <w:rsid w:val="00ED29EE"/>
    <w:rsid w:val="00ED3456"/>
    <w:rsid w:val="00ED3C24"/>
    <w:rsid w:val="00ED44EE"/>
    <w:rsid w:val="00ED4A6A"/>
    <w:rsid w:val="00ED4FCC"/>
    <w:rsid w:val="00ED7356"/>
    <w:rsid w:val="00EE0BF1"/>
    <w:rsid w:val="00EE1549"/>
    <w:rsid w:val="00EE2C53"/>
    <w:rsid w:val="00EE4467"/>
    <w:rsid w:val="00EE455A"/>
    <w:rsid w:val="00EE58D6"/>
    <w:rsid w:val="00EE5D62"/>
    <w:rsid w:val="00EE62E8"/>
    <w:rsid w:val="00EE715B"/>
    <w:rsid w:val="00EE728A"/>
    <w:rsid w:val="00EE7ED3"/>
    <w:rsid w:val="00EF0B44"/>
    <w:rsid w:val="00EF1021"/>
    <w:rsid w:val="00EF3DE7"/>
    <w:rsid w:val="00EF4079"/>
    <w:rsid w:val="00EF436C"/>
    <w:rsid w:val="00EF6C30"/>
    <w:rsid w:val="00F008A3"/>
    <w:rsid w:val="00F009D8"/>
    <w:rsid w:val="00F013C7"/>
    <w:rsid w:val="00F01741"/>
    <w:rsid w:val="00F02177"/>
    <w:rsid w:val="00F02EC6"/>
    <w:rsid w:val="00F03448"/>
    <w:rsid w:val="00F03A19"/>
    <w:rsid w:val="00F0451A"/>
    <w:rsid w:val="00F050CD"/>
    <w:rsid w:val="00F05D10"/>
    <w:rsid w:val="00F06506"/>
    <w:rsid w:val="00F1047A"/>
    <w:rsid w:val="00F10724"/>
    <w:rsid w:val="00F10D91"/>
    <w:rsid w:val="00F1210D"/>
    <w:rsid w:val="00F12237"/>
    <w:rsid w:val="00F16C09"/>
    <w:rsid w:val="00F16F0F"/>
    <w:rsid w:val="00F17050"/>
    <w:rsid w:val="00F17D49"/>
    <w:rsid w:val="00F17E26"/>
    <w:rsid w:val="00F17E52"/>
    <w:rsid w:val="00F20C3E"/>
    <w:rsid w:val="00F23F8C"/>
    <w:rsid w:val="00F24943"/>
    <w:rsid w:val="00F25512"/>
    <w:rsid w:val="00F2575F"/>
    <w:rsid w:val="00F25A5E"/>
    <w:rsid w:val="00F26C23"/>
    <w:rsid w:val="00F2712F"/>
    <w:rsid w:val="00F30CB8"/>
    <w:rsid w:val="00F31A48"/>
    <w:rsid w:val="00F337B6"/>
    <w:rsid w:val="00F33AC9"/>
    <w:rsid w:val="00F35677"/>
    <w:rsid w:val="00F35804"/>
    <w:rsid w:val="00F35F34"/>
    <w:rsid w:val="00F3646F"/>
    <w:rsid w:val="00F37900"/>
    <w:rsid w:val="00F40109"/>
    <w:rsid w:val="00F40676"/>
    <w:rsid w:val="00F408CC"/>
    <w:rsid w:val="00F41600"/>
    <w:rsid w:val="00F41EEA"/>
    <w:rsid w:val="00F420A0"/>
    <w:rsid w:val="00F42630"/>
    <w:rsid w:val="00F42787"/>
    <w:rsid w:val="00F45F21"/>
    <w:rsid w:val="00F47F3A"/>
    <w:rsid w:val="00F47FD1"/>
    <w:rsid w:val="00F50415"/>
    <w:rsid w:val="00F509F6"/>
    <w:rsid w:val="00F51BEB"/>
    <w:rsid w:val="00F52E1C"/>
    <w:rsid w:val="00F54575"/>
    <w:rsid w:val="00F54C9E"/>
    <w:rsid w:val="00F54E0F"/>
    <w:rsid w:val="00F55485"/>
    <w:rsid w:val="00F57A3B"/>
    <w:rsid w:val="00F57AF4"/>
    <w:rsid w:val="00F57C72"/>
    <w:rsid w:val="00F60A7D"/>
    <w:rsid w:val="00F61319"/>
    <w:rsid w:val="00F623A4"/>
    <w:rsid w:val="00F634CD"/>
    <w:rsid w:val="00F67C36"/>
    <w:rsid w:val="00F67FB9"/>
    <w:rsid w:val="00F70421"/>
    <w:rsid w:val="00F7191C"/>
    <w:rsid w:val="00F73816"/>
    <w:rsid w:val="00F74BC4"/>
    <w:rsid w:val="00F75759"/>
    <w:rsid w:val="00F75E39"/>
    <w:rsid w:val="00F76462"/>
    <w:rsid w:val="00F80130"/>
    <w:rsid w:val="00F802E1"/>
    <w:rsid w:val="00F83A55"/>
    <w:rsid w:val="00F83E3E"/>
    <w:rsid w:val="00F84304"/>
    <w:rsid w:val="00F853F2"/>
    <w:rsid w:val="00F914B2"/>
    <w:rsid w:val="00F944E1"/>
    <w:rsid w:val="00F94B67"/>
    <w:rsid w:val="00F94C69"/>
    <w:rsid w:val="00F95340"/>
    <w:rsid w:val="00F9562E"/>
    <w:rsid w:val="00F9789A"/>
    <w:rsid w:val="00F97CC3"/>
    <w:rsid w:val="00FA0EDB"/>
    <w:rsid w:val="00FA1ABA"/>
    <w:rsid w:val="00FA2493"/>
    <w:rsid w:val="00FA4230"/>
    <w:rsid w:val="00FA44F2"/>
    <w:rsid w:val="00FA4A9C"/>
    <w:rsid w:val="00FA4FCD"/>
    <w:rsid w:val="00FA5456"/>
    <w:rsid w:val="00FA5C5C"/>
    <w:rsid w:val="00FA6D3D"/>
    <w:rsid w:val="00FA6DD7"/>
    <w:rsid w:val="00FA7CD6"/>
    <w:rsid w:val="00FB0279"/>
    <w:rsid w:val="00FB0661"/>
    <w:rsid w:val="00FB084E"/>
    <w:rsid w:val="00FB08A4"/>
    <w:rsid w:val="00FB0FA4"/>
    <w:rsid w:val="00FB22F7"/>
    <w:rsid w:val="00FB2806"/>
    <w:rsid w:val="00FB2996"/>
    <w:rsid w:val="00FB2BD1"/>
    <w:rsid w:val="00FB343B"/>
    <w:rsid w:val="00FB3B1F"/>
    <w:rsid w:val="00FB3C9B"/>
    <w:rsid w:val="00FB4FA8"/>
    <w:rsid w:val="00FB5A91"/>
    <w:rsid w:val="00FB5ECF"/>
    <w:rsid w:val="00FB5FAF"/>
    <w:rsid w:val="00FC064C"/>
    <w:rsid w:val="00FC152B"/>
    <w:rsid w:val="00FC1B64"/>
    <w:rsid w:val="00FC2421"/>
    <w:rsid w:val="00FC7182"/>
    <w:rsid w:val="00FC7BE0"/>
    <w:rsid w:val="00FD0009"/>
    <w:rsid w:val="00FD0574"/>
    <w:rsid w:val="00FD4842"/>
    <w:rsid w:val="00FD4990"/>
    <w:rsid w:val="00FD52AD"/>
    <w:rsid w:val="00FD6A3B"/>
    <w:rsid w:val="00FD7E80"/>
    <w:rsid w:val="00FE1FB5"/>
    <w:rsid w:val="00FE2922"/>
    <w:rsid w:val="00FE3685"/>
    <w:rsid w:val="00FE5831"/>
    <w:rsid w:val="00FE6134"/>
    <w:rsid w:val="00FE6C16"/>
    <w:rsid w:val="00FF027D"/>
    <w:rsid w:val="00FF1779"/>
    <w:rsid w:val="00FF3748"/>
    <w:rsid w:val="00FF4206"/>
    <w:rsid w:val="00FF4963"/>
    <w:rsid w:val="00FF4F34"/>
    <w:rsid w:val="00FF50B4"/>
    <w:rsid w:val="00FF641C"/>
    <w:rsid w:val="00FF6428"/>
    <w:rsid w:val="00FF669F"/>
    <w:rsid w:val="00FF78AF"/>
    <w:rsid w:val="01027184"/>
    <w:rsid w:val="01121891"/>
    <w:rsid w:val="013220E3"/>
    <w:rsid w:val="0179376F"/>
    <w:rsid w:val="019571C6"/>
    <w:rsid w:val="01B54CE9"/>
    <w:rsid w:val="01C40DDD"/>
    <w:rsid w:val="01EE2499"/>
    <w:rsid w:val="01EE7C08"/>
    <w:rsid w:val="01F504BD"/>
    <w:rsid w:val="01F72174"/>
    <w:rsid w:val="02195E6A"/>
    <w:rsid w:val="02421D02"/>
    <w:rsid w:val="024C492F"/>
    <w:rsid w:val="024F1F54"/>
    <w:rsid w:val="02555ED9"/>
    <w:rsid w:val="028D0613"/>
    <w:rsid w:val="02AE55E9"/>
    <w:rsid w:val="02E627F1"/>
    <w:rsid w:val="02EE3CE6"/>
    <w:rsid w:val="033735E9"/>
    <w:rsid w:val="036839EA"/>
    <w:rsid w:val="03830824"/>
    <w:rsid w:val="03982FFC"/>
    <w:rsid w:val="03B22EB7"/>
    <w:rsid w:val="03B92498"/>
    <w:rsid w:val="040348E8"/>
    <w:rsid w:val="040A37F4"/>
    <w:rsid w:val="04261197"/>
    <w:rsid w:val="04267B2D"/>
    <w:rsid w:val="0455069A"/>
    <w:rsid w:val="046441B2"/>
    <w:rsid w:val="0475016D"/>
    <w:rsid w:val="047A39D5"/>
    <w:rsid w:val="04BC3FEE"/>
    <w:rsid w:val="04C335CE"/>
    <w:rsid w:val="04D030F6"/>
    <w:rsid w:val="05367239"/>
    <w:rsid w:val="05483AD3"/>
    <w:rsid w:val="05AF3B52"/>
    <w:rsid w:val="05BA4024"/>
    <w:rsid w:val="05D05129"/>
    <w:rsid w:val="05FD48BE"/>
    <w:rsid w:val="06035C4C"/>
    <w:rsid w:val="061439B5"/>
    <w:rsid w:val="062D5341"/>
    <w:rsid w:val="067B55D8"/>
    <w:rsid w:val="06800226"/>
    <w:rsid w:val="06A42F8B"/>
    <w:rsid w:val="06C64E00"/>
    <w:rsid w:val="06D46FA2"/>
    <w:rsid w:val="06D82C35"/>
    <w:rsid w:val="07110FCD"/>
    <w:rsid w:val="07222102"/>
    <w:rsid w:val="07357463"/>
    <w:rsid w:val="07512864"/>
    <w:rsid w:val="07537DB5"/>
    <w:rsid w:val="076030AA"/>
    <w:rsid w:val="076B0225"/>
    <w:rsid w:val="077741FC"/>
    <w:rsid w:val="078B5EF9"/>
    <w:rsid w:val="07957E61"/>
    <w:rsid w:val="07BE7AF8"/>
    <w:rsid w:val="08017F69"/>
    <w:rsid w:val="080A2A6A"/>
    <w:rsid w:val="08510EF1"/>
    <w:rsid w:val="08530FA4"/>
    <w:rsid w:val="08A07782"/>
    <w:rsid w:val="08AE1E9F"/>
    <w:rsid w:val="08D93C76"/>
    <w:rsid w:val="0902043D"/>
    <w:rsid w:val="091A5787"/>
    <w:rsid w:val="09322AD0"/>
    <w:rsid w:val="094B46B8"/>
    <w:rsid w:val="099C68B1"/>
    <w:rsid w:val="09A35C35"/>
    <w:rsid w:val="09A432A2"/>
    <w:rsid w:val="09A908B8"/>
    <w:rsid w:val="09CC41FB"/>
    <w:rsid w:val="09FE29B2"/>
    <w:rsid w:val="0A1026E6"/>
    <w:rsid w:val="0A430D0D"/>
    <w:rsid w:val="0A5A2FC2"/>
    <w:rsid w:val="0A682522"/>
    <w:rsid w:val="0A9D666F"/>
    <w:rsid w:val="0AA3355A"/>
    <w:rsid w:val="0AB319EF"/>
    <w:rsid w:val="0AB53C1A"/>
    <w:rsid w:val="0AC202F5"/>
    <w:rsid w:val="0ACA6D38"/>
    <w:rsid w:val="0AE722C1"/>
    <w:rsid w:val="0AE778EA"/>
    <w:rsid w:val="0AEC3153"/>
    <w:rsid w:val="0B335DEB"/>
    <w:rsid w:val="0B360AA8"/>
    <w:rsid w:val="0B6272CC"/>
    <w:rsid w:val="0B737FA4"/>
    <w:rsid w:val="0B753148"/>
    <w:rsid w:val="0BAB6B6A"/>
    <w:rsid w:val="0BB023D2"/>
    <w:rsid w:val="0BC914E5"/>
    <w:rsid w:val="0BE21F59"/>
    <w:rsid w:val="0BE257DB"/>
    <w:rsid w:val="0BE6305E"/>
    <w:rsid w:val="0BF242A7"/>
    <w:rsid w:val="0C0B520A"/>
    <w:rsid w:val="0C191D25"/>
    <w:rsid w:val="0C193689"/>
    <w:rsid w:val="0C434FF4"/>
    <w:rsid w:val="0C4A0131"/>
    <w:rsid w:val="0C6B1986"/>
    <w:rsid w:val="0C7D0506"/>
    <w:rsid w:val="0C8F3D96"/>
    <w:rsid w:val="0C9E289C"/>
    <w:rsid w:val="0CAE6A24"/>
    <w:rsid w:val="0CB97065"/>
    <w:rsid w:val="0CCA2784"/>
    <w:rsid w:val="0CCA5895"/>
    <w:rsid w:val="0CCE0A8A"/>
    <w:rsid w:val="0D1B1BBB"/>
    <w:rsid w:val="0D252FB8"/>
    <w:rsid w:val="0D286CBF"/>
    <w:rsid w:val="0D492705"/>
    <w:rsid w:val="0DC146DB"/>
    <w:rsid w:val="0DC83A03"/>
    <w:rsid w:val="0DF447F8"/>
    <w:rsid w:val="0DFC18FF"/>
    <w:rsid w:val="0E0117B5"/>
    <w:rsid w:val="0E081B83"/>
    <w:rsid w:val="0E1A590B"/>
    <w:rsid w:val="0E1A6AA9"/>
    <w:rsid w:val="0E1B13CE"/>
    <w:rsid w:val="0E26627B"/>
    <w:rsid w:val="0E2A1FC8"/>
    <w:rsid w:val="0E4312DC"/>
    <w:rsid w:val="0E4513E8"/>
    <w:rsid w:val="0E4D5CB6"/>
    <w:rsid w:val="0E540F56"/>
    <w:rsid w:val="0EA174D3"/>
    <w:rsid w:val="0EB75EDE"/>
    <w:rsid w:val="0EC95C85"/>
    <w:rsid w:val="0EE053D2"/>
    <w:rsid w:val="0F26281D"/>
    <w:rsid w:val="0F4E7F38"/>
    <w:rsid w:val="0F673AA8"/>
    <w:rsid w:val="0F6F745E"/>
    <w:rsid w:val="0F84395A"/>
    <w:rsid w:val="0F976B4E"/>
    <w:rsid w:val="0F9D4A1B"/>
    <w:rsid w:val="0FAC3502"/>
    <w:rsid w:val="0FB81855"/>
    <w:rsid w:val="0FBA55CD"/>
    <w:rsid w:val="0FC41FA8"/>
    <w:rsid w:val="0FD068F7"/>
    <w:rsid w:val="10075C2B"/>
    <w:rsid w:val="1008458B"/>
    <w:rsid w:val="10231683"/>
    <w:rsid w:val="10391CFF"/>
    <w:rsid w:val="103A670E"/>
    <w:rsid w:val="104532D4"/>
    <w:rsid w:val="10713FD8"/>
    <w:rsid w:val="10B15103"/>
    <w:rsid w:val="10BB300D"/>
    <w:rsid w:val="10C83D1A"/>
    <w:rsid w:val="10CF6E57"/>
    <w:rsid w:val="10DC1574"/>
    <w:rsid w:val="10E072B6"/>
    <w:rsid w:val="10E30B54"/>
    <w:rsid w:val="10EF574B"/>
    <w:rsid w:val="10F90377"/>
    <w:rsid w:val="112278CE"/>
    <w:rsid w:val="113C66D5"/>
    <w:rsid w:val="115170CB"/>
    <w:rsid w:val="1157731F"/>
    <w:rsid w:val="11845795"/>
    <w:rsid w:val="11867876"/>
    <w:rsid w:val="11B63CA8"/>
    <w:rsid w:val="11F013D0"/>
    <w:rsid w:val="12064AFA"/>
    <w:rsid w:val="121A05A5"/>
    <w:rsid w:val="12635549"/>
    <w:rsid w:val="12693D79"/>
    <w:rsid w:val="12825666"/>
    <w:rsid w:val="128C3251"/>
    <w:rsid w:val="12AC16F6"/>
    <w:rsid w:val="12B74046"/>
    <w:rsid w:val="12CF4537"/>
    <w:rsid w:val="12DA41BD"/>
    <w:rsid w:val="12E34E3B"/>
    <w:rsid w:val="132A2BDA"/>
    <w:rsid w:val="13533D6F"/>
    <w:rsid w:val="136C3083"/>
    <w:rsid w:val="136C4E31"/>
    <w:rsid w:val="13CF5E6A"/>
    <w:rsid w:val="13D27907"/>
    <w:rsid w:val="13F82B68"/>
    <w:rsid w:val="141418C3"/>
    <w:rsid w:val="14214E0F"/>
    <w:rsid w:val="145458C7"/>
    <w:rsid w:val="1457788F"/>
    <w:rsid w:val="14720225"/>
    <w:rsid w:val="147F5049"/>
    <w:rsid w:val="148803F2"/>
    <w:rsid w:val="14B26AA0"/>
    <w:rsid w:val="14B80288"/>
    <w:rsid w:val="14C8253B"/>
    <w:rsid w:val="14CF5677"/>
    <w:rsid w:val="14E32ED1"/>
    <w:rsid w:val="14FD6EB5"/>
    <w:rsid w:val="151B6B0E"/>
    <w:rsid w:val="153951E6"/>
    <w:rsid w:val="15760622"/>
    <w:rsid w:val="159863B1"/>
    <w:rsid w:val="15A8687D"/>
    <w:rsid w:val="15C95AC3"/>
    <w:rsid w:val="15EA273C"/>
    <w:rsid w:val="16175528"/>
    <w:rsid w:val="16434C29"/>
    <w:rsid w:val="16551BAC"/>
    <w:rsid w:val="165E5CDB"/>
    <w:rsid w:val="1662251B"/>
    <w:rsid w:val="16680A2C"/>
    <w:rsid w:val="166B6141"/>
    <w:rsid w:val="169C639C"/>
    <w:rsid w:val="16C44F84"/>
    <w:rsid w:val="171001C9"/>
    <w:rsid w:val="17101F77"/>
    <w:rsid w:val="17125CEF"/>
    <w:rsid w:val="171750B3"/>
    <w:rsid w:val="172508E3"/>
    <w:rsid w:val="17343EB7"/>
    <w:rsid w:val="17477DB2"/>
    <w:rsid w:val="174F3B01"/>
    <w:rsid w:val="17716EB9"/>
    <w:rsid w:val="17782A72"/>
    <w:rsid w:val="178D4D2F"/>
    <w:rsid w:val="180E797D"/>
    <w:rsid w:val="181F6915"/>
    <w:rsid w:val="18233AD3"/>
    <w:rsid w:val="18347B73"/>
    <w:rsid w:val="183879D7"/>
    <w:rsid w:val="184C6FDF"/>
    <w:rsid w:val="18552337"/>
    <w:rsid w:val="185A5EAF"/>
    <w:rsid w:val="186D58D3"/>
    <w:rsid w:val="186E33F9"/>
    <w:rsid w:val="18812843"/>
    <w:rsid w:val="188F37B2"/>
    <w:rsid w:val="18CD7D8F"/>
    <w:rsid w:val="18E64EC0"/>
    <w:rsid w:val="18F2470E"/>
    <w:rsid w:val="18F76053"/>
    <w:rsid w:val="18FC2175"/>
    <w:rsid w:val="19153BD9"/>
    <w:rsid w:val="196E2FB9"/>
    <w:rsid w:val="19946E7F"/>
    <w:rsid w:val="199944A6"/>
    <w:rsid w:val="19F07FAC"/>
    <w:rsid w:val="1A1A43C2"/>
    <w:rsid w:val="1A3A17E5"/>
    <w:rsid w:val="1A7016AA"/>
    <w:rsid w:val="1A8B0B89"/>
    <w:rsid w:val="1A8F1933"/>
    <w:rsid w:val="1AC15722"/>
    <w:rsid w:val="1AD05CA5"/>
    <w:rsid w:val="1B023157"/>
    <w:rsid w:val="1B052BA3"/>
    <w:rsid w:val="1B0D0CA7"/>
    <w:rsid w:val="1B261D69"/>
    <w:rsid w:val="1B2E4C6C"/>
    <w:rsid w:val="1B391A25"/>
    <w:rsid w:val="1B577360"/>
    <w:rsid w:val="1B5E1503"/>
    <w:rsid w:val="1B636B19"/>
    <w:rsid w:val="1B66485B"/>
    <w:rsid w:val="1B7549F6"/>
    <w:rsid w:val="1B866CAC"/>
    <w:rsid w:val="1B920893"/>
    <w:rsid w:val="1BE20386"/>
    <w:rsid w:val="1BE8374D"/>
    <w:rsid w:val="1BEF4851"/>
    <w:rsid w:val="1C206FDB"/>
    <w:rsid w:val="1C3D736A"/>
    <w:rsid w:val="1C4A7AF6"/>
    <w:rsid w:val="1C566828"/>
    <w:rsid w:val="1C734C79"/>
    <w:rsid w:val="1C760ACE"/>
    <w:rsid w:val="1C9571A6"/>
    <w:rsid w:val="1C9B22E3"/>
    <w:rsid w:val="1CC926C9"/>
    <w:rsid w:val="1CDE2FC0"/>
    <w:rsid w:val="1D2624F4"/>
    <w:rsid w:val="1D2C5B34"/>
    <w:rsid w:val="1D3717F5"/>
    <w:rsid w:val="1D5C7CC4"/>
    <w:rsid w:val="1D8C44DA"/>
    <w:rsid w:val="1DCE5B7C"/>
    <w:rsid w:val="1E075364"/>
    <w:rsid w:val="1E4100AD"/>
    <w:rsid w:val="1E4C01D3"/>
    <w:rsid w:val="1E546BED"/>
    <w:rsid w:val="1E560BB7"/>
    <w:rsid w:val="1E9A1A93"/>
    <w:rsid w:val="1ED146E2"/>
    <w:rsid w:val="1EFD35C2"/>
    <w:rsid w:val="1F15637C"/>
    <w:rsid w:val="1F195CE1"/>
    <w:rsid w:val="1F1C3BAF"/>
    <w:rsid w:val="1F464025"/>
    <w:rsid w:val="1F486949"/>
    <w:rsid w:val="1F973235"/>
    <w:rsid w:val="1FAA6DC1"/>
    <w:rsid w:val="1FC64832"/>
    <w:rsid w:val="1FCA360B"/>
    <w:rsid w:val="1FD004F5"/>
    <w:rsid w:val="1FD90964"/>
    <w:rsid w:val="1FD94518"/>
    <w:rsid w:val="203C5B8B"/>
    <w:rsid w:val="204A474C"/>
    <w:rsid w:val="20566C4C"/>
    <w:rsid w:val="2059238D"/>
    <w:rsid w:val="20880DD0"/>
    <w:rsid w:val="20887022"/>
    <w:rsid w:val="209F6845"/>
    <w:rsid w:val="20BD316F"/>
    <w:rsid w:val="20F93EB3"/>
    <w:rsid w:val="20FD531A"/>
    <w:rsid w:val="213B5E42"/>
    <w:rsid w:val="21425423"/>
    <w:rsid w:val="214C62A1"/>
    <w:rsid w:val="21553F62"/>
    <w:rsid w:val="215B0293"/>
    <w:rsid w:val="215D2B5A"/>
    <w:rsid w:val="21635AC5"/>
    <w:rsid w:val="218D2B42"/>
    <w:rsid w:val="219C0FD7"/>
    <w:rsid w:val="21BA22ED"/>
    <w:rsid w:val="21C127EB"/>
    <w:rsid w:val="21DF2B6D"/>
    <w:rsid w:val="224551CB"/>
    <w:rsid w:val="22525B39"/>
    <w:rsid w:val="22623FCE"/>
    <w:rsid w:val="22644863"/>
    <w:rsid w:val="226A69DF"/>
    <w:rsid w:val="22A719E1"/>
    <w:rsid w:val="22B81798"/>
    <w:rsid w:val="22B934C3"/>
    <w:rsid w:val="22B97967"/>
    <w:rsid w:val="22BF31CF"/>
    <w:rsid w:val="22CF718A"/>
    <w:rsid w:val="22D06E07"/>
    <w:rsid w:val="22E76282"/>
    <w:rsid w:val="230A67F9"/>
    <w:rsid w:val="233314C7"/>
    <w:rsid w:val="2355768F"/>
    <w:rsid w:val="23625E0F"/>
    <w:rsid w:val="237A1EED"/>
    <w:rsid w:val="23CD36CA"/>
    <w:rsid w:val="23EC53FD"/>
    <w:rsid w:val="23ED5ACE"/>
    <w:rsid w:val="23FC3FAF"/>
    <w:rsid w:val="240149F1"/>
    <w:rsid w:val="241A61E3"/>
    <w:rsid w:val="24432E15"/>
    <w:rsid w:val="245C67FB"/>
    <w:rsid w:val="245C75C1"/>
    <w:rsid w:val="24755A73"/>
    <w:rsid w:val="247C6E9E"/>
    <w:rsid w:val="24800452"/>
    <w:rsid w:val="248D4C07"/>
    <w:rsid w:val="248E6AC3"/>
    <w:rsid w:val="24964A62"/>
    <w:rsid w:val="249F6C02"/>
    <w:rsid w:val="24B03D22"/>
    <w:rsid w:val="24B14D99"/>
    <w:rsid w:val="24B44889"/>
    <w:rsid w:val="24B65F0C"/>
    <w:rsid w:val="24B74412"/>
    <w:rsid w:val="24D32F62"/>
    <w:rsid w:val="24EF58C2"/>
    <w:rsid w:val="250B6959"/>
    <w:rsid w:val="250E4D5D"/>
    <w:rsid w:val="252030EF"/>
    <w:rsid w:val="252065D9"/>
    <w:rsid w:val="252437BD"/>
    <w:rsid w:val="252C08C4"/>
    <w:rsid w:val="254554E2"/>
    <w:rsid w:val="25501845"/>
    <w:rsid w:val="25506360"/>
    <w:rsid w:val="255C003A"/>
    <w:rsid w:val="2565282D"/>
    <w:rsid w:val="256C0CC0"/>
    <w:rsid w:val="2593449F"/>
    <w:rsid w:val="25A04B22"/>
    <w:rsid w:val="25AF55B6"/>
    <w:rsid w:val="25BF1CF6"/>
    <w:rsid w:val="25BF689E"/>
    <w:rsid w:val="25ED50B4"/>
    <w:rsid w:val="260D24A3"/>
    <w:rsid w:val="260D435E"/>
    <w:rsid w:val="26341C2C"/>
    <w:rsid w:val="26350999"/>
    <w:rsid w:val="26551754"/>
    <w:rsid w:val="26720CD9"/>
    <w:rsid w:val="26926505"/>
    <w:rsid w:val="26DB7EAB"/>
    <w:rsid w:val="270311B0"/>
    <w:rsid w:val="27037402"/>
    <w:rsid w:val="270A6872"/>
    <w:rsid w:val="27337CE7"/>
    <w:rsid w:val="275110AB"/>
    <w:rsid w:val="276E57B0"/>
    <w:rsid w:val="27A43BC9"/>
    <w:rsid w:val="27C748D4"/>
    <w:rsid w:val="27F91B7B"/>
    <w:rsid w:val="28123DA1"/>
    <w:rsid w:val="282B3143"/>
    <w:rsid w:val="28643ED1"/>
    <w:rsid w:val="28883F6C"/>
    <w:rsid w:val="28921D3B"/>
    <w:rsid w:val="28E120D3"/>
    <w:rsid w:val="29022701"/>
    <w:rsid w:val="290A2CCA"/>
    <w:rsid w:val="291219F9"/>
    <w:rsid w:val="2936586D"/>
    <w:rsid w:val="29387837"/>
    <w:rsid w:val="294F0C3C"/>
    <w:rsid w:val="29501633"/>
    <w:rsid w:val="296D709A"/>
    <w:rsid w:val="29766983"/>
    <w:rsid w:val="29835DFD"/>
    <w:rsid w:val="298A3E0B"/>
    <w:rsid w:val="299E0408"/>
    <w:rsid w:val="29A070F5"/>
    <w:rsid w:val="29AE7AF9"/>
    <w:rsid w:val="29CD5935"/>
    <w:rsid w:val="29E21551"/>
    <w:rsid w:val="29F80D74"/>
    <w:rsid w:val="2A063491"/>
    <w:rsid w:val="2A07545B"/>
    <w:rsid w:val="2A09173A"/>
    <w:rsid w:val="2A09335F"/>
    <w:rsid w:val="2A27294F"/>
    <w:rsid w:val="2A2B114A"/>
    <w:rsid w:val="2A372E2A"/>
    <w:rsid w:val="2A377AEF"/>
    <w:rsid w:val="2A3D0E7D"/>
    <w:rsid w:val="2A500BB0"/>
    <w:rsid w:val="2A730E16"/>
    <w:rsid w:val="2A8342BC"/>
    <w:rsid w:val="2A8E573C"/>
    <w:rsid w:val="2ABA24CE"/>
    <w:rsid w:val="2AEE4B12"/>
    <w:rsid w:val="2B536BAA"/>
    <w:rsid w:val="2B6C6E0F"/>
    <w:rsid w:val="2B9810D6"/>
    <w:rsid w:val="2B9D2AF6"/>
    <w:rsid w:val="2BD73ADB"/>
    <w:rsid w:val="2C096ED1"/>
    <w:rsid w:val="2C0D77A1"/>
    <w:rsid w:val="2C195BCB"/>
    <w:rsid w:val="2C2B5431"/>
    <w:rsid w:val="2C3D33B6"/>
    <w:rsid w:val="2C453CAB"/>
    <w:rsid w:val="2C6426F1"/>
    <w:rsid w:val="2C7B06C4"/>
    <w:rsid w:val="2CBA08BD"/>
    <w:rsid w:val="2CBA67B5"/>
    <w:rsid w:val="2CC969F8"/>
    <w:rsid w:val="2D1063D5"/>
    <w:rsid w:val="2D2D6F87"/>
    <w:rsid w:val="2D2F0F51"/>
    <w:rsid w:val="2D35408E"/>
    <w:rsid w:val="2D4A5D8B"/>
    <w:rsid w:val="2D8A3711"/>
    <w:rsid w:val="2D962D7E"/>
    <w:rsid w:val="2DAC25A0"/>
    <w:rsid w:val="2DD57483"/>
    <w:rsid w:val="2DF06932"/>
    <w:rsid w:val="2E444588"/>
    <w:rsid w:val="2E4C37F6"/>
    <w:rsid w:val="2E5541C4"/>
    <w:rsid w:val="2E731311"/>
    <w:rsid w:val="2E837EE4"/>
    <w:rsid w:val="2E854E5E"/>
    <w:rsid w:val="2EA27501"/>
    <w:rsid w:val="2EEA0214"/>
    <w:rsid w:val="2EEA6163"/>
    <w:rsid w:val="2F0950A0"/>
    <w:rsid w:val="2F10090E"/>
    <w:rsid w:val="2F3379DE"/>
    <w:rsid w:val="2F3E36CD"/>
    <w:rsid w:val="2F456757"/>
    <w:rsid w:val="2F721D99"/>
    <w:rsid w:val="2F8238B8"/>
    <w:rsid w:val="2F882C23"/>
    <w:rsid w:val="2F997048"/>
    <w:rsid w:val="2FAB200D"/>
    <w:rsid w:val="2FBA18F2"/>
    <w:rsid w:val="2FBE65BC"/>
    <w:rsid w:val="2FF820D0"/>
    <w:rsid w:val="30004E27"/>
    <w:rsid w:val="306E3B3E"/>
    <w:rsid w:val="308646DC"/>
    <w:rsid w:val="3095731D"/>
    <w:rsid w:val="30A13F14"/>
    <w:rsid w:val="30A473AC"/>
    <w:rsid w:val="31030681"/>
    <w:rsid w:val="310E5321"/>
    <w:rsid w:val="3115045E"/>
    <w:rsid w:val="311E5564"/>
    <w:rsid w:val="31336B36"/>
    <w:rsid w:val="313E79B5"/>
    <w:rsid w:val="314663BC"/>
    <w:rsid w:val="31536B23"/>
    <w:rsid w:val="318E323E"/>
    <w:rsid w:val="31A70398"/>
    <w:rsid w:val="31AB128E"/>
    <w:rsid w:val="31EF67F9"/>
    <w:rsid w:val="31F91B2E"/>
    <w:rsid w:val="320504D2"/>
    <w:rsid w:val="322D6032"/>
    <w:rsid w:val="32301169"/>
    <w:rsid w:val="32496F12"/>
    <w:rsid w:val="324E562B"/>
    <w:rsid w:val="326B676C"/>
    <w:rsid w:val="329830F5"/>
    <w:rsid w:val="329F2634"/>
    <w:rsid w:val="32A74A1C"/>
    <w:rsid w:val="32C0264B"/>
    <w:rsid w:val="32D00EA5"/>
    <w:rsid w:val="32F15C45"/>
    <w:rsid w:val="32FD73FC"/>
    <w:rsid w:val="3302560F"/>
    <w:rsid w:val="331704BD"/>
    <w:rsid w:val="33274478"/>
    <w:rsid w:val="333351AB"/>
    <w:rsid w:val="333C0154"/>
    <w:rsid w:val="334943EF"/>
    <w:rsid w:val="338342F2"/>
    <w:rsid w:val="33A00C3A"/>
    <w:rsid w:val="33B71CA0"/>
    <w:rsid w:val="33F21E40"/>
    <w:rsid w:val="3461426D"/>
    <w:rsid w:val="349E333C"/>
    <w:rsid w:val="34AC2E87"/>
    <w:rsid w:val="34B32468"/>
    <w:rsid w:val="34B64ED7"/>
    <w:rsid w:val="34B8629A"/>
    <w:rsid w:val="34BF2648"/>
    <w:rsid w:val="34C04B85"/>
    <w:rsid w:val="34C815C4"/>
    <w:rsid w:val="350B22A4"/>
    <w:rsid w:val="350D28AF"/>
    <w:rsid w:val="35365A59"/>
    <w:rsid w:val="35427E9B"/>
    <w:rsid w:val="354325FC"/>
    <w:rsid w:val="356419B4"/>
    <w:rsid w:val="357240D1"/>
    <w:rsid w:val="35812566"/>
    <w:rsid w:val="358E7C87"/>
    <w:rsid w:val="35D501BC"/>
    <w:rsid w:val="35E01B68"/>
    <w:rsid w:val="35EB6FEC"/>
    <w:rsid w:val="35F50957"/>
    <w:rsid w:val="35FF5D04"/>
    <w:rsid w:val="360C62D3"/>
    <w:rsid w:val="361909F0"/>
    <w:rsid w:val="361C403D"/>
    <w:rsid w:val="362D3039"/>
    <w:rsid w:val="363E0A3D"/>
    <w:rsid w:val="36453593"/>
    <w:rsid w:val="364C2B74"/>
    <w:rsid w:val="36594775"/>
    <w:rsid w:val="3666417A"/>
    <w:rsid w:val="36703A01"/>
    <w:rsid w:val="368154CF"/>
    <w:rsid w:val="368F41DF"/>
    <w:rsid w:val="36920063"/>
    <w:rsid w:val="36DD253B"/>
    <w:rsid w:val="36F56D67"/>
    <w:rsid w:val="36F62AE0"/>
    <w:rsid w:val="371271FE"/>
    <w:rsid w:val="373158C6"/>
    <w:rsid w:val="373A6E70"/>
    <w:rsid w:val="373B501C"/>
    <w:rsid w:val="37403D5B"/>
    <w:rsid w:val="375F0B26"/>
    <w:rsid w:val="375F2433"/>
    <w:rsid w:val="37665153"/>
    <w:rsid w:val="37773C20"/>
    <w:rsid w:val="37893954"/>
    <w:rsid w:val="37AA21A2"/>
    <w:rsid w:val="37D44BCF"/>
    <w:rsid w:val="37DA5F5D"/>
    <w:rsid w:val="37F60FE9"/>
    <w:rsid w:val="381429A2"/>
    <w:rsid w:val="382A2A41"/>
    <w:rsid w:val="383F74F8"/>
    <w:rsid w:val="38726196"/>
    <w:rsid w:val="389762FF"/>
    <w:rsid w:val="38E94F3D"/>
    <w:rsid w:val="38F1469D"/>
    <w:rsid w:val="38F24410"/>
    <w:rsid w:val="38FD05C0"/>
    <w:rsid w:val="39184F8F"/>
    <w:rsid w:val="3938092E"/>
    <w:rsid w:val="395F2BBE"/>
    <w:rsid w:val="3974439E"/>
    <w:rsid w:val="39916AF0"/>
    <w:rsid w:val="399A41A3"/>
    <w:rsid w:val="39C22E69"/>
    <w:rsid w:val="39E3734B"/>
    <w:rsid w:val="3A094797"/>
    <w:rsid w:val="3A116E31"/>
    <w:rsid w:val="3A4D3BF4"/>
    <w:rsid w:val="3A6B589B"/>
    <w:rsid w:val="3AAE4FC5"/>
    <w:rsid w:val="3AD43138"/>
    <w:rsid w:val="3AF90CB3"/>
    <w:rsid w:val="3B46796D"/>
    <w:rsid w:val="3B6F75B2"/>
    <w:rsid w:val="3B9F1E22"/>
    <w:rsid w:val="3BC70C62"/>
    <w:rsid w:val="3BD117F8"/>
    <w:rsid w:val="3BE715F3"/>
    <w:rsid w:val="3C0F12BD"/>
    <w:rsid w:val="3C4D1568"/>
    <w:rsid w:val="3C550487"/>
    <w:rsid w:val="3C690CA9"/>
    <w:rsid w:val="3C933ED1"/>
    <w:rsid w:val="3C9C1A33"/>
    <w:rsid w:val="3CA56B3A"/>
    <w:rsid w:val="3CB36E5B"/>
    <w:rsid w:val="3CC3475F"/>
    <w:rsid w:val="3CD32B74"/>
    <w:rsid w:val="3CFC406A"/>
    <w:rsid w:val="3D121C7F"/>
    <w:rsid w:val="3D1E069A"/>
    <w:rsid w:val="3D695DB9"/>
    <w:rsid w:val="3D7309E6"/>
    <w:rsid w:val="3DA94408"/>
    <w:rsid w:val="3DAB5EF3"/>
    <w:rsid w:val="3DB765B2"/>
    <w:rsid w:val="3DCB0822"/>
    <w:rsid w:val="3DCB4DA3"/>
    <w:rsid w:val="3DE5781C"/>
    <w:rsid w:val="3DFA1107"/>
    <w:rsid w:val="3E157CEF"/>
    <w:rsid w:val="3E2466D6"/>
    <w:rsid w:val="3E2B7513"/>
    <w:rsid w:val="3E316D18"/>
    <w:rsid w:val="3E391C30"/>
    <w:rsid w:val="3E6307FF"/>
    <w:rsid w:val="3E79778F"/>
    <w:rsid w:val="3E7E3EC9"/>
    <w:rsid w:val="3E854E75"/>
    <w:rsid w:val="3E8843DC"/>
    <w:rsid w:val="3E897505"/>
    <w:rsid w:val="3EAD1CD6"/>
    <w:rsid w:val="3EB5502E"/>
    <w:rsid w:val="3EBD5D8E"/>
    <w:rsid w:val="3ECF5173"/>
    <w:rsid w:val="3EDB5211"/>
    <w:rsid w:val="3EE15E23"/>
    <w:rsid w:val="3EE576C2"/>
    <w:rsid w:val="3F0D6C18"/>
    <w:rsid w:val="3F4C5993"/>
    <w:rsid w:val="3F4E170B"/>
    <w:rsid w:val="3F5900B0"/>
    <w:rsid w:val="3F747412"/>
    <w:rsid w:val="3F753D18"/>
    <w:rsid w:val="3F8E1B07"/>
    <w:rsid w:val="3FE756BB"/>
    <w:rsid w:val="3FEF5E51"/>
    <w:rsid w:val="3FF37812"/>
    <w:rsid w:val="40275AB8"/>
    <w:rsid w:val="402B37FA"/>
    <w:rsid w:val="403D352D"/>
    <w:rsid w:val="40416B7A"/>
    <w:rsid w:val="405745EF"/>
    <w:rsid w:val="40774C91"/>
    <w:rsid w:val="407E5E33"/>
    <w:rsid w:val="40977E21"/>
    <w:rsid w:val="40991B5A"/>
    <w:rsid w:val="40A35A86"/>
    <w:rsid w:val="40B21825"/>
    <w:rsid w:val="40F938F8"/>
    <w:rsid w:val="410D1152"/>
    <w:rsid w:val="414A5F02"/>
    <w:rsid w:val="41662610"/>
    <w:rsid w:val="41AA074E"/>
    <w:rsid w:val="41C77552"/>
    <w:rsid w:val="41D659E7"/>
    <w:rsid w:val="41DD4D60"/>
    <w:rsid w:val="41E06719"/>
    <w:rsid w:val="41ED70A1"/>
    <w:rsid w:val="41FA2B60"/>
    <w:rsid w:val="42255D7C"/>
    <w:rsid w:val="423B3A9C"/>
    <w:rsid w:val="424D161D"/>
    <w:rsid w:val="428570D9"/>
    <w:rsid w:val="42885319"/>
    <w:rsid w:val="42903DE8"/>
    <w:rsid w:val="42B82D5A"/>
    <w:rsid w:val="42BC2FBE"/>
    <w:rsid w:val="42D96731"/>
    <w:rsid w:val="42DF267A"/>
    <w:rsid w:val="42EC3CA8"/>
    <w:rsid w:val="43196087"/>
    <w:rsid w:val="43284021"/>
    <w:rsid w:val="43385AD2"/>
    <w:rsid w:val="43413334"/>
    <w:rsid w:val="434D7F2B"/>
    <w:rsid w:val="434E3BCE"/>
    <w:rsid w:val="43503578"/>
    <w:rsid w:val="43513267"/>
    <w:rsid w:val="436F39FE"/>
    <w:rsid w:val="43741014"/>
    <w:rsid w:val="437F53E2"/>
    <w:rsid w:val="43921056"/>
    <w:rsid w:val="4396542E"/>
    <w:rsid w:val="43C2293A"/>
    <w:rsid w:val="44022AC4"/>
    <w:rsid w:val="4416656F"/>
    <w:rsid w:val="44290050"/>
    <w:rsid w:val="44337121"/>
    <w:rsid w:val="445C12EB"/>
    <w:rsid w:val="44603B18"/>
    <w:rsid w:val="446505C9"/>
    <w:rsid w:val="44751EFA"/>
    <w:rsid w:val="44823C05"/>
    <w:rsid w:val="448D669E"/>
    <w:rsid w:val="44973170"/>
    <w:rsid w:val="449E1FC4"/>
    <w:rsid w:val="45102FBE"/>
    <w:rsid w:val="459E05CA"/>
    <w:rsid w:val="45A42B29"/>
    <w:rsid w:val="45BB117C"/>
    <w:rsid w:val="45BC6CA2"/>
    <w:rsid w:val="45C23317"/>
    <w:rsid w:val="45D93CF8"/>
    <w:rsid w:val="45E506D5"/>
    <w:rsid w:val="45EF3078"/>
    <w:rsid w:val="45F679AF"/>
    <w:rsid w:val="45FE550D"/>
    <w:rsid w:val="460C7C2A"/>
    <w:rsid w:val="461566C0"/>
    <w:rsid w:val="46252A99"/>
    <w:rsid w:val="467F31C6"/>
    <w:rsid w:val="469352E9"/>
    <w:rsid w:val="46DB2457"/>
    <w:rsid w:val="46FD600A"/>
    <w:rsid w:val="470B7EE1"/>
    <w:rsid w:val="476D389D"/>
    <w:rsid w:val="47743FD9"/>
    <w:rsid w:val="47863A0C"/>
    <w:rsid w:val="47906638"/>
    <w:rsid w:val="47A06E4B"/>
    <w:rsid w:val="47AF2F63"/>
    <w:rsid w:val="47B67975"/>
    <w:rsid w:val="47C02A7A"/>
    <w:rsid w:val="47CC6B42"/>
    <w:rsid w:val="47D507AF"/>
    <w:rsid w:val="47FE0118"/>
    <w:rsid w:val="47FE2089"/>
    <w:rsid w:val="48025736"/>
    <w:rsid w:val="4838292E"/>
    <w:rsid w:val="4843519A"/>
    <w:rsid w:val="48496F13"/>
    <w:rsid w:val="48667653"/>
    <w:rsid w:val="48763A80"/>
    <w:rsid w:val="48B14AB8"/>
    <w:rsid w:val="48B55000"/>
    <w:rsid w:val="48C20A74"/>
    <w:rsid w:val="48C447EC"/>
    <w:rsid w:val="48C62089"/>
    <w:rsid w:val="49144B48"/>
    <w:rsid w:val="492139EC"/>
    <w:rsid w:val="49293049"/>
    <w:rsid w:val="4944592C"/>
    <w:rsid w:val="49BB6CB9"/>
    <w:rsid w:val="49BC1967"/>
    <w:rsid w:val="49CE75CC"/>
    <w:rsid w:val="49EC3BC1"/>
    <w:rsid w:val="49EE6431"/>
    <w:rsid w:val="4A014DF8"/>
    <w:rsid w:val="4A437992"/>
    <w:rsid w:val="4A4B47F4"/>
    <w:rsid w:val="4A536BCB"/>
    <w:rsid w:val="4A5D1BE6"/>
    <w:rsid w:val="4ACB00B3"/>
    <w:rsid w:val="4ACE3002"/>
    <w:rsid w:val="4ACE585E"/>
    <w:rsid w:val="4AD36F68"/>
    <w:rsid w:val="4AD90317"/>
    <w:rsid w:val="4B1516BC"/>
    <w:rsid w:val="4B296B88"/>
    <w:rsid w:val="4BB171F6"/>
    <w:rsid w:val="4BF929FE"/>
    <w:rsid w:val="4C013661"/>
    <w:rsid w:val="4C274D22"/>
    <w:rsid w:val="4C492F1F"/>
    <w:rsid w:val="4C7622A1"/>
    <w:rsid w:val="4C7974F9"/>
    <w:rsid w:val="4C852DC8"/>
    <w:rsid w:val="4C9B1D07"/>
    <w:rsid w:val="4CA66CB4"/>
    <w:rsid w:val="4D0A4797"/>
    <w:rsid w:val="4D274534"/>
    <w:rsid w:val="4D4203D5"/>
    <w:rsid w:val="4D5A571F"/>
    <w:rsid w:val="4D5F4AE3"/>
    <w:rsid w:val="4D7A36CB"/>
    <w:rsid w:val="4DA1466C"/>
    <w:rsid w:val="4DB210B7"/>
    <w:rsid w:val="4DB36BDD"/>
    <w:rsid w:val="4DC459FF"/>
    <w:rsid w:val="4DCF7EBB"/>
    <w:rsid w:val="4DD3727F"/>
    <w:rsid w:val="4DD66160"/>
    <w:rsid w:val="4DDF5C24"/>
    <w:rsid w:val="4DE50A18"/>
    <w:rsid w:val="4E067654"/>
    <w:rsid w:val="4E4D40AD"/>
    <w:rsid w:val="4E605F90"/>
    <w:rsid w:val="4E813FBD"/>
    <w:rsid w:val="4E816CDB"/>
    <w:rsid w:val="4E8B1908"/>
    <w:rsid w:val="4E932F38"/>
    <w:rsid w:val="4E982244"/>
    <w:rsid w:val="4E9E5CF8"/>
    <w:rsid w:val="4EBE0710"/>
    <w:rsid w:val="4EC053AE"/>
    <w:rsid w:val="4EC54E1A"/>
    <w:rsid w:val="4ECF5BAB"/>
    <w:rsid w:val="4F027C32"/>
    <w:rsid w:val="4F334479"/>
    <w:rsid w:val="4F506DD9"/>
    <w:rsid w:val="4F6E2D92"/>
    <w:rsid w:val="4F72169C"/>
    <w:rsid w:val="4FC9093A"/>
    <w:rsid w:val="4FCC3F86"/>
    <w:rsid w:val="500A1281"/>
    <w:rsid w:val="503C19ED"/>
    <w:rsid w:val="50447FC0"/>
    <w:rsid w:val="50596BFB"/>
    <w:rsid w:val="506E2BD8"/>
    <w:rsid w:val="5078139D"/>
    <w:rsid w:val="50790B8A"/>
    <w:rsid w:val="50AC0013"/>
    <w:rsid w:val="50C57353"/>
    <w:rsid w:val="50DB42B0"/>
    <w:rsid w:val="50EC2B59"/>
    <w:rsid w:val="512F162E"/>
    <w:rsid w:val="512F2A1E"/>
    <w:rsid w:val="515B0286"/>
    <w:rsid w:val="51600E2A"/>
    <w:rsid w:val="516C3C72"/>
    <w:rsid w:val="518B6549"/>
    <w:rsid w:val="518E7591"/>
    <w:rsid w:val="51A3244E"/>
    <w:rsid w:val="51BE6F63"/>
    <w:rsid w:val="51CB596B"/>
    <w:rsid w:val="51D84E64"/>
    <w:rsid w:val="51E347C2"/>
    <w:rsid w:val="520A3291"/>
    <w:rsid w:val="52151C14"/>
    <w:rsid w:val="5228659E"/>
    <w:rsid w:val="52427583"/>
    <w:rsid w:val="5281560E"/>
    <w:rsid w:val="528F66EF"/>
    <w:rsid w:val="52903990"/>
    <w:rsid w:val="52A35472"/>
    <w:rsid w:val="52C33D66"/>
    <w:rsid w:val="52F12681"/>
    <w:rsid w:val="52F21F55"/>
    <w:rsid w:val="52FF6DDF"/>
    <w:rsid w:val="5310201B"/>
    <w:rsid w:val="531D3476"/>
    <w:rsid w:val="534220B7"/>
    <w:rsid w:val="536E5A80"/>
    <w:rsid w:val="53846DA5"/>
    <w:rsid w:val="53B02395"/>
    <w:rsid w:val="53B35B89"/>
    <w:rsid w:val="53B51D8A"/>
    <w:rsid w:val="53D17DBD"/>
    <w:rsid w:val="53E46CB9"/>
    <w:rsid w:val="53E47AF0"/>
    <w:rsid w:val="53FC12DE"/>
    <w:rsid w:val="5426635A"/>
    <w:rsid w:val="54422A68"/>
    <w:rsid w:val="54773FDF"/>
    <w:rsid w:val="548E3F00"/>
    <w:rsid w:val="54933B0C"/>
    <w:rsid w:val="54A351CC"/>
    <w:rsid w:val="54AB1241"/>
    <w:rsid w:val="54E1476B"/>
    <w:rsid w:val="54E67898"/>
    <w:rsid w:val="552705DC"/>
    <w:rsid w:val="55291B56"/>
    <w:rsid w:val="55366DE6"/>
    <w:rsid w:val="556B2BE6"/>
    <w:rsid w:val="559612BE"/>
    <w:rsid w:val="559B7099"/>
    <w:rsid w:val="55A559A5"/>
    <w:rsid w:val="55C91693"/>
    <w:rsid w:val="55CC2F32"/>
    <w:rsid w:val="55EB0D1D"/>
    <w:rsid w:val="56111C07"/>
    <w:rsid w:val="562B5EAA"/>
    <w:rsid w:val="56494582"/>
    <w:rsid w:val="56535401"/>
    <w:rsid w:val="56561C37"/>
    <w:rsid w:val="565D7E6C"/>
    <w:rsid w:val="566E551E"/>
    <w:rsid w:val="56935B78"/>
    <w:rsid w:val="56B37C4E"/>
    <w:rsid w:val="56F20776"/>
    <w:rsid w:val="57270747"/>
    <w:rsid w:val="57315D50"/>
    <w:rsid w:val="573338E1"/>
    <w:rsid w:val="573A05CB"/>
    <w:rsid w:val="57546696"/>
    <w:rsid w:val="57566DAC"/>
    <w:rsid w:val="5774783B"/>
    <w:rsid w:val="579D1CC6"/>
    <w:rsid w:val="57C40364"/>
    <w:rsid w:val="57D63BF4"/>
    <w:rsid w:val="57D81AF0"/>
    <w:rsid w:val="57DE0CFA"/>
    <w:rsid w:val="57E00F16"/>
    <w:rsid w:val="58047046"/>
    <w:rsid w:val="58466FCB"/>
    <w:rsid w:val="585711D8"/>
    <w:rsid w:val="58C93758"/>
    <w:rsid w:val="58CA75B4"/>
    <w:rsid w:val="58E04391"/>
    <w:rsid w:val="59205A6E"/>
    <w:rsid w:val="59305585"/>
    <w:rsid w:val="596A0A97"/>
    <w:rsid w:val="596B480F"/>
    <w:rsid w:val="597162CA"/>
    <w:rsid w:val="597E1AB4"/>
    <w:rsid w:val="597F2A12"/>
    <w:rsid w:val="59B45837"/>
    <w:rsid w:val="59CD18ED"/>
    <w:rsid w:val="5A0F163F"/>
    <w:rsid w:val="5A383EE8"/>
    <w:rsid w:val="5A3B0686"/>
    <w:rsid w:val="5A7278F0"/>
    <w:rsid w:val="5A772091"/>
    <w:rsid w:val="5A7A11AE"/>
    <w:rsid w:val="5A8C2C8F"/>
    <w:rsid w:val="5A8F3B0A"/>
    <w:rsid w:val="5AA81FF6"/>
    <w:rsid w:val="5AC71F19"/>
    <w:rsid w:val="5ACC0B67"/>
    <w:rsid w:val="5AE20B01"/>
    <w:rsid w:val="5AE84932"/>
    <w:rsid w:val="5AF92651"/>
    <w:rsid w:val="5B04316E"/>
    <w:rsid w:val="5B3C46B5"/>
    <w:rsid w:val="5B3F5F54"/>
    <w:rsid w:val="5B5075CB"/>
    <w:rsid w:val="5B6D2E51"/>
    <w:rsid w:val="5BB052CF"/>
    <w:rsid w:val="5BB10BFF"/>
    <w:rsid w:val="5BC307A7"/>
    <w:rsid w:val="5BEF1728"/>
    <w:rsid w:val="5C3D6937"/>
    <w:rsid w:val="5C3E77B4"/>
    <w:rsid w:val="5C4C6B7A"/>
    <w:rsid w:val="5C7E7484"/>
    <w:rsid w:val="5CAE3391"/>
    <w:rsid w:val="5CBA7F88"/>
    <w:rsid w:val="5CE82AF2"/>
    <w:rsid w:val="5CF06EBD"/>
    <w:rsid w:val="5CF71228"/>
    <w:rsid w:val="5D0625A5"/>
    <w:rsid w:val="5D0C00B7"/>
    <w:rsid w:val="5D3119D1"/>
    <w:rsid w:val="5D3A69D3"/>
    <w:rsid w:val="5D3D64C3"/>
    <w:rsid w:val="5D670CEE"/>
    <w:rsid w:val="5D6F0987"/>
    <w:rsid w:val="5DAD179E"/>
    <w:rsid w:val="5DB3300D"/>
    <w:rsid w:val="5DC15346"/>
    <w:rsid w:val="5DC664B8"/>
    <w:rsid w:val="5DCB16D1"/>
    <w:rsid w:val="5DEA21A7"/>
    <w:rsid w:val="5DFA17C8"/>
    <w:rsid w:val="5E4A2442"/>
    <w:rsid w:val="5E4D401A"/>
    <w:rsid w:val="5E60690D"/>
    <w:rsid w:val="5E7565C7"/>
    <w:rsid w:val="5E8F223E"/>
    <w:rsid w:val="5EA467FA"/>
    <w:rsid w:val="5EAE21C6"/>
    <w:rsid w:val="5EC9275E"/>
    <w:rsid w:val="5EDC4FA5"/>
    <w:rsid w:val="5EE26529"/>
    <w:rsid w:val="5EE3728C"/>
    <w:rsid w:val="5F076D88"/>
    <w:rsid w:val="5F2931A3"/>
    <w:rsid w:val="5F37766E"/>
    <w:rsid w:val="5F610B8F"/>
    <w:rsid w:val="5F7B589B"/>
    <w:rsid w:val="5F942FDA"/>
    <w:rsid w:val="5F9920D6"/>
    <w:rsid w:val="5F9A19AB"/>
    <w:rsid w:val="5FAB3BB8"/>
    <w:rsid w:val="5FC81A52"/>
    <w:rsid w:val="5FD24A39"/>
    <w:rsid w:val="5FFF3E49"/>
    <w:rsid w:val="60035826"/>
    <w:rsid w:val="6012494A"/>
    <w:rsid w:val="602561A9"/>
    <w:rsid w:val="60362253"/>
    <w:rsid w:val="6045400C"/>
    <w:rsid w:val="609D38E4"/>
    <w:rsid w:val="60B62AF0"/>
    <w:rsid w:val="60C56EFB"/>
    <w:rsid w:val="60E25AE9"/>
    <w:rsid w:val="60ED5D3C"/>
    <w:rsid w:val="610A53B4"/>
    <w:rsid w:val="61141E2A"/>
    <w:rsid w:val="6116198D"/>
    <w:rsid w:val="6121794B"/>
    <w:rsid w:val="612B4FB0"/>
    <w:rsid w:val="61333E65"/>
    <w:rsid w:val="6158616E"/>
    <w:rsid w:val="61731105"/>
    <w:rsid w:val="619A3EE4"/>
    <w:rsid w:val="61BA223D"/>
    <w:rsid w:val="61CB5667"/>
    <w:rsid w:val="61E84F66"/>
    <w:rsid w:val="61ED04B8"/>
    <w:rsid w:val="61F950AE"/>
    <w:rsid w:val="62244678"/>
    <w:rsid w:val="623B247B"/>
    <w:rsid w:val="625B18C5"/>
    <w:rsid w:val="6275772C"/>
    <w:rsid w:val="62830E1C"/>
    <w:rsid w:val="628C1A7E"/>
    <w:rsid w:val="62966DA1"/>
    <w:rsid w:val="62A3501A"/>
    <w:rsid w:val="62EC47E5"/>
    <w:rsid w:val="63097573"/>
    <w:rsid w:val="631D4DCC"/>
    <w:rsid w:val="63275C4B"/>
    <w:rsid w:val="63743CD1"/>
    <w:rsid w:val="63DC00F0"/>
    <w:rsid w:val="641C5084"/>
    <w:rsid w:val="6457430E"/>
    <w:rsid w:val="645E0170"/>
    <w:rsid w:val="64681492"/>
    <w:rsid w:val="647062FF"/>
    <w:rsid w:val="648F0398"/>
    <w:rsid w:val="64A5151D"/>
    <w:rsid w:val="64A77044"/>
    <w:rsid w:val="64B75D57"/>
    <w:rsid w:val="64EA5182"/>
    <w:rsid w:val="650A75D2"/>
    <w:rsid w:val="651638D5"/>
    <w:rsid w:val="653308D7"/>
    <w:rsid w:val="65430DE6"/>
    <w:rsid w:val="65A70771"/>
    <w:rsid w:val="65B20905"/>
    <w:rsid w:val="661F2C0A"/>
    <w:rsid w:val="665E3732"/>
    <w:rsid w:val="66805D9E"/>
    <w:rsid w:val="66B75538"/>
    <w:rsid w:val="66DD6BE3"/>
    <w:rsid w:val="67281F92"/>
    <w:rsid w:val="674A2C71"/>
    <w:rsid w:val="67564D51"/>
    <w:rsid w:val="67633531"/>
    <w:rsid w:val="67D22629"/>
    <w:rsid w:val="680D18B3"/>
    <w:rsid w:val="680D2324"/>
    <w:rsid w:val="6817452A"/>
    <w:rsid w:val="68352BB8"/>
    <w:rsid w:val="684E5A28"/>
    <w:rsid w:val="685F19E3"/>
    <w:rsid w:val="68883068"/>
    <w:rsid w:val="68C34103"/>
    <w:rsid w:val="69074555"/>
    <w:rsid w:val="69586B5E"/>
    <w:rsid w:val="69845BA5"/>
    <w:rsid w:val="698C05B6"/>
    <w:rsid w:val="69A22841"/>
    <w:rsid w:val="69A90C7D"/>
    <w:rsid w:val="69A9414D"/>
    <w:rsid w:val="69C222A3"/>
    <w:rsid w:val="69D16911"/>
    <w:rsid w:val="69E06B54"/>
    <w:rsid w:val="69F36887"/>
    <w:rsid w:val="69FD3262"/>
    <w:rsid w:val="6A2161CA"/>
    <w:rsid w:val="6A301889"/>
    <w:rsid w:val="6A6B7365"/>
    <w:rsid w:val="6A6D7740"/>
    <w:rsid w:val="6A7654C6"/>
    <w:rsid w:val="6A7F011B"/>
    <w:rsid w:val="6AA06FDD"/>
    <w:rsid w:val="6AA45574"/>
    <w:rsid w:val="6AA87346"/>
    <w:rsid w:val="6AB870DA"/>
    <w:rsid w:val="6AD35263"/>
    <w:rsid w:val="6ADD1EFB"/>
    <w:rsid w:val="6AE25D80"/>
    <w:rsid w:val="6B1C51D6"/>
    <w:rsid w:val="6B2D6E6C"/>
    <w:rsid w:val="6B5F4260"/>
    <w:rsid w:val="6B660AD9"/>
    <w:rsid w:val="6B9B2D32"/>
    <w:rsid w:val="6BA864D2"/>
    <w:rsid w:val="6BBA3B00"/>
    <w:rsid w:val="6BE20961"/>
    <w:rsid w:val="6C134FBF"/>
    <w:rsid w:val="6C1A090C"/>
    <w:rsid w:val="6C24541E"/>
    <w:rsid w:val="6C4B29AA"/>
    <w:rsid w:val="6C6118DE"/>
    <w:rsid w:val="6CA77C49"/>
    <w:rsid w:val="6CDB05EF"/>
    <w:rsid w:val="6CF62EDC"/>
    <w:rsid w:val="6D007309"/>
    <w:rsid w:val="6D2A2982"/>
    <w:rsid w:val="6D4E0BAC"/>
    <w:rsid w:val="6D5E495F"/>
    <w:rsid w:val="6D670C44"/>
    <w:rsid w:val="6D6D6950"/>
    <w:rsid w:val="6DB6324E"/>
    <w:rsid w:val="6DD62748"/>
    <w:rsid w:val="6DEF55B7"/>
    <w:rsid w:val="6DF17581"/>
    <w:rsid w:val="6E325E52"/>
    <w:rsid w:val="6E380D0C"/>
    <w:rsid w:val="6E486186"/>
    <w:rsid w:val="6E5D4C17"/>
    <w:rsid w:val="6EA445F4"/>
    <w:rsid w:val="6EDD5361"/>
    <w:rsid w:val="6EE61B5F"/>
    <w:rsid w:val="6EE64C0C"/>
    <w:rsid w:val="6F1120A0"/>
    <w:rsid w:val="6F1277AF"/>
    <w:rsid w:val="6F7D6BD9"/>
    <w:rsid w:val="6F8A0D71"/>
    <w:rsid w:val="6F906926"/>
    <w:rsid w:val="6F9957DB"/>
    <w:rsid w:val="6FCD1928"/>
    <w:rsid w:val="6FF27057"/>
    <w:rsid w:val="7008130C"/>
    <w:rsid w:val="702E3465"/>
    <w:rsid w:val="702E4391"/>
    <w:rsid w:val="7053007F"/>
    <w:rsid w:val="70590B1F"/>
    <w:rsid w:val="70854D1F"/>
    <w:rsid w:val="70866DD2"/>
    <w:rsid w:val="70952446"/>
    <w:rsid w:val="70B717EC"/>
    <w:rsid w:val="70D2369A"/>
    <w:rsid w:val="71023D91"/>
    <w:rsid w:val="713E2889"/>
    <w:rsid w:val="714D7E5F"/>
    <w:rsid w:val="718C2225"/>
    <w:rsid w:val="71B132B0"/>
    <w:rsid w:val="71C1726B"/>
    <w:rsid w:val="71D46F9E"/>
    <w:rsid w:val="71D7083C"/>
    <w:rsid w:val="71D73424"/>
    <w:rsid w:val="71FD38D3"/>
    <w:rsid w:val="720C2BDC"/>
    <w:rsid w:val="720E6FC7"/>
    <w:rsid w:val="721A4B55"/>
    <w:rsid w:val="723E2669"/>
    <w:rsid w:val="724C2FD8"/>
    <w:rsid w:val="725D6F93"/>
    <w:rsid w:val="726958C5"/>
    <w:rsid w:val="727A5D97"/>
    <w:rsid w:val="727F0C6F"/>
    <w:rsid w:val="72807C99"/>
    <w:rsid w:val="72822E9E"/>
    <w:rsid w:val="72B07F76"/>
    <w:rsid w:val="72DF209E"/>
    <w:rsid w:val="72E43211"/>
    <w:rsid w:val="72F42FFF"/>
    <w:rsid w:val="72FA6ED8"/>
    <w:rsid w:val="72FE60E2"/>
    <w:rsid w:val="731F06ED"/>
    <w:rsid w:val="732E6B82"/>
    <w:rsid w:val="73312B0D"/>
    <w:rsid w:val="73677573"/>
    <w:rsid w:val="739C3AEB"/>
    <w:rsid w:val="73B40E35"/>
    <w:rsid w:val="73CA4C19"/>
    <w:rsid w:val="73D239B1"/>
    <w:rsid w:val="73F92CEC"/>
    <w:rsid w:val="740A4EF9"/>
    <w:rsid w:val="743957DE"/>
    <w:rsid w:val="743D707D"/>
    <w:rsid w:val="746325C1"/>
    <w:rsid w:val="74701E30"/>
    <w:rsid w:val="748E78D8"/>
    <w:rsid w:val="749371D7"/>
    <w:rsid w:val="74B17A6A"/>
    <w:rsid w:val="74B530B7"/>
    <w:rsid w:val="74DB0643"/>
    <w:rsid w:val="750000AA"/>
    <w:rsid w:val="7506039D"/>
    <w:rsid w:val="751D0C5C"/>
    <w:rsid w:val="75383CE8"/>
    <w:rsid w:val="7555340F"/>
    <w:rsid w:val="758A1FF2"/>
    <w:rsid w:val="75A153E9"/>
    <w:rsid w:val="75A91E7D"/>
    <w:rsid w:val="75AB1C1F"/>
    <w:rsid w:val="75C132CA"/>
    <w:rsid w:val="75CA7FD0"/>
    <w:rsid w:val="75E90C61"/>
    <w:rsid w:val="763224E5"/>
    <w:rsid w:val="763C15B6"/>
    <w:rsid w:val="768216BE"/>
    <w:rsid w:val="769D788B"/>
    <w:rsid w:val="76A06B52"/>
    <w:rsid w:val="76B92C06"/>
    <w:rsid w:val="76C5553B"/>
    <w:rsid w:val="76CE457C"/>
    <w:rsid w:val="76FB4FCD"/>
    <w:rsid w:val="77132317"/>
    <w:rsid w:val="771D3195"/>
    <w:rsid w:val="77355E25"/>
    <w:rsid w:val="77672662"/>
    <w:rsid w:val="77C315BC"/>
    <w:rsid w:val="77E3176B"/>
    <w:rsid w:val="780F5E0D"/>
    <w:rsid w:val="78135094"/>
    <w:rsid w:val="78144598"/>
    <w:rsid w:val="787225AD"/>
    <w:rsid w:val="78837FE7"/>
    <w:rsid w:val="78B673FD"/>
    <w:rsid w:val="78E51A91"/>
    <w:rsid w:val="790C34C1"/>
    <w:rsid w:val="793324A7"/>
    <w:rsid w:val="79450781"/>
    <w:rsid w:val="79565B55"/>
    <w:rsid w:val="79870D9A"/>
    <w:rsid w:val="79B24069"/>
    <w:rsid w:val="79BE520B"/>
    <w:rsid w:val="79E81839"/>
    <w:rsid w:val="79F301DD"/>
    <w:rsid w:val="79F857F4"/>
    <w:rsid w:val="7A014895"/>
    <w:rsid w:val="7A094497"/>
    <w:rsid w:val="7A244B41"/>
    <w:rsid w:val="7A2F1FD7"/>
    <w:rsid w:val="7A4A4831"/>
    <w:rsid w:val="7A601D17"/>
    <w:rsid w:val="7AD22866"/>
    <w:rsid w:val="7AE3548D"/>
    <w:rsid w:val="7B240B8B"/>
    <w:rsid w:val="7B4D150D"/>
    <w:rsid w:val="7B5E6F8E"/>
    <w:rsid w:val="7B8C7FF8"/>
    <w:rsid w:val="7B927241"/>
    <w:rsid w:val="7B9D48A5"/>
    <w:rsid w:val="7BAC2D3A"/>
    <w:rsid w:val="7BAE6AB2"/>
    <w:rsid w:val="7BF41733"/>
    <w:rsid w:val="7C016BE2"/>
    <w:rsid w:val="7C036DFE"/>
    <w:rsid w:val="7C142DB9"/>
    <w:rsid w:val="7C1A5EF5"/>
    <w:rsid w:val="7C961A20"/>
    <w:rsid w:val="7CC12815"/>
    <w:rsid w:val="7D260F62"/>
    <w:rsid w:val="7D311748"/>
    <w:rsid w:val="7D4E4A83"/>
    <w:rsid w:val="7D5A662F"/>
    <w:rsid w:val="7D7F50C7"/>
    <w:rsid w:val="7D8201F6"/>
    <w:rsid w:val="7D897B35"/>
    <w:rsid w:val="7D957F29"/>
    <w:rsid w:val="7DC77DB4"/>
    <w:rsid w:val="7DF37165"/>
    <w:rsid w:val="7DFA4A57"/>
    <w:rsid w:val="7E3B43E3"/>
    <w:rsid w:val="7E467CE8"/>
    <w:rsid w:val="7E5C1CA3"/>
    <w:rsid w:val="7E5E47BF"/>
    <w:rsid w:val="7E7A06F0"/>
    <w:rsid w:val="7E8835EA"/>
    <w:rsid w:val="7E9B156F"/>
    <w:rsid w:val="7E9D43E2"/>
    <w:rsid w:val="7ECA14C8"/>
    <w:rsid w:val="7ECB3121"/>
    <w:rsid w:val="7F013AAC"/>
    <w:rsid w:val="7F0709B3"/>
    <w:rsid w:val="7F13151C"/>
    <w:rsid w:val="7F2013AE"/>
    <w:rsid w:val="7F231565"/>
    <w:rsid w:val="7F250E39"/>
    <w:rsid w:val="7F525799"/>
    <w:rsid w:val="7F6820BF"/>
    <w:rsid w:val="7F7D6EC7"/>
    <w:rsid w:val="7F876189"/>
    <w:rsid w:val="7F995383"/>
    <w:rsid w:val="7FE9630A"/>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Emphasis"/>
    <w:basedOn w:val="11"/>
    <w:qFormat/>
    <w:uiPriority w:val="20"/>
    <w:rPr>
      <w:i/>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5"/>
    <w:qFormat/>
    <w:uiPriority w:val="99"/>
    <w:rPr>
      <w:sz w:val="18"/>
      <w:szCs w:val="18"/>
    </w:rPr>
  </w:style>
  <w:style w:type="character" w:customStyle="1" w:styleId="15">
    <w:name w:val="页脚 Char"/>
    <w:basedOn w:val="11"/>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17">
    <w:name w:val="List Paragraph"/>
    <w:basedOn w:val="1"/>
    <w:qFormat/>
    <w:uiPriority w:val="34"/>
    <w:pPr>
      <w:ind w:firstLine="420" w:firstLineChars="200"/>
    </w:pPr>
    <w:rPr>
      <w:rFonts w:ascii="Calibri" w:hAnsi="Calibri" w:eastAsia="宋体" w:cs="Times New Roman"/>
      <w:szCs w:val="24"/>
    </w:rPr>
  </w:style>
  <w:style w:type="character" w:customStyle="1" w:styleId="18">
    <w:name w:val="批注框文本 Char"/>
    <w:basedOn w:val="11"/>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4626</Words>
  <Characters>5530</Characters>
  <Lines>40</Lines>
  <Paragraphs>11</Paragraphs>
  <TotalTime>0</TotalTime>
  <ScaleCrop>false</ScaleCrop>
  <LinksUpToDate>false</LinksUpToDate>
  <CharactersWithSpaces>5783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2022-07-19T08:32:00Z</dcterms:created>
  <dc:creator>李毅民</dc:creator>
  <cp:lastModifiedBy>林铌</cp:lastModifiedBy>
  <dcterms:modified xsi:type="dcterms:W3CDTF">2023-02-22T06:47:04Z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62BE50DDD8B744A08424F7ED3792D91C</vt:lpwstr>
  </property>
</Properties>
</file>