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b/>
          <w:bCs/>
          <w:color w:val="000000"/>
          <w:kern w:val="2"/>
          <w:sz w:val="32"/>
          <w:szCs w:val="32"/>
          <w:lang w:val="en-US" w:eastAsia="zh-CN" w:bidi="ar-SA"/>
        </w:rPr>
      </w:pPr>
      <w:bookmarkStart w:id="230" w:name="_GoBack"/>
      <w:bookmarkEnd w:id="230"/>
    </w:p>
    <w:p>
      <w:pPr>
        <w:spacing w:before="0" w:beforeLines="0" w:after="0" w:afterLines="0" w:line="240" w:lineRule="auto"/>
        <w:ind w:left="0" w:leftChars="0" w:right="0" w:rightChars="0" w:firstLine="0" w:firstLineChars="0"/>
        <w:jc w:val="center"/>
        <w:rPr>
          <w:rFonts w:ascii="宋体" w:hAnsi="宋体" w:eastAsia="宋体" w:cs="Times New Roman"/>
          <w:b/>
          <w:bCs/>
          <w:color w:val="000000"/>
          <w:kern w:val="2"/>
          <w:sz w:val="32"/>
          <w:szCs w:val="3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b/>
          <w:bCs/>
          <w:color w:val="000000"/>
          <w:kern w:val="2"/>
          <w:sz w:val="32"/>
          <w:szCs w:val="3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b w:val="0"/>
          <w:bCs w:val="0"/>
          <w:color w:val="000000"/>
          <w:kern w:val="2"/>
          <w:sz w:val="52"/>
          <w:szCs w:val="52"/>
          <w:lang w:val="en-US" w:eastAsia="zh-CN" w:bidi="ar-SA"/>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val="0"/>
          <w:bCs w:val="0"/>
          <w:color w:val="000000"/>
          <w:kern w:val="2"/>
          <w:sz w:val="52"/>
          <w:szCs w:val="52"/>
          <w:lang w:val="en-US" w:eastAsia="zh-CN" w:bidi="ar-SA"/>
        </w:rPr>
      </w:pPr>
      <w:r>
        <w:rPr>
          <w:rFonts w:hint="eastAsia" w:ascii="方正小标宋简体" w:hAnsi="方正小标宋简体" w:eastAsia="方正小标宋简体" w:cs="方正小标宋简体"/>
          <w:b w:val="0"/>
          <w:bCs w:val="0"/>
          <w:color w:val="000000"/>
          <w:kern w:val="2"/>
          <w:sz w:val="52"/>
          <w:szCs w:val="52"/>
          <w:lang w:val="en-US" w:eastAsia="zh-CN" w:bidi="ar-SA"/>
        </w:rPr>
        <w:t>广西壮族自治区三级皮肤病专科</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val="0"/>
          <w:bCs w:val="0"/>
          <w:color w:val="000000"/>
          <w:kern w:val="2"/>
          <w:sz w:val="52"/>
          <w:szCs w:val="52"/>
          <w:lang w:val="en-US" w:eastAsia="zh-CN" w:bidi="ar-SA"/>
        </w:rPr>
      </w:pPr>
      <w:r>
        <w:rPr>
          <w:rFonts w:hint="eastAsia" w:ascii="方正小标宋简体" w:hAnsi="方正小标宋简体" w:eastAsia="方正小标宋简体" w:cs="方正小标宋简体"/>
          <w:b w:val="0"/>
          <w:bCs w:val="0"/>
          <w:color w:val="000000"/>
          <w:kern w:val="2"/>
          <w:sz w:val="52"/>
          <w:szCs w:val="52"/>
          <w:lang w:val="en-US" w:eastAsia="zh-CN" w:bidi="ar-SA"/>
        </w:rPr>
        <w:t>医院评审标准实施细则</w:t>
      </w:r>
    </w:p>
    <w:p>
      <w:pPr>
        <w:pStyle w:val="2"/>
        <w:rPr>
          <w:rFonts w:hint="eastAsia" w:ascii="宋体" w:hAnsi="宋体" w:cs="Times New Roman"/>
          <w:b w:val="0"/>
          <w:bCs w:val="0"/>
          <w:color w:val="000000"/>
          <w:kern w:val="2"/>
          <w:sz w:val="32"/>
          <w:szCs w:val="32"/>
          <w:lang w:val="en-US" w:eastAsia="zh-CN" w:bidi="ar-SA"/>
        </w:rPr>
      </w:pPr>
      <w:r>
        <w:rPr>
          <w:rFonts w:hint="eastAsia" w:ascii="宋体" w:hAnsi="宋体" w:cs="Times New Roman"/>
          <w:b w:val="0"/>
          <w:bCs w:val="0"/>
          <w:color w:val="000000"/>
          <w:kern w:val="2"/>
          <w:sz w:val="32"/>
          <w:szCs w:val="32"/>
          <w:lang w:val="en-US" w:eastAsia="zh-CN" w:bidi="ar-SA"/>
        </w:rPr>
        <w:t>（2023年版）</w:t>
      </w:r>
    </w:p>
    <w:p>
      <w:pPr>
        <w:rPr>
          <w:rFonts w:hint="eastAsia" w:ascii="宋体" w:hAnsi="宋体" w:cs="Times New Roman"/>
          <w:b/>
          <w:bCs/>
          <w:color w:val="000000"/>
          <w:kern w:val="2"/>
          <w:sz w:val="32"/>
          <w:szCs w:val="32"/>
          <w:lang w:val="en-US" w:eastAsia="zh-CN" w:bidi="ar-SA"/>
        </w:rPr>
      </w:pPr>
    </w:p>
    <w:p>
      <w:pPr>
        <w:rPr>
          <w:rFonts w:hint="eastAsia" w:ascii="宋体" w:hAnsi="宋体" w:cs="Times New Roman"/>
          <w:b/>
          <w:bCs/>
          <w:color w:val="000000"/>
          <w:kern w:val="2"/>
          <w:sz w:val="32"/>
          <w:szCs w:val="32"/>
          <w:lang w:val="en-US" w:eastAsia="zh-CN" w:bidi="ar-SA"/>
        </w:rPr>
      </w:pPr>
    </w:p>
    <w:p>
      <w:pPr>
        <w:pStyle w:val="2"/>
        <w:rPr>
          <w:rFonts w:hint="eastAsia" w:ascii="宋体" w:hAnsi="宋体" w:cs="Times New Roman"/>
          <w:b/>
          <w:bCs/>
          <w:color w:val="000000"/>
          <w:kern w:val="2"/>
          <w:sz w:val="32"/>
          <w:szCs w:val="32"/>
          <w:lang w:val="en-US" w:eastAsia="zh-CN" w:bidi="ar-SA"/>
        </w:rPr>
      </w:pPr>
    </w:p>
    <w:p>
      <w:pPr>
        <w:rPr>
          <w:rFonts w:hint="eastAsia" w:ascii="宋体" w:hAnsi="宋体" w:cs="Times New Roman"/>
          <w:b/>
          <w:bCs/>
          <w:color w:val="000000"/>
          <w:kern w:val="2"/>
          <w:sz w:val="32"/>
          <w:szCs w:val="32"/>
          <w:lang w:val="en-US" w:eastAsia="zh-CN" w:bidi="ar-SA"/>
        </w:rPr>
      </w:pPr>
    </w:p>
    <w:p>
      <w:pPr>
        <w:pStyle w:val="2"/>
        <w:rPr>
          <w:rFonts w:hint="eastAsia" w:ascii="宋体" w:hAnsi="宋体" w:cs="Times New Roman"/>
          <w:b/>
          <w:bCs/>
          <w:color w:val="000000"/>
          <w:kern w:val="2"/>
          <w:sz w:val="32"/>
          <w:szCs w:val="32"/>
          <w:lang w:val="en-US" w:eastAsia="zh-CN" w:bidi="ar-SA"/>
        </w:rPr>
      </w:pPr>
    </w:p>
    <w:p>
      <w:pPr>
        <w:rPr>
          <w:rFonts w:hint="eastAsia" w:ascii="宋体" w:hAnsi="宋体" w:cs="Times New Roman"/>
          <w:b/>
          <w:bCs/>
          <w:color w:val="000000"/>
          <w:kern w:val="2"/>
          <w:sz w:val="32"/>
          <w:szCs w:val="32"/>
          <w:lang w:val="en-US" w:eastAsia="zh-CN" w:bidi="ar-SA"/>
        </w:rPr>
      </w:pPr>
    </w:p>
    <w:p>
      <w:pPr>
        <w:pStyle w:val="2"/>
        <w:rPr>
          <w:rFonts w:hint="eastAsia" w:ascii="宋体" w:hAnsi="宋体" w:cs="Times New Roman"/>
          <w:b/>
          <w:bCs/>
          <w:color w:val="000000"/>
          <w:kern w:val="2"/>
          <w:sz w:val="32"/>
          <w:szCs w:val="32"/>
          <w:lang w:val="en-US" w:eastAsia="zh-CN" w:bidi="ar-SA"/>
        </w:rPr>
      </w:pPr>
    </w:p>
    <w:p>
      <w:pPr>
        <w:rPr>
          <w:rFonts w:hint="eastAsia" w:ascii="宋体" w:hAnsi="宋体" w:cs="Times New Roman"/>
          <w:b/>
          <w:bCs/>
          <w:color w:val="000000"/>
          <w:kern w:val="2"/>
          <w:sz w:val="32"/>
          <w:szCs w:val="32"/>
          <w:lang w:val="en-US" w:eastAsia="zh-CN" w:bidi="ar-SA"/>
        </w:rPr>
      </w:pPr>
    </w:p>
    <w:p>
      <w:pPr>
        <w:pStyle w:val="2"/>
        <w:rPr>
          <w:rFonts w:hint="eastAsia" w:ascii="宋体" w:hAnsi="宋体" w:cs="Times New Roman"/>
          <w:b/>
          <w:bCs/>
          <w:color w:val="000000"/>
          <w:kern w:val="2"/>
          <w:sz w:val="32"/>
          <w:szCs w:val="32"/>
          <w:lang w:val="en-US" w:eastAsia="zh-CN" w:bidi="ar-SA"/>
        </w:rPr>
      </w:pPr>
    </w:p>
    <w:p>
      <w:pPr>
        <w:rPr>
          <w:rFonts w:hint="eastAsia" w:ascii="宋体" w:hAnsi="宋体" w:cs="Times New Roman"/>
          <w:b/>
          <w:bCs/>
          <w:color w:val="000000"/>
          <w:kern w:val="2"/>
          <w:sz w:val="32"/>
          <w:szCs w:val="32"/>
          <w:lang w:val="en-US" w:eastAsia="zh-CN" w:bidi="ar-SA"/>
        </w:rPr>
      </w:pPr>
    </w:p>
    <w:p>
      <w:pPr>
        <w:pStyle w:val="2"/>
        <w:rPr>
          <w:rFonts w:hint="eastAsia" w:ascii="宋体" w:hAnsi="宋体" w:cs="Times New Roman"/>
          <w:b/>
          <w:bCs/>
          <w:color w:val="000000"/>
          <w:kern w:val="2"/>
          <w:sz w:val="32"/>
          <w:szCs w:val="32"/>
          <w:lang w:val="en-US" w:eastAsia="zh-CN" w:bidi="ar-SA"/>
        </w:rPr>
      </w:pPr>
    </w:p>
    <w:p>
      <w:pPr>
        <w:rPr>
          <w:rFonts w:hint="eastAsia"/>
          <w:lang w:val="en-US" w:eastAsia="zh-CN"/>
        </w:rPr>
      </w:pPr>
    </w:p>
    <w:p>
      <w:pPr>
        <w:pStyle w:val="2"/>
        <w:jc w:val="center"/>
        <w:rPr>
          <w:rFonts w:hint="eastAsia" w:ascii="楷体" w:hAnsi="楷体" w:eastAsia="楷体" w:cs="楷体"/>
          <w:b w:val="0"/>
          <w:bCs w:val="0"/>
          <w:color w:val="000000"/>
          <w:kern w:val="2"/>
          <w:sz w:val="32"/>
          <w:szCs w:val="32"/>
          <w:lang w:val="en-US" w:eastAsia="zh-CN" w:bidi="ar-SA"/>
        </w:rPr>
      </w:pPr>
      <w:r>
        <w:rPr>
          <w:rFonts w:hint="eastAsia" w:ascii="楷体" w:hAnsi="楷体" w:eastAsia="楷体" w:cs="楷体"/>
          <w:b w:val="0"/>
          <w:bCs w:val="0"/>
          <w:color w:val="000000"/>
          <w:kern w:val="2"/>
          <w:sz w:val="32"/>
          <w:szCs w:val="32"/>
          <w:lang w:val="en-US" w:eastAsia="zh-CN" w:bidi="ar-SA"/>
        </w:rPr>
        <w:t>广西壮族自治区卫生健康委员会</w:t>
      </w:r>
    </w:p>
    <w:p>
      <w:pPr>
        <w:jc w:val="center"/>
        <w:rPr>
          <w:rFonts w:ascii="宋体" w:hAnsi="宋体" w:eastAsia="宋体" w:cs="Times New Roman"/>
          <w:b/>
          <w:bCs/>
          <w:color w:val="000000"/>
          <w:kern w:val="2"/>
          <w:sz w:val="32"/>
          <w:szCs w:val="32"/>
          <w:lang w:val="en-US" w:eastAsia="zh-CN" w:bidi="ar-SA"/>
        </w:rPr>
      </w:pPr>
      <w:r>
        <w:rPr>
          <w:rFonts w:hint="eastAsia" w:ascii="楷体" w:hAnsi="楷体" w:eastAsia="楷体" w:cs="楷体"/>
          <w:b w:val="0"/>
          <w:bCs w:val="0"/>
          <w:color w:val="000000"/>
          <w:sz w:val="32"/>
          <w:szCs w:val="40"/>
          <w:lang w:val="en-US" w:eastAsia="zh-CN"/>
        </w:rPr>
        <w:t>2023年11月</w:t>
      </w:r>
    </w:p>
    <w:p>
      <w:pPr>
        <w:spacing w:before="0" w:beforeLines="0" w:after="0" w:afterLines="0" w:line="240" w:lineRule="auto"/>
        <w:ind w:left="0" w:leftChars="0" w:right="0" w:rightChars="0" w:firstLine="0" w:firstLineChars="0"/>
        <w:jc w:val="center"/>
        <w:rPr>
          <w:rFonts w:ascii="宋体" w:hAnsi="宋体" w:eastAsia="宋体" w:cs="Times New Roman"/>
          <w:b/>
          <w:bCs/>
          <w:color w:val="000000"/>
          <w:kern w:val="2"/>
          <w:sz w:val="32"/>
          <w:szCs w:val="32"/>
          <w:lang w:val="en-US" w:eastAsia="zh-CN" w:bidi="ar-SA"/>
        </w:rPr>
      </w:pPr>
    </w:p>
    <w:p>
      <w:pPr>
        <w:spacing w:before="0" w:beforeLines="0" w:after="0" w:afterLines="0" w:line="240" w:lineRule="auto"/>
        <w:ind w:left="0" w:leftChars="0" w:right="0" w:rightChars="0" w:firstLine="0" w:firstLineChars="0"/>
        <w:jc w:val="center"/>
        <w:rPr>
          <w:b/>
          <w:bCs/>
          <w:color w:val="000000"/>
          <w:sz w:val="32"/>
          <w:szCs w:val="32"/>
        </w:rPr>
      </w:pPr>
      <w:bookmarkStart w:id="0" w:name="_Toc28651"/>
      <w:r>
        <w:rPr>
          <w:rFonts w:ascii="宋体" w:hAnsi="宋体" w:eastAsia="宋体"/>
          <w:b/>
          <w:bCs/>
          <w:color w:val="000000"/>
          <w:sz w:val="32"/>
          <w:szCs w:val="32"/>
        </w:rPr>
        <w:t>目</w:t>
      </w:r>
      <w:r>
        <w:rPr>
          <w:rFonts w:hint="eastAsia" w:ascii="宋体" w:hAnsi="宋体"/>
          <w:b/>
          <w:bCs/>
          <w:color w:val="000000"/>
          <w:sz w:val="32"/>
          <w:szCs w:val="32"/>
          <w:lang w:val="en-US" w:eastAsia="zh-CN"/>
        </w:rPr>
        <w:t xml:space="preserve"> </w:t>
      </w:r>
      <w:r>
        <w:rPr>
          <w:rFonts w:ascii="宋体" w:hAnsi="宋体" w:eastAsia="宋体"/>
          <w:b/>
          <w:bCs/>
          <w:color w:val="000000"/>
          <w:sz w:val="32"/>
          <w:szCs w:val="32"/>
        </w:rPr>
        <w:t>录</w:t>
      </w:r>
    </w:p>
    <w:p>
      <w:pPr>
        <w:pStyle w:val="11"/>
        <w:tabs>
          <w:tab w:val="right" w:leader="dot" w:pos="8306"/>
        </w:tabs>
      </w:pPr>
      <w:r>
        <w:rPr>
          <w:rFonts w:hint="eastAsia" w:ascii="方正小标宋简体" w:hAnsi="方正小标宋简体" w:eastAsia="方正小标宋简体" w:cs="方正小标宋简体"/>
          <w:b w:val="0"/>
          <w:bCs w:val="0"/>
          <w:color w:val="000000"/>
          <w:sz w:val="32"/>
          <w:szCs w:val="32"/>
        </w:rPr>
        <w:fldChar w:fldCharType="begin"/>
      </w:r>
      <w:r>
        <w:rPr>
          <w:rFonts w:hint="eastAsia" w:ascii="方正小标宋简体" w:hAnsi="方正小标宋简体" w:eastAsia="方正小标宋简体" w:cs="方正小标宋简体"/>
          <w:b w:val="0"/>
          <w:bCs w:val="0"/>
          <w:color w:val="000000"/>
          <w:sz w:val="32"/>
          <w:szCs w:val="32"/>
        </w:rPr>
        <w:instrText xml:space="preserve">TOC \o "1-3" \h \u </w:instrText>
      </w:r>
      <w:r>
        <w:rPr>
          <w:rFonts w:hint="eastAsia" w:ascii="方正小标宋简体" w:hAnsi="方正小标宋简体" w:eastAsia="方正小标宋简体" w:cs="方正小标宋简体"/>
          <w:b w:val="0"/>
          <w:bCs w:val="0"/>
          <w:color w:val="000000"/>
          <w:sz w:val="32"/>
          <w:szCs w:val="32"/>
        </w:rPr>
        <w:fldChar w:fldCharType="separate"/>
      </w: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_Toc16029 </w:instrText>
      </w:r>
      <w:r>
        <w:rPr>
          <w:rFonts w:hint="eastAsia" w:ascii="方正小标宋简体" w:hAnsi="方正小标宋简体" w:eastAsia="方正小标宋简体" w:cs="方正小标宋简体"/>
          <w:bCs w:val="0"/>
          <w:szCs w:val="32"/>
        </w:rPr>
        <w:fldChar w:fldCharType="separate"/>
      </w:r>
      <w:r>
        <w:rPr>
          <w:rFonts w:hint="eastAsia"/>
          <w:szCs w:val="56"/>
        </w:rPr>
        <w:t>广西壮族自治区三级</w:t>
      </w:r>
      <w:r>
        <w:rPr>
          <w:rFonts w:hint="eastAsia"/>
          <w:szCs w:val="56"/>
          <w:lang w:val="en-US" w:eastAsia="zh-CN"/>
        </w:rPr>
        <w:t>皮肤病专科医院</w:t>
      </w:r>
      <w:r>
        <w:rPr>
          <w:rFonts w:hint="eastAsia"/>
          <w:szCs w:val="56"/>
        </w:rPr>
        <w:t>评审标准实施细则（2023年版）说明</w:t>
      </w:r>
      <w:r>
        <w:tab/>
      </w:r>
      <w:r>
        <w:fldChar w:fldCharType="begin"/>
      </w:r>
      <w:r>
        <w:instrText xml:space="preserve"> PAGEREF _Toc16029 \h </w:instrText>
      </w:r>
      <w:r>
        <w:fldChar w:fldCharType="separate"/>
      </w:r>
      <w:r>
        <w:t>4</w:t>
      </w:r>
      <w:r>
        <w:fldChar w:fldCharType="end"/>
      </w:r>
      <w:r>
        <w:rPr>
          <w:rFonts w:hint="eastAsia" w:ascii="方正小标宋简体" w:hAnsi="方正小标宋简体" w:eastAsia="方正小标宋简体" w:cs="方正小标宋简体"/>
          <w:bCs w:val="0"/>
          <w:color w:val="000000"/>
          <w:szCs w:val="32"/>
        </w:rPr>
        <w:fldChar w:fldCharType="end"/>
      </w:r>
    </w:p>
    <w:p>
      <w:pPr>
        <w:pStyle w:val="11"/>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_Toc6156 </w:instrText>
      </w:r>
      <w:r>
        <w:rPr>
          <w:rFonts w:hint="eastAsia" w:ascii="方正小标宋简体" w:hAnsi="方正小标宋简体" w:eastAsia="方正小标宋简体" w:cs="方正小标宋简体"/>
          <w:bCs w:val="0"/>
          <w:szCs w:val="32"/>
        </w:rPr>
        <w:fldChar w:fldCharType="separate"/>
      </w:r>
      <w:r>
        <w:rPr>
          <w:rFonts w:hint="eastAsia"/>
        </w:rPr>
        <w:t>第一部分  前置条件</w:t>
      </w:r>
      <w:r>
        <w:tab/>
      </w:r>
      <w:r>
        <w:fldChar w:fldCharType="begin"/>
      </w:r>
      <w:r>
        <w:instrText xml:space="preserve"> PAGEREF _Toc6156 \h </w:instrText>
      </w:r>
      <w:r>
        <w:fldChar w:fldCharType="separate"/>
      </w:r>
      <w:r>
        <w:t>10</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_Toc9919 </w:instrText>
      </w:r>
      <w:r>
        <w:rPr>
          <w:rFonts w:hint="eastAsia" w:ascii="方正小标宋简体" w:hAnsi="方正小标宋简体" w:eastAsia="方正小标宋简体" w:cs="方正小标宋简体"/>
          <w:bCs w:val="0"/>
          <w:szCs w:val="32"/>
        </w:rPr>
        <w:fldChar w:fldCharType="separate"/>
      </w:r>
      <w:r>
        <w:rPr>
          <w:rFonts w:hint="eastAsia" w:ascii="宋体" w:hAnsi="宋体" w:eastAsia="宋体" w:cs="宋体"/>
          <w:bCs/>
          <w:kern w:val="2"/>
          <w:szCs w:val="32"/>
          <w:lang w:val="en-US" w:eastAsia="zh-CN" w:bidi="ar-SA"/>
        </w:rPr>
        <w:t>一、</w:t>
      </w:r>
      <w:r>
        <w:rPr>
          <w:rFonts w:hint="eastAsia" w:ascii="宋体" w:hAnsi="宋体" w:eastAsia="宋体" w:cs="宋体"/>
          <w:bCs/>
          <w:szCs w:val="32"/>
        </w:rPr>
        <w:t>依法设置与执业</w:t>
      </w:r>
      <w:r>
        <w:tab/>
      </w:r>
      <w:r>
        <w:fldChar w:fldCharType="begin"/>
      </w:r>
      <w:r>
        <w:instrText xml:space="preserve"> PAGEREF _Toc9919 \h </w:instrText>
      </w:r>
      <w:r>
        <w:fldChar w:fldCharType="separate"/>
      </w:r>
      <w:r>
        <w:t>11</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_Toc26065 </w:instrText>
      </w:r>
      <w:r>
        <w:rPr>
          <w:rFonts w:hint="eastAsia" w:ascii="方正小标宋简体" w:hAnsi="方正小标宋简体" w:eastAsia="方正小标宋简体" w:cs="方正小标宋简体"/>
          <w:bCs w:val="0"/>
          <w:szCs w:val="32"/>
        </w:rPr>
        <w:fldChar w:fldCharType="separate"/>
      </w:r>
      <w:r>
        <w:rPr>
          <w:rFonts w:hint="eastAsia" w:ascii="宋体" w:hAnsi="宋体" w:eastAsia="宋体" w:cs="宋体"/>
          <w:bCs/>
          <w:szCs w:val="32"/>
        </w:rPr>
        <w:t>二、公益性责任和行风诚信</w:t>
      </w:r>
      <w:r>
        <w:tab/>
      </w:r>
      <w:r>
        <w:fldChar w:fldCharType="begin"/>
      </w:r>
      <w:r>
        <w:instrText xml:space="preserve"> PAGEREF _Toc26065 \h </w:instrText>
      </w:r>
      <w:r>
        <w:fldChar w:fldCharType="separate"/>
      </w:r>
      <w:r>
        <w:t>13</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_Toc29318 </w:instrText>
      </w:r>
      <w:r>
        <w:rPr>
          <w:rFonts w:hint="eastAsia" w:ascii="方正小标宋简体" w:hAnsi="方正小标宋简体" w:eastAsia="方正小标宋简体" w:cs="方正小标宋简体"/>
          <w:bCs w:val="0"/>
          <w:szCs w:val="32"/>
        </w:rPr>
        <w:fldChar w:fldCharType="separate"/>
      </w:r>
      <w:r>
        <w:rPr>
          <w:rFonts w:hint="eastAsia" w:ascii="宋体" w:hAnsi="宋体" w:eastAsia="宋体" w:cs="宋体"/>
          <w:bCs/>
          <w:kern w:val="2"/>
          <w:szCs w:val="32"/>
          <w:lang w:val="en-US" w:eastAsia="zh-CN" w:bidi="ar-SA"/>
        </w:rPr>
        <w:t>三、</w:t>
      </w:r>
      <w:r>
        <w:rPr>
          <w:rFonts w:hint="eastAsia" w:ascii="宋体" w:hAnsi="宋体" w:eastAsia="宋体" w:cs="宋体"/>
          <w:bCs/>
          <w:szCs w:val="32"/>
        </w:rPr>
        <w:t>安全管理与重大事件</w:t>
      </w:r>
      <w:r>
        <w:tab/>
      </w:r>
      <w:r>
        <w:fldChar w:fldCharType="begin"/>
      </w:r>
      <w:r>
        <w:instrText xml:space="preserve"> PAGEREF _Toc29318 \h </w:instrText>
      </w:r>
      <w:r>
        <w:fldChar w:fldCharType="separate"/>
      </w:r>
      <w:r>
        <w:t>14</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_Toc3157 </w:instrText>
      </w:r>
      <w:r>
        <w:rPr>
          <w:rFonts w:hint="eastAsia" w:ascii="方正小标宋简体" w:hAnsi="方正小标宋简体" w:eastAsia="方正小标宋简体" w:cs="方正小标宋简体"/>
          <w:bCs w:val="0"/>
          <w:szCs w:val="32"/>
        </w:rPr>
        <w:fldChar w:fldCharType="separate"/>
      </w:r>
      <w:r>
        <w:rPr>
          <w:rFonts w:hint="eastAsia" w:ascii="宋体" w:hAnsi="宋体" w:eastAsia="宋体" w:cs="宋体"/>
          <w:bCs/>
          <w:kern w:val="2"/>
          <w:szCs w:val="32"/>
          <w:lang w:val="en-US" w:eastAsia="zh-CN" w:bidi="ar-SA"/>
        </w:rPr>
        <w:t>四、</w:t>
      </w:r>
      <w:r>
        <w:rPr>
          <w:rFonts w:hint="eastAsia" w:ascii="宋体" w:hAnsi="宋体" w:eastAsia="宋体" w:cs="宋体"/>
          <w:bCs/>
          <w:szCs w:val="32"/>
        </w:rPr>
        <w:t>综合管理</w:t>
      </w:r>
      <w:r>
        <w:tab/>
      </w:r>
      <w:r>
        <w:fldChar w:fldCharType="begin"/>
      </w:r>
      <w:r>
        <w:instrText xml:space="preserve"> PAGEREF _Toc3157 \h </w:instrText>
      </w:r>
      <w:r>
        <w:fldChar w:fldCharType="separate"/>
      </w:r>
      <w:r>
        <w:t>14</w:t>
      </w:r>
      <w:r>
        <w:fldChar w:fldCharType="end"/>
      </w:r>
      <w:r>
        <w:rPr>
          <w:rFonts w:hint="eastAsia" w:ascii="方正小标宋简体" w:hAnsi="方正小标宋简体" w:eastAsia="方正小标宋简体" w:cs="方正小标宋简体"/>
          <w:bCs w:val="0"/>
          <w:color w:val="000000"/>
          <w:szCs w:val="32"/>
        </w:rPr>
        <w:fldChar w:fldCharType="end"/>
      </w:r>
    </w:p>
    <w:p>
      <w:pPr>
        <w:pStyle w:val="11"/>
        <w:tabs>
          <w:tab w:val="right" w:pos="3200"/>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_Toc26130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第二部分</w:t>
      </w:r>
      <w:r>
        <w:rPr>
          <w:rFonts w:hint="eastAsia"/>
          <w:lang w:val="en-US" w:eastAsia="zh-CN"/>
        </w:rPr>
        <w:tab/>
      </w:r>
      <w:r>
        <w:rPr>
          <w:rFonts w:hint="eastAsia"/>
          <w:lang w:val="en-US" w:eastAsia="zh-CN"/>
        </w:rPr>
        <w:t>医疗服务能力与质量安全监测数据（共600分）</w:t>
      </w:r>
      <w:r>
        <w:tab/>
      </w:r>
      <w:r>
        <w:fldChar w:fldCharType="begin"/>
      </w:r>
      <w:r>
        <w:instrText xml:space="preserve"> PAGEREF _Toc26130 \h </w:instrText>
      </w:r>
      <w:r>
        <w:fldChar w:fldCharType="separate"/>
      </w:r>
      <w:r>
        <w:t>15</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_Toc28304 </w:instrText>
      </w:r>
      <w:r>
        <w:rPr>
          <w:rFonts w:hint="eastAsia" w:ascii="方正小标宋简体" w:hAnsi="方正小标宋简体" w:eastAsia="方正小标宋简体" w:cs="方正小标宋简体"/>
          <w:bCs w:val="0"/>
          <w:szCs w:val="32"/>
        </w:rPr>
        <w:fldChar w:fldCharType="separate"/>
      </w:r>
      <w:r>
        <w:rPr>
          <w:rFonts w:hint="eastAsia"/>
        </w:rPr>
        <w:t>第一章  资源配置与运行数据指标</w:t>
      </w:r>
      <w:r>
        <w:rPr>
          <w:rFonts w:hint="eastAsia"/>
          <w:lang w:eastAsia="zh-CN"/>
        </w:rPr>
        <w:t>（</w:t>
      </w:r>
      <w:r>
        <w:rPr>
          <w:rFonts w:hint="eastAsia"/>
          <w:lang w:val="en-US" w:eastAsia="zh-CN"/>
        </w:rPr>
        <w:t>116分，加分5分</w:t>
      </w:r>
      <w:r>
        <w:rPr>
          <w:rFonts w:hint="eastAsia"/>
          <w:lang w:eastAsia="zh-CN"/>
        </w:rPr>
        <w:t>）</w:t>
      </w:r>
      <w:r>
        <w:tab/>
      </w:r>
      <w:r>
        <w:fldChar w:fldCharType="begin"/>
      </w:r>
      <w:r>
        <w:instrText xml:space="preserve"> PAGEREF _Toc28304 \h </w:instrText>
      </w:r>
      <w:r>
        <w:fldChar w:fldCharType="separate"/>
      </w:r>
      <w:r>
        <w:t>15</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_Toc12902 </w:instrText>
      </w:r>
      <w:r>
        <w:rPr>
          <w:rFonts w:hint="eastAsia" w:ascii="方正小标宋简体" w:hAnsi="方正小标宋简体" w:eastAsia="方正小标宋简体" w:cs="方正小标宋简体"/>
          <w:bCs w:val="0"/>
          <w:szCs w:val="32"/>
        </w:rPr>
        <w:fldChar w:fldCharType="separate"/>
      </w:r>
      <w:r>
        <w:rPr>
          <w:rFonts w:hint="eastAsia"/>
        </w:rPr>
        <w:t>一、床位配置</w:t>
      </w:r>
      <w:r>
        <w:rPr>
          <w:rFonts w:hint="eastAsia"/>
          <w:lang w:eastAsia="zh-CN"/>
        </w:rPr>
        <w:t>（</w:t>
      </w:r>
      <w:r>
        <w:rPr>
          <w:rFonts w:hint="eastAsia"/>
          <w:lang w:val="en-US" w:eastAsia="zh-CN"/>
        </w:rPr>
        <w:t>18分</w:t>
      </w:r>
      <w:r>
        <w:rPr>
          <w:rFonts w:hint="eastAsia"/>
          <w:lang w:eastAsia="zh-CN"/>
        </w:rPr>
        <w:t>）</w:t>
      </w:r>
      <w:r>
        <w:tab/>
      </w:r>
      <w:r>
        <w:fldChar w:fldCharType="begin"/>
      </w:r>
      <w:r>
        <w:instrText xml:space="preserve"> PAGEREF _Toc12902 \h </w:instrText>
      </w:r>
      <w:r>
        <w:fldChar w:fldCharType="separate"/>
      </w:r>
      <w:r>
        <w:t>15</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_Toc13216 </w:instrText>
      </w:r>
      <w:r>
        <w:rPr>
          <w:rFonts w:hint="eastAsia" w:ascii="方正小标宋简体" w:hAnsi="方正小标宋简体" w:eastAsia="方正小标宋简体" w:cs="方正小标宋简体"/>
          <w:bCs w:val="0"/>
          <w:szCs w:val="32"/>
        </w:rPr>
        <w:fldChar w:fldCharType="separate"/>
      </w:r>
      <w:r>
        <w:rPr>
          <w:rFonts w:hint="eastAsia"/>
        </w:rPr>
        <w:t>二、卫生技术人员配备</w:t>
      </w:r>
      <w:r>
        <w:rPr>
          <w:rFonts w:hint="eastAsia"/>
          <w:lang w:eastAsia="zh-CN"/>
        </w:rPr>
        <w:t>（</w:t>
      </w:r>
      <w:r>
        <w:rPr>
          <w:rFonts w:hint="eastAsia"/>
          <w:lang w:val="en-US" w:eastAsia="zh-CN"/>
        </w:rPr>
        <w:t>42分</w:t>
      </w:r>
      <w:r>
        <w:rPr>
          <w:rFonts w:hint="eastAsia"/>
          <w:lang w:eastAsia="zh-CN"/>
        </w:rPr>
        <w:t>）</w:t>
      </w:r>
      <w:r>
        <w:tab/>
      </w:r>
      <w:r>
        <w:fldChar w:fldCharType="begin"/>
      </w:r>
      <w:r>
        <w:instrText xml:space="preserve"> PAGEREF _Toc13216 \h </w:instrText>
      </w:r>
      <w:r>
        <w:fldChar w:fldCharType="separate"/>
      </w:r>
      <w:r>
        <w:t>16</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_Toc23472 </w:instrText>
      </w:r>
      <w:r>
        <w:rPr>
          <w:rFonts w:hint="eastAsia" w:ascii="方正小标宋简体" w:hAnsi="方正小标宋简体" w:eastAsia="方正小标宋简体" w:cs="方正小标宋简体"/>
          <w:bCs w:val="0"/>
          <w:szCs w:val="32"/>
        </w:rPr>
        <w:fldChar w:fldCharType="separate"/>
      </w:r>
      <w:r>
        <w:rPr>
          <w:rFonts w:hint="eastAsia"/>
        </w:rPr>
        <w:t>三、相关科室资源配置</w:t>
      </w:r>
      <w:r>
        <w:rPr>
          <w:rFonts w:hint="eastAsia"/>
          <w:lang w:eastAsia="zh-CN"/>
        </w:rPr>
        <w:t>（</w:t>
      </w:r>
      <w:r>
        <w:rPr>
          <w:rFonts w:hint="eastAsia"/>
          <w:lang w:val="en-US" w:eastAsia="zh-CN"/>
        </w:rPr>
        <w:t>30分</w:t>
      </w:r>
      <w:r>
        <w:rPr>
          <w:rFonts w:hint="eastAsia"/>
          <w:lang w:eastAsia="zh-CN"/>
        </w:rPr>
        <w:t>）</w:t>
      </w:r>
      <w:r>
        <w:tab/>
      </w:r>
      <w:r>
        <w:fldChar w:fldCharType="begin"/>
      </w:r>
      <w:r>
        <w:instrText xml:space="preserve"> PAGEREF _Toc23472 \h </w:instrText>
      </w:r>
      <w:r>
        <w:fldChar w:fldCharType="separate"/>
      </w:r>
      <w:r>
        <w:t>18</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_Toc27256 </w:instrText>
      </w:r>
      <w:r>
        <w:rPr>
          <w:rFonts w:hint="eastAsia" w:ascii="方正小标宋简体" w:hAnsi="方正小标宋简体" w:eastAsia="方正小标宋简体" w:cs="方正小标宋简体"/>
          <w:bCs w:val="0"/>
          <w:szCs w:val="32"/>
        </w:rPr>
        <w:fldChar w:fldCharType="separate"/>
      </w:r>
      <w:r>
        <w:rPr>
          <w:rFonts w:hint="eastAsia"/>
        </w:rPr>
        <w:t>四、运行指标</w:t>
      </w:r>
      <w:r>
        <w:rPr>
          <w:rFonts w:hint="eastAsia"/>
          <w:lang w:eastAsia="zh-CN"/>
        </w:rPr>
        <w:t>（</w:t>
      </w:r>
      <w:r>
        <w:rPr>
          <w:rFonts w:hint="eastAsia"/>
          <w:lang w:val="en-US" w:eastAsia="zh-CN"/>
        </w:rPr>
        <w:t>20分</w:t>
      </w:r>
      <w:r>
        <w:rPr>
          <w:rFonts w:hint="eastAsia"/>
          <w:lang w:eastAsia="zh-CN"/>
        </w:rPr>
        <w:t>）</w:t>
      </w:r>
      <w:r>
        <w:tab/>
      </w:r>
      <w:r>
        <w:fldChar w:fldCharType="begin"/>
      </w:r>
      <w:r>
        <w:instrText xml:space="preserve"> PAGEREF _Toc27256 \h </w:instrText>
      </w:r>
      <w:r>
        <w:fldChar w:fldCharType="separate"/>
      </w:r>
      <w:r>
        <w:t>21</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_Toc19110 </w:instrText>
      </w:r>
      <w:r>
        <w:rPr>
          <w:rFonts w:hint="eastAsia" w:ascii="方正小标宋简体" w:hAnsi="方正小标宋简体" w:eastAsia="方正小标宋简体" w:cs="方正小标宋简体"/>
          <w:bCs w:val="0"/>
          <w:szCs w:val="32"/>
        </w:rPr>
        <w:fldChar w:fldCharType="separate"/>
      </w:r>
      <w:r>
        <w:rPr>
          <w:rFonts w:hint="eastAsia"/>
        </w:rPr>
        <w:t>五、科研指标（</w:t>
      </w:r>
      <w:r>
        <w:rPr>
          <w:rFonts w:hint="eastAsia"/>
          <w:lang w:val="en-US" w:eastAsia="zh-CN"/>
        </w:rPr>
        <w:t>6</w:t>
      </w:r>
      <w:r>
        <w:rPr>
          <w:rFonts w:hint="eastAsia"/>
        </w:rPr>
        <w:t>分）</w:t>
      </w:r>
      <w:r>
        <w:tab/>
      </w:r>
      <w:r>
        <w:fldChar w:fldCharType="begin"/>
      </w:r>
      <w:r>
        <w:instrText xml:space="preserve"> PAGEREF _Toc19110 \h </w:instrText>
      </w:r>
      <w:r>
        <w:fldChar w:fldCharType="separate"/>
      </w:r>
      <w:r>
        <w:t>22</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_Toc24642 </w:instrText>
      </w:r>
      <w:r>
        <w:rPr>
          <w:rFonts w:hint="eastAsia" w:ascii="方正小标宋简体" w:hAnsi="方正小标宋简体" w:eastAsia="方正小标宋简体" w:cs="方正小标宋简体"/>
          <w:bCs w:val="0"/>
          <w:szCs w:val="32"/>
        </w:rPr>
        <w:fldChar w:fldCharType="separate"/>
      </w:r>
      <w:r>
        <w:rPr>
          <w:rFonts w:hint="eastAsia"/>
        </w:rPr>
        <w:t>第二章  医疗服务能力与医院质量安全指标</w:t>
      </w:r>
      <w:r>
        <w:rPr>
          <w:rFonts w:hint="eastAsia"/>
          <w:lang w:eastAsia="zh-CN"/>
        </w:rPr>
        <w:t>（</w:t>
      </w:r>
      <w:r>
        <w:rPr>
          <w:rFonts w:hint="eastAsia"/>
          <w:lang w:val="en-US" w:eastAsia="zh-CN"/>
        </w:rPr>
        <w:t>226分，加分3分</w:t>
      </w:r>
      <w:r>
        <w:rPr>
          <w:rFonts w:hint="eastAsia"/>
          <w:lang w:eastAsia="zh-CN"/>
        </w:rPr>
        <w:t>）</w:t>
      </w:r>
      <w:r>
        <w:tab/>
      </w:r>
      <w:r>
        <w:fldChar w:fldCharType="begin"/>
      </w:r>
      <w:r>
        <w:instrText xml:space="preserve"> PAGEREF _Toc24642 \h </w:instrText>
      </w:r>
      <w:r>
        <w:fldChar w:fldCharType="separate"/>
      </w:r>
      <w:r>
        <w:t>23</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_Toc10729 </w:instrText>
      </w:r>
      <w:r>
        <w:rPr>
          <w:rFonts w:hint="eastAsia" w:ascii="方正小标宋简体" w:hAnsi="方正小标宋简体" w:eastAsia="方正小标宋简体" w:cs="方正小标宋简体"/>
          <w:bCs w:val="0"/>
          <w:szCs w:val="32"/>
        </w:rPr>
        <w:fldChar w:fldCharType="separate"/>
      </w:r>
      <w:r>
        <w:rPr>
          <w:rFonts w:hint="eastAsia"/>
        </w:rPr>
        <w:t>一、医疗服务能力</w:t>
      </w:r>
      <w:r>
        <w:rPr>
          <w:rFonts w:hint="eastAsia"/>
          <w:lang w:eastAsia="zh-CN"/>
        </w:rPr>
        <w:t>（</w:t>
      </w:r>
      <w:r>
        <w:rPr>
          <w:rFonts w:hint="eastAsia"/>
          <w:lang w:val="en-US" w:eastAsia="zh-CN"/>
        </w:rPr>
        <w:t>72分</w:t>
      </w:r>
      <w:r>
        <w:rPr>
          <w:rFonts w:hint="eastAsia"/>
          <w:lang w:eastAsia="zh-CN"/>
        </w:rPr>
        <w:t>）</w:t>
      </w:r>
      <w:r>
        <w:tab/>
      </w:r>
      <w:r>
        <w:fldChar w:fldCharType="begin"/>
      </w:r>
      <w:r>
        <w:instrText xml:space="preserve"> PAGEREF _Toc10729 \h </w:instrText>
      </w:r>
      <w:r>
        <w:fldChar w:fldCharType="separate"/>
      </w:r>
      <w:r>
        <w:t>23</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_Toc26286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二</w:t>
      </w:r>
      <w:r>
        <w:rPr>
          <w:rFonts w:hint="eastAsia"/>
        </w:rPr>
        <w:t>、</w:t>
      </w:r>
      <w:r>
        <w:rPr>
          <w:rFonts w:hint="eastAsia"/>
          <w:lang w:val="en-US" w:eastAsia="zh-CN"/>
        </w:rPr>
        <w:t>医院</w:t>
      </w:r>
      <w:r>
        <w:rPr>
          <w:rFonts w:hint="eastAsia"/>
        </w:rPr>
        <w:t>质量指标</w:t>
      </w:r>
      <w:r>
        <w:rPr>
          <w:rFonts w:hint="eastAsia"/>
          <w:lang w:eastAsia="zh-CN"/>
        </w:rPr>
        <w:t>（</w:t>
      </w:r>
      <w:r>
        <w:rPr>
          <w:rFonts w:hint="eastAsia"/>
          <w:lang w:val="en-US" w:eastAsia="zh-CN"/>
        </w:rPr>
        <w:t>52分</w:t>
      </w:r>
      <w:r>
        <w:rPr>
          <w:rFonts w:hint="eastAsia"/>
          <w:lang w:eastAsia="zh-CN"/>
        </w:rPr>
        <w:t>）</w:t>
      </w:r>
      <w:r>
        <w:tab/>
      </w:r>
      <w:r>
        <w:fldChar w:fldCharType="begin"/>
      </w:r>
      <w:r>
        <w:instrText xml:space="preserve"> PAGEREF _Toc26286 \h </w:instrText>
      </w:r>
      <w:r>
        <w:fldChar w:fldCharType="separate"/>
      </w:r>
      <w:r>
        <w:t>27</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_Toc30624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三</w:t>
      </w:r>
      <w:r>
        <w:rPr>
          <w:rFonts w:hint="eastAsia"/>
        </w:rPr>
        <w:t>、</w:t>
      </w:r>
      <w:r>
        <w:rPr>
          <w:rFonts w:hint="eastAsia"/>
          <w:lang w:val="en-US" w:eastAsia="zh-CN"/>
        </w:rPr>
        <w:t>皮肤病防治服务</w:t>
      </w:r>
      <w:r>
        <w:rPr>
          <w:rFonts w:hint="eastAsia"/>
        </w:rPr>
        <w:t>质量指标</w:t>
      </w:r>
      <w:r>
        <w:rPr>
          <w:rFonts w:hint="eastAsia"/>
          <w:lang w:eastAsia="zh-CN"/>
        </w:rPr>
        <w:t>（</w:t>
      </w:r>
      <w:r>
        <w:rPr>
          <w:rFonts w:hint="eastAsia"/>
          <w:lang w:val="en-US" w:eastAsia="zh-CN"/>
        </w:rPr>
        <w:t>63分</w:t>
      </w:r>
      <w:r>
        <w:rPr>
          <w:rFonts w:hint="eastAsia"/>
          <w:lang w:eastAsia="zh-CN"/>
        </w:rPr>
        <w:t>）</w:t>
      </w:r>
      <w:r>
        <w:tab/>
      </w:r>
      <w:r>
        <w:fldChar w:fldCharType="begin"/>
      </w:r>
      <w:r>
        <w:instrText xml:space="preserve"> PAGEREF _Toc30624 \h </w:instrText>
      </w:r>
      <w:r>
        <w:fldChar w:fldCharType="separate"/>
      </w:r>
      <w:r>
        <w:t>29</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_Toc29112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四</w:t>
      </w:r>
      <w:r>
        <w:rPr>
          <w:rFonts w:hint="eastAsia"/>
        </w:rPr>
        <w:t>、医疗安全指标</w:t>
      </w:r>
      <w:r>
        <w:rPr>
          <w:rFonts w:hint="eastAsia"/>
          <w:lang w:eastAsia="zh-CN"/>
        </w:rPr>
        <w:t>（</w:t>
      </w:r>
      <w:r>
        <w:rPr>
          <w:rFonts w:hint="eastAsia"/>
          <w:lang w:val="en-US" w:eastAsia="zh-CN"/>
        </w:rPr>
        <w:t>39分</w:t>
      </w:r>
      <w:r>
        <w:rPr>
          <w:rFonts w:hint="eastAsia"/>
          <w:lang w:eastAsia="zh-CN"/>
        </w:rPr>
        <w:t>）</w:t>
      </w:r>
      <w:r>
        <w:tab/>
      </w:r>
      <w:r>
        <w:fldChar w:fldCharType="begin"/>
      </w:r>
      <w:r>
        <w:instrText xml:space="preserve"> PAGEREF _Toc29112 \h </w:instrText>
      </w:r>
      <w:r>
        <w:fldChar w:fldCharType="separate"/>
      </w:r>
      <w:r>
        <w:t>32</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_Toc13463 </w:instrText>
      </w:r>
      <w:r>
        <w:rPr>
          <w:rFonts w:hint="eastAsia" w:ascii="方正小标宋简体" w:hAnsi="方正小标宋简体" w:eastAsia="方正小标宋简体" w:cs="方正小标宋简体"/>
          <w:bCs w:val="0"/>
          <w:szCs w:val="32"/>
        </w:rPr>
        <w:fldChar w:fldCharType="separate"/>
      </w:r>
      <w:r>
        <w:rPr>
          <w:rFonts w:hint="eastAsia"/>
        </w:rPr>
        <w:t>第三章  重点专业质量控制指标</w:t>
      </w:r>
      <w:r>
        <w:rPr>
          <w:rFonts w:hint="eastAsia"/>
          <w:lang w:eastAsia="zh-CN"/>
        </w:rPr>
        <w:t>（</w:t>
      </w:r>
      <w:r>
        <w:rPr>
          <w:rFonts w:hint="eastAsia"/>
          <w:lang w:val="en-US" w:eastAsia="zh-CN"/>
        </w:rPr>
        <w:t>200分</w:t>
      </w:r>
      <w:r>
        <w:rPr>
          <w:rFonts w:hint="eastAsia"/>
          <w:lang w:eastAsia="zh-CN"/>
        </w:rPr>
        <w:t>）</w:t>
      </w:r>
      <w:r>
        <w:tab/>
      </w:r>
      <w:r>
        <w:fldChar w:fldCharType="begin"/>
      </w:r>
      <w:r>
        <w:instrText xml:space="preserve"> PAGEREF _Toc13463 \h </w:instrText>
      </w:r>
      <w:r>
        <w:fldChar w:fldCharType="separate"/>
      </w:r>
      <w:r>
        <w:t>34</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_Toc28851 </w:instrText>
      </w:r>
      <w:r>
        <w:rPr>
          <w:rFonts w:hint="eastAsia" w:ascii="方正小标宋简体" w:hAnsi="方正小标宋简体" w:eastAsia="方正小标宋简体" w:cs="方正小标宋简体"/>
          <w:bCs w:val="0"/>
          <w:szCs w:val="32"/>
        </w:rPr>
        <w:fldChar w:fldCharType="separate"/>
      </w:r>
      <w:r>
        <w:rPr>
          <w:rFonts w:hint="eastAsia"/>
        </w:rPr>
        <w:t>一、</w:t>
      </w:r>
      <w:r>
        <w:rPr>
          <w:rFonts w:hint="eastAsia"/>
          <w:lang w:val="en-US" w:eastAsia="zh-CN"/>
        </w:rPr>
        <w:t>皮肤病</w:t>
      </w:r>
      <w:r>
        <w:rPr>
          <w:rFonts w:hint="eastAsia"/>
        </w:rPr>
        <w:t>专业医疗质量控制指标</w:t>
      </w:r>
      <w:r>
        <w:rPr>
          <w:rFonts w:hint="eastAsia"/>
          <w:lang w:eastAsia="zh-CN"/>
        </w:rPr>
        <w:t>（</w:t>
      </w:r>
      <w:r>
        <w:rPr>
          <w:rFonts w:hint="eastAsia"/>
          <w:lang w:val="en-US" w:eastAsia="zh-CN"/>
        </w:rPr>
        <w:t>30分</w:t>
      </w:r>
      <w:r>
        <w:rPr>
          <w:rFonts w:hint="eastAsia"/>
          <w:lang w:eastAsia="zh-CN"/>
        </w:rPr>
        <w:t>）</w:t>
      </w:r>
      <w:r>
        <w:tab/>
      </w:r>
      <w:r>
        <w:fldChar w:fldCharType="begin"/>
      </w:r>
      <w:r>
        <w:instrText xml:space="preserve"> PAGEREF _Toc28851 \h </w:instrText>
      </w:r>
      <w:r>
        <w:fldChar w:fldCharType="separate"/>
      </w:r>
      <w:r>
        <w:t>34</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_Toc9640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二、性病专业医疗质量控制指标（16分）</w:t>
      </w:r>
      <w:r>
        <w:tab/>
      </w:r>
      <w:r>
        <w:fldChar w:fldCharType="begin"/>
      </w:r>
      <w:r>
        <w:instrText xml:space="preserve"> PAGEREF _Toc9640 \h </w:instrText>
      </w:r>
      <w:r>
        <w:fldChar w:fldCharType="separate"/>
      </w:r>
      <w:r>
        <w:t>37</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_Toc9370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三</w:t>
      </w:r>
      <w:r>
        <w:rPr>
          <w:rFonts w:hint="eastAsia"/>
        </w:rPr>
        <w:t>、</w:t>
      </w:r>
      <w:r>
        <w:rPr>
          <w:rFonts w:hint="eastAsia"/>
          <w:lang w:val="en-US" w:eastAsia="zh-CN"/>
        </w:rPr>
        <w:t>医疗美容专业</w:t>
      </w:r>
      <w:r>
        <w:rPr>
          <w:rFonts w:hint="eastAsia"/>
        </w:rPr>
        <w:t>医疗质量控制指标（</w:t>
      </w:r>
      <w:r>
        <w:rPr>
          <w:rFonts w:hint="eastAsia"/>
          <w:lang w:val="en-US" w:eastAsia="zh-CN"/>
        </w:rPr>
        <w:t>19</w:t>
      </w:r>
      <w:r>
        <w:rPr>
          <w:rFonts w:hint="eastAsia"/>
        </w:rPr>
        <w:t>分）</w:t>
      </w:r>
      <w:r>
        <w:tab/>
      </w:r>
      <w:r>
        <w:fldChar w:fldCharType="begin"/>
      </w:r>
      <w:r>
        <w:instrText xml:space="preserve"> PAGEREF _Toc9370 \h </w:instrText>
      </w:r>
      <w:r>
        <w:fldChar w:fldCharType="separate"/>
      </w:r>
      <w:r>
        <w:t>39</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_Toc325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四</w:t>
      </w:r>
      <w:r>
        <w:rPr>
          <w:rFonts w:hint="eastAsia"/>
        </w:rPr>
        <w:t>、</w:t>
      </w:r>
      <w:r>
        <w:rPr>
          <w:rFonts w:hint="eastAsia"/>
          <w:lang w:val="en-US" w:eastAsia="zh-CN"/>
        </w:rPr>
        <w:t>外科</w:t>
      </w:r>
      <w:r>
        <w:rPr>
          <w:rFonts w:hint="eastAsia"/>
        </w:rPr>
        <w:t>专业医疗质量控制指标（</w:t>
      </w:r>
      <w:r>
        <w:rPr>
          <w:rFonts w:hint="eastAsia"/>
          <w:lang w:val="en-US" w:eastAsia="zh-CN"/>
        </w:rPr>
        <w:t>18</w:t>
      </w:r>
      <w:r>
        <w:rPr>
          <w:rFonts w:hint="eastAsia"/>
        </w:rPr>
        <w:t>分）</w:t>
      </w:r>
      <w:r>
        <w:tab/>
      </w:r>
      <w:r>
        <w:fldChar w:fldCharType="begin"/>
      </w:r>
      <w:r>
        <w:instrText xml:space="preserve"> PAGEREF _Toc325 \h </w:instrText>
      </w:r>
      <w:r>
        <w:fldChar w:fldCharType="separate"/>
      </w:r>
      <w:r>
        <w:t>41</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_Toc1522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五</w:t>
      </w:r>
      <w:r>
        <w:rPr>
          <w:rFonts w:hint="eastAsia"/>
        </w:rPr>
        <w:t>、临床检验专业医疗质量控制指标（</w:t>
      </w:r>
      <w:r>
        <w:rPr>
          <w:rFonts w:hint="eastAsia"/>
          <w:lang w:val="en-US" w:eastAsia="zh-CN"/>
        </w:rPr>
        <w:t>28</w:t>
      </w:r>
      <w:r>
        <w:rPr>
          <w:rFonts w:hint="eastAsia"/>
        </w:rPr>
        <w:t>分）</w:t>
      </w:r>
      <w:r>
        <w:tab/>
      </w:r>
      <w:r>
        <w:fldChar w:fldCharType="begin"/>
      </w:r>
      <w:r>
        <w:instrText xml:space="preserve"> PAGEREF _Toc1522 \h </w:instrText>
      </w:r>
      <w:r>
        <w:fldChar w:fldCharType="separate"/>
      </w:r>
      <w:r>
        <w:t>43</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_Toc29261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六</w:t>
      </w:r>
      <w:r>
        <w:rPr>
          <w:rFonts w:hint="eastAsia"/>
        </w:rPr>
        <w:t>、</w:t>
      </w:r>
      <w:r>
        <w:rPr>
          <w:rFonts w:hint="eastAsia"/>
          <w:lang w:val="en-US" w:eastAsia="zh-CN"/>
        </w:rPr>
        <w:t>病理专业</w:t>
      </w:r>
      <w:r>
        <w:rPr>
          <w:rFonts w:hint="eastAsia"/>
        </w:rPr>
        <w:t>质量控制指标</w:t>
      </w:r>
      <w:r>
        <w:rPr>
          <w:rFonts w:hint="eastAsia"/>
          <w:lang w:eastAsia="zh-CN"/>
        </w:rPr>
        <w:t>（</w:t>
      </w:r>
      <w:r>
        <w:rPr>
          <w:rFonts w:hint="eastAsia"/>
          <w:lang w:val="en-US" w:eastAsia="zh-CN"/>
        </w:rPr>
        <w:t>22分</w:t>
      </w:r>
      <w:r>
        <w:rPr>
          <w:rFonts w:hint="eastAsia"/>
          <w:lang w:eastAsia="zh-CN"/>
        </w:rPr>
        <w:t>）</w:t>
      </w:r>
      <w:r>
        <w:tab/>
      </w:r>
      <w:r>
        <w:fldChar w:fldCharType="begin"/>
      </w:r>
      <w:r>
        <w:instrText xml:space="preserve"> PAGEREF _Toc29261 \h </w:instrText>
      </w:r>
      <w:r>
        <w:fldChar w:fldCharType="separate"/>
      </w:r>
      <w:r>
        <w:t>46</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_Toc7882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七</w:t>
      </w:r>
      <w:r>
        <w:rPr>
          <w:rFonts w:hint="eastAsia"/>
        </w:rPr>
        <w:t>、医院感染管理医疗质量控制指标</w:t>
      </w:r>
      <w:r>
        <w:rPr>
          <w:rFonts w:hint="eastAsia"/>
          <w:lang w:eastAsia="zh-CN"/>
        </w:rPr>
        <w:t>（</w:t>
      </w:r>
      <w:r>
        <w:rPr>
          <w:rFonts w:hint="eastAsia"/>
          <w:lang w:val="en-US" w:eastAsia="zh-CN"/>
        </w:rPr>
        <w:t>10分</w:t>
      </w:r>
      <w:r>
        <w:rPr>
          <w:rFonts w:hint="eastAsia"/>
          <w:lang w:eastAsia="zh-CN"/>
        </w:rPr>
        <w:t>）</w:t>
      </w:r>
      <w:r>
        <w:tab/>
      </w:r>
      <w:r>
        <w:fldChar w:fldCharType="begin"/>
      </w:r>
      <w:r>
        <w:instrText xml:space="preserve"> PAGEREF _Toc7882 \h </w:instrText>
      </w:r>
      <w:r>
        <w:fldChar w:fldCharType="separate"/>
      </w:r>
      <w:r>
        <w:t>48</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_Toc25239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八</w:t>
      </w:r>
      <w:r>
        <w:rPr>
          <w:rFonts w:hint="eastAsia"/>
        </w:rPr>
        <w:t>、护理专业医疗质量控制指标</w:t>
      </w:r>
      <w:r>
        <w:rPr>
          <w:rFonts w:hint="eastAsia"/>
          <w:lang w:eastAsia="zh-CN"/>
        </w:rPr>
        <w:t>（</w:t>
      </w:r>
      <w:r>
        <w:rPr>
          <w:rFonts w:hint="eastAsia"/>
          <w:lang w:val="en-US" w:eastAsia="zh-CN"/>
        </w:rPr>
        <w:t>22分</w:t>
      </w:r>
      <w:r>
        <w:rPr>
          <w:rFonts w:hint="eastAsia"/>
          <w:lang w:eastAsia="zh-CN"/>
        </w:rPr>
        <w:t>）</w:t>
      </w:r>
      <w:r>
        <w:tab/>
      </w:r>
      <w:r>
        <w:fldChar w:fldCharType="begin"/>
      </w:r>
      <w:r>
        <w:instrText xml:space="preserve"> PAGEREF _Toc25239 \h </w:instrText>
      </w:r>
      <w:r>
        <w:fldChar w:fldCharType="separate"/>
      </w:r>
      <w:r>
        <w:t>49</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_Toc8597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九</w:t>
      </w:r>
      <w:r>
        <w:rPr>
          <w:rFonts w:hint="eastAsia"/>
        </w:rPr>
        <w:t>、药事管理专业医疗质量控制指标（</w:t>
      </w:r>
      <w:r>
        <w:rPr>
          <w:rFonts w:hint="eastAsia"/>
          <w:lang w:val="en-US" w:eastAsia="zh-CN"/>
        </w:rPr>
        <w:t>10</w:t>
      </w:r>
      <w:r>
        <w:rPr>
          <w:rFonts w:hint="eastAsia"/>
        </w:rPr>
        <w:t>分）</w:t>
      </w:r>
      <w:r>
        <w:tab/>
      </w:r>
      <w:r>
        <w:fldChar w:fldCharType="begin"/>
      </w:r>
      <w:r>
        <w:instrText xml:space="preserve"> PAGEREF _Toc8597 \h </w:instrText>
      </w:r>
      <w:r>
        <w:fldChar w:fldCharType="separate"/>
      </w:r>
      <w:r>
        <w:t>51</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_Toc21212 </w:instrText>
      </w:r>
      <w:r>
        <w:rPr>
          <w:rFonts w:hint="eastAsia" w:ascii="方正小标宋简体" w:hAnsi="方正小标宋简体" w:eastAsia="方正小标宋简体" w:cs="方正小标宋简体"/>
          <w:bCs w:val="0"/>
          <w:szCs w:val="32"/>
        </w:rPr>
        <w:fldChar w:fldCharType="separate"/>
      </w:r>
      <w:r>
        <w:rPr>
          <w:rFonts w:hint="eastAsia" w:ascii="Times New Roman" w:hAnsi="Times New Roman" w:eastAsia="宋体" w:cs="Times New Roman"/>
          <w:bCs/>
          <w:kern w:val="2"/>
          <w:szCs w:val="28"/>
          <w:lang w:val="en-US" w:eastAsia="zh-CN" w:bidi="ar-SA"/>
        </w:rPr>
        <w:t>十、</w:t>
      </w:r>
      <w:r>
        <w:rPr>
          <w:rFonts w:hint="eastAsia"/>
        </w:rPr>
        <w:t>医学影像专业质量控制指标（</w:t>
      </w:r>
      <w:r>
        <w:rPr>
          <w:rFonts w:hint="eastAsia"/>
          <w:lang w:val="en-US" w:eastAsia="zh-CN"/>
        </w:rPr>
        <w:t>16</w:t>
      </w:r>
      <w:r>
        <w:rPr>
          <w:rFonts w:hint="eastAsia"/>
        </w:rPr>
        <w:t>分）</w:t>
      </w:r>
      <w:r>
        <w:tab/>
      </w:r>
      <w:r>
        <w:fldChar w:fldCharType="begin"/>
      </w:r>
      <w:r>
        <w:instrText xml:space="preserve"> PAGEREF _Toc21212 \h </w:instrText>
      </w:r>
      <w:r>
        <w:fldChar w:fldCharType="separate"/>
      </w:r>
      <w:r>
        <w:t>53</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_Toc3057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十一</w:t>
      </w:r>
      <w:r>
        <w:rPr>
          <w:rFonts w:hint="eastAsia"/>
        </w:rPr>
        <w:t>、</w:t>
      </w:r>
      <w:r>
        <w:rPr>
          <w:rFonts w:hint="eastAsia"/>
          <w:lang w:val="en-US" w:eastAsia="zh-CN"/>
        </w:rPr>
        <w:t>病案管理</w:t>
      </w:r>
      <w:r>
        <w:rPr>
          <w:rFonts w:hint="eastAsia"/>
        </w:rPr>
        <w:t>质量控制指标</w:t>
      </w:r>
      <w:r>
        <w:rPr>
          <w:rFonts w:hint="eastAsia"/>
          <w:lang w:eastAsia="zh-CN"/>
        </w:rPr>
        <w:t>（</w:t>
      </w:r>
      <w:r>
        <w:rPr>
          <w:rFonts w:hint="eastAsia"/>
          <w:lang w:val="en-US" w:eastAsia="zh-CN"/>
        </w:rPr>
        <w:t>9分）</w:t>
      </w:r>
      <w:r>
        <w:tab/>
      </w:r>
      <w:r>
        <w:fldChar w:fldCharType="begin"/>
      </w:r>
      <w:r>
        <w:instrText xml:space="preserve"> PAGEREF _Toc3057 \h </w:instrText>
      </w:r>
      <w:r>
        <w:fldChar w:fldCharType="separate"/>
      </w:r>
      <w:r>
        <w:t>55</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_Toc29414 </w:instrText>
      </w:r>
      <w:r>
        <w:rPr>
          <w:rFonts w:hint="eastAsia" w:ascii="方正小标宋简体" w:hAnsi="方正小标宋简体" w:eastAsia="方正小标宋简体" w:cs="方正小标宋简体"/>
          <w:bCs w:val="0"/>
          <w:szCs w:val="32"/>
        </w:rPr>
        <w:fldChar w:fldCharType="separate"/>
      </w:r>
      <w:r>
        <w:rPr>
          <w:rFonts w:hint="eastAsia"/>
        </w:rPr>
        <w:t>第四章  单病种（术种）质量控制指标</w:t>
      </w:r>
      <w:r>
        <w:rPr>
          <w:rFonts w:hint="eastAsia"/>
          <w:lang w:eastAsia="zh-CN"/>
        </w:rPr>
        <w:t>（</w:t>
      </w:r>
      <w:r>
        <w:rPr>
          <w:rFonts w:hint="eastAsia"/>
          <w:lang w:val="en-US" w:eastAsia="zh-CN"/>
        </w:rPr>
        <w:t>58分</w:t>
      </w:r>
      <w:r>
        <w:rPr>
          <w:rFonts w:hint="eastAsia"/>
          <w:lang w:eastAsia="zh-CN"/>
        </w:rPr>
        <w:t>）</w:t>
      </w:r>
      <w:r>
        <w:tab/>
      </w:r>
      <w:r>
        <w:fldChar w:fldCharType="begin"/>
      </w:r>
      <w:r>
        <w:instrText xml:space="preserve"> PAGEREF _Toc29414 \h </w:instrText>
      </w:r>
      <w:r>
        <w:fldChar w:fldCharType="separate"/>
      </w:r>
      <w:r>
        <w:t>58</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_Toc23709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一、单病种质量控制指标（15分）</w:t>
      </w:r>
      <w:r>
        <w:tab/>
      </w:r>
      <w:r>
        <w:fldChar w:fldCharType="begin"/>
      </w:r>
      <w:r>
        <w:instrText xml:space="preserve"> PAGEREF _Toc23709 \h </w:instrText>
      </w:r>
      <w:r>
        <w:fldChar w:fldCharType="separate"/>
      </w:r>
      <w:r>
        <w:t>58</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_Toc1062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二</w:t>
      </w:r>
      <w:r>
        <w:rPr>
          <w:rFonts w:hint="eastAsia"/>
        </w:rPr>
        <w:t>、</w:t>
      </w:r>
      <w:r>
        <w:rPr>
          <w:rFonts w:hint="eastAsia"/>
          <w:lang w:val="en-US" w:eastAsia="zh-CN"/>
        </w:rPr>
        <w:t>重点监测病种质量控制指标（28分）</w:t>
      </w:r>
      <w:r>
        <w:tab/>
      </w:r>
      <w:r>
        <w:fldChar w:fldCharType="begin"/>
      </w:r>
      <w:r>
        <w:instrText xml:space="preserve"> PAGEREF _Toc1062 \h </w:instrText>
      </w:r>
      <w:r>
        <w:fldChar w:fldCharType="separate"/>
      </w:r>
      <w:r>
        <w:t>60</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_Toc24108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三</w:t>
      </w:r>
      <w:r>
        <w:rPr>
          <w:rFonts w:hint="eastAsia"/>
        </w:rPr>
        <w:t>、</w:t>
      </w:r>
      <w:r>
        <w:rPr>
          <w:rFonts w:hint="eastAsia"/>
          <w:lang w:val="en-US" w:eastAsia="zh-CN"/>
        </w:rPr>
        <w:t>重点监测术种质量控制指标（15分）</w:t>
      </w:r>
      <w:r>
        <w:tab/>
      </w:r>
      <w:r>
        <w:fldChar w:fldCharType="begin"/>
      </w:r>
      <w:r>
        <w:instrText xml:space="preserve"> PAGEREF _Toc24108 \h </w:instrText>
      </w:r>
      <w:r>
        <w:fldChar w:fldCharType="separate"/>
      </w:r>
      <w:r>
        <w:t>63</w:t>
      </w:r>
      <w:r>
        <w:fldChar w:fldCharType="end"/>
      </w:r>
      <w:r>
        <w:rPr>
          <w:rFonts w:hint="eastAsia" w:ascii="方正小标宋简体" w:hAnsi="方正小标宋简体" w:eastAsia="方正小标宋简体" w:cs="方正小标宋简体"/>
          <w:bCs w:val="0"/>
          <w:color w:val="000000"/>
          <w:szCs w:val="32"/>
        </w:rPr>
        <w:fldChar w:fldCharType="end"/>
      </w:r>
    </w:p>
    <w:p>
      <w:pPr>
        <w:pStyle w:val="11"/>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_Toc8746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第三部分   现场检查（共400分）</w:t>
      </w:r>
      <w:r>
        <w:tab/>
      </w:r>
      <w:r>
        <w:fldChar w:fldCharType="begin"/>
      </w:r>
      <w:r>
        <w:instrText xml:space="preserve"> PAGEREF _Toc8746 \h </w:instrText>
      </w:r>
      <w:r>
        <w:fldChar w:fldCharType="separate"/>
      </w:r>
      <w:r>
        <w:t>65</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_Toc21554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 xml:space="preserve">第一章 </w:t>
      </w:r>
      <w:r>
        <w:rPr>
          <w:rFonts w:hint="eastAsia"/>
        </w:rPr>
        <w:t>医院功能与任务（</w:t>
      </w:r>
      <w:r>
        <w:rPr>
          <w:rFonts w:hint="eastAsia"/>
          <w:lang w:val="en-US" w:eastAsia="zh-CN"/>
        </w:rPr>
        <w:t>32</w:t>
      </w:r>
      <w:r>
        <w:rPr>
          <w:rFonts w:hint="eastAsia"/>
        </w:rPr>
        <w:t>分）</w:t>
      </w:r>
      <w:r>
        <w:tab/>
      </w:r>
      <w:r>
        <w:fldChar w:fldCharType="begin"/>
      </w:r>
      <w:r>
        <w:instrText xml:space="preserve"> PAGEREF _Toc21554 \h </w:instrText>
      </w:r>
      <w:r>
        <w:fldChar w:fldCharType="separate"/>
      </w:r>
      <w:r>
        <w:t>65</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_Toc10115 </w:instrText>
      </w:r>
      <w:r>
        <w:rPr>
          <w:rFonts w:hint="eastAsia" w:ascii="方正小标宋简体" w:hAnsi="方正小标宋简体" w:eastAsia="方正小标宋简体" w:cs="方正小标宋简体"/>
          <w:bCs w:val="0"/>
          <w:szCs w:val="32"/>
        </w:rPr>
        <w:fldChar w:fldCharType="separate"/>
      </w:r>
      <w:r>
        <w:rPr>
          <w:rFonts w:hint="eastAsia"/>
        </w:rPr>
        <w:t>一、</w:t>
      </w:r>
      <w:r>
        <w:rPr>
          <w:rFonts w:hint="eastAsia"/>
          <w:lang w:val="en-US" w:eastAsia="zh-CN"/>
        </w:rPr>
        <w:t>依据</w:t>
      </w:r>
      <w:r>
        <w:rPr>
          <w:rFonts w:hint="eastAsia"/>
        </w:rPr>
        <w:t>医院的功能任务，确定医院的发展目标和中长期发展规划</w:t>
      </w:r>
      <w:r>
        <w:rPr>
          <w:rFonts w:hint="eastAsia"/>
          <w:lang w:val="en-US" w:eastAsia="zh-CN"/>
        </w:rPr>
        <w:t>（6分）</w:t>
      </w:r>
      <w:r>
        <w:tab/>
      </w:r>
      <w:r>
        <w:fldChar w:fldCharType="begin"/>
      </w:r>
      <w:r>
        <w:instrText xml:space="preserve"> PAGEREF _Toc10115 \h </w:instrText>
      </w:r>
      <w:r>
        <w:fldChar w:fldCharType="separate"/>
      </w:r>
      <w:r>
        <w:t>65</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_Toc1794 </w:instrText>
      </w:r>
      <w:r>
        <w:rPr>
          <w:rFonts w:hint="eastAsia" w:ascii="方正小标宋简体" w:hAnsi="方正小标宋简体" w:eastAsia="方正小标宋简体" w:cs="方正小标宋简体"/>
          <w:bCs w:val="0"/>
          <w:szCs w:val="32"/>
        </w:rPr>
        <w:fldChar w:fldCharType="separate"/>
      </w:r>
      <w:r>
        <w:rPr>
          <w:rFonts w:hint="eastAsia"/>
          <w:lang w:eastAsia="zh-CN"/>
        </w:rPr>
        <w:t>二、</w:t>
      </w:r>
      <w:r>
        <w:rPr>
          <w:rFonts w:hint="eastAsia"/>
        </w:rPr>
        <w:t>坚持医院的公益性，把社会效益放在首位，履行相应的社会责任和义务</w:t>
      </w:r>
      <w:r>
        <w:rPr>
          <w:rFonts w:hint="eastAsia"/>
          <w:lang w:eastAsia="zh-CN"/>
        </w:rPr>
        <w:t>（</w:t>
      </w:r>
      <w:r>
        <w:rPr>
          <w:rFonts w:hint="eastAsia"/>
          <w:lang w:val="en-US" w:eastAsia="zh-CN"/>
        </w:rPr>
        <w:t>7分）</w:t>
      </w:r>
      <w:r>
        <w:tab/>
      </w:r>
      <w:r>
        <w:fldChar w:fldCharType="begin"/>
      </w:r>
      <w:r>
        <w:instrText xml:space="preserve"> PAGEREF _Toc1794 \h </w:instrText>
      </w:r>
      <w:r>
        <w:fldChar w:fldCharType="separate"/>
      </w:r>
      <w:r>
        <w:t>67</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_Toc23325 </w:instrText>
      </w:r>
      <w:r>
        <w:rPr>
          <w:rFonts w:hint="eastAsia" w:ascii="方正小标宋简体" w:hAnsi="方正小标宋简体" w:eastAsia="方正小标宋简体" w:cs="方正小标宋简体"/>
          <w:bCs w:val="0"/>
          <w:szCs w:val="32"/>
        </w:rPr>
        <w:fldChar w:fldCharType="separate"/>
      </w:r>
      <w:r>
        <w:rPr>
          <w:rFonts w:hint="eastAsia"/>
          <w:lang w:eastAsia="zh-CN"/>
        </w:rPr>
        <w:t>三、</w:t>
      </w:r>
      <w:r>
        <w:rPr>
          <w:rFonts w:hint="eastAsia"/>
        </w:rPr>
        <w:t>促进医疗资源下沉，完成政府指令性任务</w:t>
      </w:r>
      <w:r>
        <w:rPr>
          <w:rFonts w:hint="eastAsia"/>
          <w:lang w:eastAsia="zh-CN"/>
        </w:rPr>
        <w:t>（</w:t>
      </w:r>
      <w:r>
        <w:rPr>
          <w:rFonts w:hint="eastAsia"/>
          <w:lang w:val="en-US" w:eastAsia="zh-CN"/>
        </w:rPr>
        <w:t>3.5</w:t>
      </w:r>
      <w:r>
        <w:rPr>
          <w:rFonts w:hint="eastAsia"/>
        </w:rPr>
        <w:t>分</w:t>
      </w:r>
      <w:r>
        <w:rPr>
          <w:rFonts w:hint="eastAsia"/>
          <w:lang w:eastAsia="zh-CN"/>
        </w:rPr>
        <w:t>）</w:t>
      </w:r>
      <w:r>
        <w:tab/>
      </w:r>
      <w:r>
        <w:fldChar w:fldCharType="begin"/>
      </w:r>
      <w:r>
        <w:instrText xml:space="preserve"> PAGEREF _Toc23325 \h </w:instrText>
      </w:r>
      <w:r>
        <w:fldChar w:fldCharType="separate"/>
      </w:r>
      <w:r>
        <w:t>69</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_Toc18999 </w:instrText>
      </w:r>
      <w:r>
        <w:rPr>
          <w:rFonts w:hint="eastAsia" w:ascii="方正小标宋简体" w:hAnsi="方正小标宋简体" w:eastAsia="方正小标宋简体" w:cs="方正小标宋简体"/>
          <w:bCs w:val="0"/>
          <w:szCs w:val="32"/>
        </w:rPr>
        <w:fldChar w:fldCharType="separate"/>
      </w:r>
      <w:r>
        <w:rPr>
          <w:rFonts w:hint="eastAsia"/>
          <w:lang w:eastAsia="zh-CN"/>
        </w:rPr>
        <w:t>四、</w:t>
      </w:r>
      <w:r>
        <w:rPr>
          <w:rFonts w:hint="eastAsia"/>
        </w:rPr>
        <w:t>承担突发公共卫生事件和重大事故灾害的紧急医疗救援与紧急救治</w:t>
      </w:r>
      <w:r>
        <w:rPr>
          <w:rFonts w:hint="eastAsia"/>
          <w:lang w:eastAsia="zh-CN"/>
        </w:rPr>
        <w:t>（</w:t>
      </w:r>
      <w:r>
        <w:rPr>
          <w:rFonts w:hint="eastAsia"/>
          <w:lang w:val="en-US" w:eastAsia="zh-CN"/>
        </w:rPr>
        <w:t>1.5分</w:t>
      </w:r>
      <w:r>
        <w:rPr>
          <w:rFonts w:hint="eastAsia"/>
          <w:lang w:eastAsia="zh-CN"/>
        </w:rPr>
        <w:t>）</w:t>
      </w:r>
      <w:r>
        <w:tab/>
      </w:r>
      <w:r>
        <w:fldChar w:fldCharType="begin"/>
      </w:r>
      <w:r>
        <w:instrText xml:space="preserve"> PAGEREF _Toc18999 \h </w:instrText>
      </w:r>
      <w:r>
        <w:fldChar w:fldCharType="separate"/>
      </w:r>
      <w:r>
        <w:t>70</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_Toc12567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五、承担麻风病、性病防治社会责任（14分）</w:t>
      </w:r>
      <w:r>
        <w:tab/>
      </w:r>
      <w:r>
        <w:fldChar w:fldCharType="begin"/>
      </w:r>
      <w:r>
        <w:instrText xml:space="preserve"> PAGEREF _Toc12567 \h </w:instrText>
      </w:r>
      <w:r>
        <w:fldChar w:fldCharType="separate"/>
      </w:r>
      <w:r>
        <w:t>71</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_Toc15514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第二章　临床服务质量与安全管理（272分）</w:t>
      </w:r>
      <w:r>
        <w:rPr>
          <w:highlight w:val="none"/>
        </w:rPr>
        <w:tab/>
      </w:r>
      <w:r>
        <w:rPr>
          <w:highlight w:val="none"/>
        </w:rPr>
        <w:fldChar w:fldCharType="begin"/>
      </w:r>
      <w:r>
        <w:rPr>
          <w:highlight w:val="none"/>
        </w:rPr>
        <w:instrText xml:space="preserve"> PAGEREF _Toc15514 \h </w:instrText>
      </w:r>
      <w:r>
        <w:rPr>
          <w:highlight w:val="none"/>
        </w:rPr>
        <w:fldChar w:fldCharType="separate"/>
      </w:r>
      <w:r>
        <w:rPr>
          <w:highlight w:val="none"/>
        </w:rPr>
        <w:t>74</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_Toc925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 xml:space="preserve">一、 </w:t>
      </w:r>
      <w:r>
        <w:rPr>
          <w:rFonts w:hint="eastAsia"/>
          <w:highlight w:val="none"/>
        </w:rPr>
        <w:t>医疗质量管理体系和工作机制（</w:t>
      </w:r>
      <w:r>
        <w:rPr>
          <w:rFonts w:hint="eastAsia"/>
          <w:highlight w:val="none"/>
          <w:lang w:val="en-US" w:eastAsia="zh-CN"/>
        </w:rPr>
        <w:t>34</w:t>
      </w:r>
      <w:r>
        <w:rPr>
          <w:rFonts w:hint="eastAsia"/>
          <w:highlight w:val="none"/>
        </w:rPr>
        <w:t>分）</w:t>
      </w:r>
      <w:r>
        <w:rPr>
          <w:highlight w:val="none"/>
        </w:rPr>
        <w:tab/>
      </w:r>
      <w:r>
        <w:rPr>
          <w:highlight w:val="none"/>
        </w:rPr>
        <w:fldChar w:fldCharType="begin"/>
      </w:r>
      <w:r>
        <w:rPr>
          <w:highlight w:val="none"/>
        </w:rPr>
        <w:instrText xml:space="preserve"> PAGEREF _Toc925 \h </w:instrText>
      </w:r>
      <w:r>
        <w:rPr>
          <w:highlight w:val="none"/>
        </w:rPr>
        <w:fldChar w:fldCharType="separate"/>
      </w:r>
      <w:r>
        <w:rPr>
          <w:highlight w:val="none"/>
        </w:rPr>
        <w:t>74</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_Toc13346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eastAsia="zh-CN"/>
        </w:rPr>
        <w:t>二、</w:t>
      </w:r>
      <w:r>
        <w:rPr>
          <w:rFonts w:hint="eastAsia"/>
          <w:highlight w:val="none"/>
        </w:rPr>
        <w:t>医疗质量安全核心制度（</w:t>
      </w:r>
      <w:r>
        <w:rPr>
          <w:rFonts w:hint="eastAsia"/>
          <w:highlight w:val="none"/>
          <w:lang w:val="en-US" w:eastAsia="zh-CN"/>
        </w:rPr>
        <w:t>31</w:t>
      </w:r>
      <w:r>
        <w:rPr>
          <w:rFonts w:hint="eastAsia"/>
          <w:highlight w:val="none"/>
        </w:rPr>
        <w:t>分）</w:t>
      </w:r>
      <w:r>
        <w:rPr>
          <w:highlight w:val="none"/>
        </w:rPr>
        <w:tab/>
      </w:r>
      <w:r>
        <w:rPr>
          <w:highlight w:val="none"/>
        </w:rPr>
        <w:fldChar w:fldCharType="begin"/>
      </w:r>
      <w:r>
        <w:rPr>
          <w:highlight w:val="none"/>
        </w:rPr>
        <w:instrText xml:space="preserve"> PAGEREF _Toc13346 \h </w:instrText>
      </w:r>
      <w:r>
        <w:rPr>
          <w:highlight w:val="none"/>
        </w:rPr>
        <w:fldChar w:fldCharType="separate"/>
      </w:r>
      <w:r>
        <w:rPr>
          <w:highlight w:val="none"/>
        </w:rPr>
        <w:t>83</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_Toc2900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三、</w:t>
      </w:r>
      <w:r>
        <w:rPr>
          <w:rFonts w:hint="eastAsia"/>
          <w:highlight w:val="none"/>
        </w:rPr>
        <w:t>医疗技术临床应用管理</w:t>
      </w:r>
      <w:r>
        <w:rPr>
          <w:rFonts w:hint="eastAsia"/>
          <w:highlight w:val="none"/>
          <w:lang w:eastAsia="zh-CN"/>
        </w:rPr>
        <w:t>（</w:t>
      </w:r>
      <w:r>
        <w:rPr>
          <w:rFonts w:hint="eastAsia"/>
          <w:highlight w:val="none"/>
          <w:lang w:val="en-US" w:eastAsia="zh-CN"/>
        </w:rPr>
        <w:t>22</w:t>
      </w:r>
      <w:r>
        <w:rPr>
          <w:rFonts w:hint="eastAsia"/>
          <w:highlight w:val="none"/>
        </w:rPr>
        <w:t>分）</w:t>
      </w:r>
      <w:r>
        <w:rPr>
          <w:highlight w:val="none"/>
        </w:rPr>
        <w:tab/>
      </w:r>
      <w:r>
        <w:rPr>
          <w:highlight w:val="none"/>
        </w:rPr>
        <w:fldChar w:fldCharType="begin"/>
      </w:r>
      <w:r>
        <w:rPr>
          <w:highlight w:val="none"/>
        </w:rPr>
        <w:instrText xml:space="preserve"> PAGEREF _Toc2900 \h </w:instrText>
      </w:r>
      <w:r>
        <w:rPr>
          <w:highlight w:val="none"/>
        </w:rPr>
        <w:fldChar w:fldCharType="separate"/>
      </w:r>
      <w:r>
        <w:rPr>
          <w:highlight w:val="none"/>
        </w:rPr>
        <w:t>102</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_Toc7978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eastAsia="zh-CN"/>
        </w:rPr>
        <w:t>四</w:t>
      </w:r>
      <w:r>
        <w:rPr>
          <w:rFonts w:hint="eastAsia"/>
          <w:highlight w:val="none"/>
        </w:rPr>
        <w:t>、医疗安全风险防范</w:t>
      </w:r>
      <w:r>
        <w:rPr>
          <w:rFonts w:hint="eastAsia"/>
          <w:highlight w:val="none"/>
          <w:lang w:eastAsia="zh-CN"/>
        </w:rPr>
        <w:t>（</w:t>
      </w:r>
      <w:r>
        <w:rPr>
          <w:rFonts w:hint="eastAsia"/>
          <w:highlight w:val="none"/>
          <w:lang w:val="en-US" w:eastAsia="zh-CN"/>
        </w:rPr>
        <w:t>11分</w:t>
      </w:r>
      <w:r>
        <w:rPr>
          <w:rFonts w:hint="eastAsia"/>
          <w:highlight w:val="none"/>
          <w:lang w:eastAsia="zh-CN"/>
        </w:rPr>
        <w:t>）</w:t>
      </w:r>
      <w:r>
        <w:rPr>
          <w:highlight w:val="none"/>
        </w:rPr>
        <w:tab/>
      </w:r>
      <w:r>
        <w:rPr>
          <w:highlight w:val="none"/>
        </w:rPr>
        <w:fldChar w:fldCharType="begin"/>
      </w:r>
      <w:r>
        <w:rPr>
          <w:highlight w:val="none"/>
        </w:rPr>
        <w:instrText xml:space="preserve"> PAGEREF _Toc7978 \h </w:instrText>
      </w:r>
      <w:r>
        <w:rPr>
          <w:highlight w:val="none"/>
        </w:rPr>
        <w:fldChar w:fldCharType="separate"/>
      </w:r>
      <w:r>
        <w:rPr>
          <w:highlight w:val="none"/>
        </w:rPr>
        <w:t>111</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_Toc23634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五、</w:t>
      </w:r>
      <w:r>
        <w:rPr>
          <w:rFonts w:hint="eastAsia"/>
          <w:highlight w:val="none"/>
        </w:rPr>
        <w:t>诊疗质量保障与持续改进</w:t>
      </w:r>
      <w:r>
        <w:rPr>
          <w:rFonts w:hint="eastAsia"/>
          <w:highlight w:val="none"/>
          <w:lang w:eastAsia="zh-CN"/>
        </w:rPr>
        <w:t>（</w:t>
      </w:r>
      <w:r>
        <w:rPr>
          <w:rFonts w:hint="eastAsia"/>
          <w:highlight w:val="none"/>
          <w:lang w:val="en-US" w:eastAsia="zh-CN"/>
        </w:rPr>
        <w:t>27分</w:t>
      </w:r>
      <w:r>
        <w:rPr>
          <w:rFonts w:hint="eastAsia"/>
          <w:highlight w:val="none"/>
          <w:lang w:eastAsia="zh-CN"/>
        </w:rPr>
        <w:t>）</w:t>
      </w:r>
      <w:r>
        <w:rPr>
          <w:highlight w:val="none"/>
        </w:rPr>
        <w:tab/>
      </w:r>
      <w:r>
        <w:rPr>
          <w:highlight w:val="none"/>
        </w:rPr>
        <w:fldChar w:fldCharType="begin"/>
      </w:r>
      <w:r>
        <w:rPr>
          <w:highlight w:val="none"/>
        </w:rPr>
        <w:instrText xml:space="preserve"> PAGEREF _Toc23634 \h </w:instrText>
      </w:r>
      <w:r>
        <w:rPr>
          <w:highlight w:val="none"/>
        </w:rPr>
        <w:fldChar w:fldCharType="separate"/>
      </w:r>
      <w:r>
        <w:rPr>
          <w:highlight w:val="none"/>
        </w:rPr>
        <w:t>117</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_Toc11275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六、皮肤内科</w:t>
      </w:r>
      <w:r>
        <w:rPr>
          <w:rFonts w:hint="eastAsia"/>
          <w:highlight w:val="none"/>
        </w:rPr>
        <w:t>诊疗质量保障及持续改进（</w:t>
      </w:r>
      <w:r>
        <w:rPr>
          <w:rFonts w:hint="eastAsia"/>
          <w:highlight w:val="none"/>
          <w:lang w:val="en-US" w:eastAsia="zh-CN"/>
        </w:rPr>
        <w:t>17</w:t>
      </w:r>
      <w:r>
        <w:rPr>
          <w:rFonts w:hint="eastAsia"/>
          <w:highlight w:val="none"/>
        </w:rPr>
        <w:t>分）</w:t>
      </w:r>
      <w:r>
        <w:rPr>
          <w:highlight w:val="none"/>
        </w:rPr>
        <w:tab/>
      </w:r>
      <w:r>
        <w:rPr>
          <w:highlight w:val="none"/>
        </w:rPr>
        <w:fldChar w:fldCharType="begin"/>
      </w:r>
      <w:r>
        <w:rPr>
          <w:highlight w:val="none"/>
        </w:rPr>
        <w:instrText xml:space="preserve"> PAGEREF _Toc11275 \h </w:instrText>
      </w:r>
      <w:r>
        <w:rPr>
          <w:highlight w:val="none"/>
        </w:rPr>
        <w:fldChar w:fldCharType="separate"/>
      </w:r>
      <w:r>
        <w:rPr>
          <w:highlight w:val="none"/>
        </w:rPr>
        <w:t>131</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_Toc5056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七</w:t>
      </w:r>
      <w:r>
        <w:rPr>
          <w:rFonts w:hint="eastAsia"/>
          <w:highlight w:val="none"/>
        </w:rPr>
        <w:t>、</w:t>
      </w:r>
      <w:r>
        <w:rPr>
          <w:rFonts w:hint="eastAsia"/>
          <w:highlight w:val="none"/>
          <w:lang w:val="en-US" w:eastAsia="zh-CN"/>
        </w:rPr>
        <w:t>外科</w:t>
      </w:r>
      <w:r>
        <w:rPr>
          <w:rFonts w:hint="eastAsia"/>
          <w:highlight w:val="none"/>
        </w:rPr>
        <w:t>诊疗质量保障及持续改进</w:t>
      </w:r>
      <w:r>
        <w:rPr>
          <w:rFonts w:hint="eastAsia"/>
          <w:highlight w:val="none"/>
          <w:lang w:eastAsia="zh-CN"/>
        </w:rPr>
        <w:t>（</w:t>
      </w:r>
      <w:r>
        <w:rPr>
          <w:rFonts w:hint="eastAsia"/>
          <w:highlight w:val="none"/>
          <w:lang w:val="en-US" w:eastAsia="zh-CN"/>
        </w:rPr>
        <w:t>14分）</w:t>
      </w:r>
      <w:r>
        <w:rPr>
          <w:highlight w:val="none"/>
        </w:rPr>
        <w:tab/>
      </w:r>
      <w:r>
        <w:rPr>
          <w:highlight w:val="none"/>
        </w:rPr>
        <w:fldChar w:fldCharType="begin"/>
      </w:r>
      <w:r>
        <w:rPr>
          <w:highlight w:val="none"/>
        </w:rPr>
        <w:instrText xml:space="preserve"> PAGEREF _Toc5056 \h </w:instrText>
      </w:r>
      <w:r>
        <w:rPr>
          <w:highlight w:val="none"/>
        </w:rPr>
        <w:fldChar w:fldCharType="separate"/>
      </w:r>
      <w:r>
        <w:rPr>
          <w:highlight w:val="none"/>
        </w:rPr>
        <w:t>134</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_Toc21171 </w:instrText>
      </w:r>
      <w:r>
        <w:rPr>
          <w:rFonts w:hint="eastAsia" w:ascii="方正小标宋简体" w:hAnsi="方正小标宋简体" w:eastAsia="方正小标宋简体" w:cs="方正小标宋简体"/>
          <w:bCs w:val="0"/>
          <w:szCs w:val="32"/>
          <w:highlight w:val="none"/>
        </w:rPr>
        <w:fldChar w:fldCharType="separate"/>
      </w:r>
      <w:r>
        <w:rPr>
          <w:rFonts w:hint="eastAsia" w:cs="Times New Roman"/>
          <w:bCs/>
          <w:kern w:val="2"/>
          <w:szCs w:val="28"/>
          <w:highlight w:val="none"/>
          <w:lang w:val="en-US" w:eastAsia="zh-CN" w:bidi="ar-SA"/>
        </w:rPr>
        <w:t>八</w:t>
      </w:r>
      <w:r>
        <w:rPr>
          <w:rFonts w:hint="eastAsia" w:ascii="Times New Roman" w:hAnsi="Times New Roman" w:eastAsia="宋体" w:cs="Times New Roman"/>
          <w:bCs/>
          <w:kern w:val="2"/>
          <w:szCs w:val="28"/>
          <w:highlight w:val="none"/>
          <w:lang w:val="en-US" w:eastAsia="zh-CN" w:bidi="ar-SA"/>
        </w:rPr>
        <w:t>、</w:t>
      </w:r>
      <w:r>
        <w:rPr>
          <w:rFonts w:hint="eastAsia"/>
          <w:highlight w:val="none"/>
          <w:lang w:val="en-US" w:eastAsia="zh-CN"/>
        </w:rPr>
        <w:t>美容皮肤</w:t>
      </w:r>
      <w:r>
        <w:rPr>
          <w:rFonts w:hint="eastAsia"/>
          <w:highlight w:val="none"/>
          <w:lang w:eastAsia="zh-CN"/>
        </w:rPr>
        <w:t>科</w:t>
      </w:r>
      <w:r>
        <w:rPr>
          <w:rFonts w:hint="eastAsia"/>
          <w:highlight w:val="none"/>
        </w:rPr>
        <w:t>诊疗质量保障与持续改进</w:t>
      </w:r>
      <w:r>
        <w:rPr>
          <w:rFonts w:hint="eastAsia"/>
          <w:highlight w:val="none"/>
          <w:lang w:eastAsia="zh-CN"/>
        </w:rPr>
        <w:t>（</w:t>
      </w:r>
      <w:r>
        <w:rPr>
          <w:rFonts w:hint="eastAsia"/>
          <w:highlight w:val="none"/>
          <w:lang w:val="en-US" w:eastAsia="zh-CN"/>
        </w:rPr>
        <w:t>16.5分）</w:t>
      </w:r>
      <w:r>
        <w:rPr>
          <w:highlight w:val="none"/>
        </w:rPr>
        <w:tab/>
      </w:r>
      <w:r>
        <w:rPr>
          <w:highlight w:val="none"/>
        </w:rPr>
        <w:fldChar w:fldCharType="begin"/>
      </w:r>
      <w:r>
        <w:rPr>
          <w:highlight w:val="none"/>
        </w:rPr>
        <w:instrText xml:space="preserve"> PAGEREF _Toc21171 \h </w:instrText>
      </w:r>
      <w:r>
        <w:rPr>
          <w:highlight w:val="none"/>
        </w:rPr>
        <w:fldChar w:fldCharType="separate"/>
      </w:r>
      <w:r>
        <w:rPr>
          <w:highlight w:val="none"/>
        </w:rPr>
        <w:t>137</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_Toc914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九</w:t>
      </w:r>
      <w:r>
        <w:rPr>
          <w:rFonts w:hint="eastAsia"/>
          <w:highlight w:val="none"/>
        </w:rPr>
        <w:t>、中西医结合</w:t>
      </w:r>
      <w:r>
        <w:rPr>
          <w:rFonts w:hint="eastAsia"/>
          <w:highlight w:val="none"/>
          <w:lang w:val="en-US" w:eastAsia="zh-CN"/>
        </w:rPr>
        <w:t>科</w:t>
      </w:r>
      <w:r>
        <w:rPr>
          <w:rFonts w:hint="eastAsia"/>
          <w:highlight w:val="none"/>
        </w:rPr>
        <w:t>诊疗质量保障与持续改进（</w:t>
      </w:r>
      <w:r>
        <w:rPr>
          <w:rFonts w:hint="eastAsia"/>
          <w:highlight w:val="none"/>
          <w:lang w:val="en-US" w:eastAsia="zh-CN"/>
        </w:rPr>
        <w:t>13</w:t>
      </w:r>
      <w:r>
        <w:rPr>
          <w:rFonts w:hint="eastAsia"/>
          <w:highlight w:val="none"/>
        </w:rPr>
        <w:t>分）</w:t>
      </w:r>
      <w:r>
        <w:rPr>
          <w:highlight w:val="none"/>
        </w:rPr>
        <w:tab/>
      </w:r>
      <w:r>
        <w:rPr>
          <w:highlight w:val="none"/>
        </w:rPr>
        <w:fldChar w:fldCharType="begin"/>
      </w:r>
      <w:r>
        <w:rPr>
          <w:highlight w:val="none"/>
        </w:rPr>
        <w:instrText xml:space="preserve"> PAGEREF _Toc914 \h </w:instrText>
      </w:r>
      <w:r>
        <w:rPr>
          <w:highlight w:val="none"/>
        </w:rPr>
        <w:fldChar w:fldCharType="separate"/>
      </w:r>
      <w:r>
        <w:rPr>
          <w:highlight w:val="none"/>
        </w:rPr>
        <w:t>140</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12"/>
        <w:tabs>
          <w:tab w:val="right" w:leader="dot" w:pos="8306"/>
        </w:tabs>
        <w:ind w:firstLine="420" w:firstLineChars="200"/>
        <w:rPr>
          <w:highlight w:val="none"/>
        </w:rPr>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_Toc30722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十、性传播疾病管理与持续改进（15.5分）</w:t>
      </w:r>
      <w:r>
        <w:rPr>
          <w:highlight w:val="none"/>
        </w:rPr>
        <w:tab/>
      </w:r>
      <w:r>
        <w:rPr>
          <w:highlight w:val="none"/>
        </w:rPr>
        <w:fldChar w:fldCharType="begin"/>
      </w:r>
      <w:r>
        <w:rPr>
          <w:highlight w:val="none"/>
        </w:rPr>
        <w:instrText xml:space="preserve"> PAGEREF _Toc30722 \h </w:instrText>
      </w:r>
      <w:r>
        <w:rPr>
          <w:highlight w:val="none"/>
        </w:rPr>
        <w:fldChar w:fldCharType="separate"/>
      </w:r>
      <w:r>
        <w:rPr>
          <w:highlight w:val="none"/>
        </w:rPr>
        <w:t>142</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highlight w:val="none"/>
        </w:rPr>
        <w:fldChar w:fldCharType="begin"/>
      </w:r>
      <w:r>
        <w:rPr>
          <w:rFonts w:hint="eastAsia" w:ascii="方正小标宋简体" w:hAnsi="方正小标宋简体" w:eastAsia="方正小标宋简体" w:cs="方正小标宋简体"/>
          <w:bCs w:val="0"/>
          <w:szCs w:val="32"/>
          <w:highlight w:val="none"/>
        </w:rPr>
        <w:instrText xml:space="preserve"> HYPERLINK \l _Toc21753 </w:instrText>
      </w:r>
      <w:r>
        <w:rPr>
          <w:rFonts w:hint="eastAsia" w:ascii="方正小标宋简体" w:hAnsi="方正小标宋简体" w:eastAsia="方正小标宋简体" w:cs="方正小标宋简体"/>
          <w:bCs w:val="0"/>
          <w:szCs w:val="32"/>
          <w:highlight w:val="none"/>
        </w:rPr>
        <w:fldChar w:fldCharType="separate"/>
      </w:r>
      <w:r>
        <w:rPr>
          <w:rFonts w:hint="eastAsia"/>
          <w:highlight w:val="none"/>
          <w:lang w:val="en-US" w:eastAsia="zh-CN"/>
        </w:rPr>
        <w:t>十一</w:t>
      </w:r>
      <w:r>
        <w:rPr>
          <w:rFonts w:hint="eastAsia"/>
          <w:highlight w:val="none"/>
          <w:lang w:eastAsia="zh-CN"/>
        </w:rPr>
        <w:t>、</w:t>
      </w:r>
      <w:r>
        <w:rPr>
          <w:rFonts w:hint="eastAsia"/>
          <w:highlight w:val="none"/>
        </w:rPr>
        <w:t>护理质量保障与持续改进</w:t>
      </w:r>
      <w:r>
        <w:rPr>
          <w:rFonts w:hint="eastAsia"/>
          <w:highlight w:val="none"/>
          <w:lang w:val="en-US" w:eastAsia="zh-CN"/>
        </w:rPr>
        <w:t>（23分）</w:t>
      </w:r>
      <w:r>
        <w:rPr>
          <w:highlight w:val="none"/>
        </w:rPr>
        <w:tab/>
      </w:r>
      <w:r>
        <w:rPr>
          <w:highlight w:val="none"/>
        </w:rPr>
        <w:fldChar w:fldCharType="begin"/>
      </w:r>
      <w:r>
        <w:rPr>
          <w:highlight w:val="none"/>
        </w:rPr>
        <w:instrText xml:space="preserve"> PAGEREF _Toc21753 \h </w:instrText>
      </w:r>
      <w:r>
        <w:rPr>
          <w:highlight w:val="none"/>
        </w:rPr>
        <w:fldChar w:fldCharType="separate"/>
      </w:r>
      <w:r>
        <w:rPr>
          <w:highlight w:val="none"/>
        </w:rPr>
        <w:t>145</w:t>
      </w:r>
      <w:r>
        <w:rPr>
          <w:highlight w:val="none"/>
        </w:rPr>
        <w:fldChar w:fldCharType="end"/>
      </w:r>
      <w:r>
        <w:rPr>
          <w:rFonts w:hint="eastAsia" w:ascii="方正小标宋简体" w:hAnsi="方正小标宋简体" w:eastAsia="方正小标宋简体" w:cs="方正小标宋简体"/>
          <w:bCs w:val="0"/>
          <w:color w:val="000000"/>
          <w:szCs w:val="32"/>
          <w:highlight w:val="none"/>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_Toc24812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十二</w:t>
      </w:r>
      <w:r>
        <w:rPr>
          <w:rFonts w:hint="eastAsia"/>
          <w:lang w:eastAsia="zh-CN"/>
        </w:rPr>
        <w:t>、</w:t>
      </w:r>
      <w:r>
        <w:rPr>
          <w:rFonts w:hint="eastAsia"/>
        </w:rPr>
        <w:t>药事管理与临床药学服务质量保障与持续改进</w:t>
      </w:r>
      <w:r>
        <w:rPr>
          <w:rFonts w:hint="eastAsia"/>
          <w:lang w:val="en-US" w:eastAsia="zh-CN"/>
        </w:rPr>
        <w:t>（12分）</w:t>
      </w:r>
      <w:r>
        <w:tab/>
      </w:r>
      <w:r>
        <w:fldChar w:fldCharType="begin"/>
      </w:r>
      <w:r>
        <w:instrText xml:space="preserve"> PAGEREF _Toc24812 \h </w:instrText>
      </w:r>
      <w:r>
        <w:fldChar w:fldCharType="separate"/>
      </w:r>
      <w:r>
        <w:t>152</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_Toc8065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十三</w:t>
      </w:r>
      <w:r>
        <w:rPr>
          <w:rFonts w:hint="eastAsia"/>
          <w:lang w:eastAsia="zh-CN"/>
        </w:rPr>
        <w:t>、检查检验质量保障与持续改进</w:t>
      </w:r>
      <w:r>
        <w:rPr>
          <w:rFonts w:hint="eastAsia"/>
          <w:lang w:val="en-US" w:eastAsia="zh-CN"/>
        </w:rPr>
        <w:t>（14分）</w:t>
      </w:r>
      <w:r>
        <w:tab/>
      </w:r>
      <w:r>
        <w:fldChar w:fldCharType="begin"/>
      </w:r>
      <w:r>
        <w:instrText xml:space="preserve"> PAGEREF _Toc8065 \h </w:instrText>
      </w:r>
      <w:r>
        <w:fldChar w:fldCharType="separate"/>
      </w:r>
      <w:r>
        <w:t>157</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_Toc7078 </w:instrText>
      </w:r>
      <w:r>
        <w:rPr>
          <w:rFonts w:hint="eastAsia" w:ascii="方正小标宋简体" w:hAnsi="方正小标宋简体" w:eastAsia="方正小标宋简体" w:cs="方正小标宋简体"/>
          <w:bCs w:val="0"/>
          <w:szCs w:val="32"/>
        </w:rPr>
        <w:fldChar w:fldCharType="separate"/>
      </w:r>
      <w:r>
        <w:rPr>
          <w:rFonts w:hint="eastAsia"/>
        </w:rPr>
        <w:t>十</w:t>
      </w:r>
      <w:r>
        <w:rPr>
          <w:rFonts w:hint="eastAsia"/>
          <w:lang w:val="en-US" w:eastAsia="zh-CN"/>
        </w:rPr>
        <w:t>四</w:t>
      </w:r>
      <w:r>
        <w:rPr>
          <w:rFonts w:hint="eastAsia"/>
        </w:rPr>
        <w:t>、皮肤病理管理与持续改进</w:t>
      </w:r>
      <w:r>
        <w:rPr>
          <w:rFonts w:hint="eastAsia"/>
          <w:lang w:eastAsia="zh-CN"/>
        </w:rPr>
        <w:t>（</w:t>
      </w:r>
      <w:r>
        <w:rPr>
          <w:rFonts w:hint="eastAsia"/>
          <w:lang w:val="en-US" w:eastAsia="zh-CN"/>
        </w:rPr>
        <w:t>8.5分</w:t>
      </w:r>
      <w:r>
        <w:rPr>
          <w:rFonts w:hint="eastAsia"/>
          <w:lang w:eastAsia="zh-CN"/>
        </w:rPr>
        <w:t>）</w:t>
      </w:r>
      <w:r>
        <w:tab/>
      </w:r>
      <w:r>
        <w:fldChar w:fldCharType="begin"/>
      </w:r>
      <w:r>
        <w:instrText xml:space="preserve"> PAGEREF _Toc7078 \h </w:instrText>
      </w:r>
      <w:r>
        <w:fldChar w:fldCharType="separate"/>
      </w:r>
      <w:r>
        <w:t>164</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_Toc8694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十五、</w:t>
      </w:r>
      <w:r>
        <w:rPr>
          <w:rFonts w:hint="eastAsia"/>
        </w:rPr>
        <w:t>医院感染管理与持续改进</w:t>
      </w:r>
      <w:r>
        <w:rPr>
          <w:rFonts w:hint="eastAsia"/>
          <w:lang w:val="en-US" w:eastAsia="zh-CN"/>
        </w:rPr>
        <w:t>（13.5分）</w:t>
      </w:r>
      <w:r>
        <w:tab/>
      </w:r>
      <w:r>
        <w:fldChar w:fldCharType="begin"/>
      </w:r>
      <w:r>
        <w:instrText xml:space="preserve"> PAGEREF _Toc8694 \h </w:instrText>
      </w:r>
      <w:r>
        <w:fldChar w:fldCharType="separate"/>
      </w:r>
      <w:r>
        <w:t>166</w:t>
      </w:r>
      <w:r>
        <w:fldChar w:fldCharType="end"/>
      </w:r>
      <w:r>
        <w:rPr>
          <w:rFonts w:hint="eastAsia" w:ascii="方正小标宋简体" w:hAnsi="方正小标宋简体" w:eastAsia="方正小标宋简体" w:cs="方正小标宋简体"/>
          <w:bCs w:val="0"/>
          <w:color w:val="000000"/>
          <w:szCs w:val="32"/>
        </w:rPr>
        <w:fldChar w:fldCharType="end"/>
      </w:r>
    </w:p>
    <w:p>
      <w:pPr>
        <w:pStyle w:val="12"/>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_Toc30587 </w:instrText>
      </w:r>
      <w:r>
        <w:rPr>
          <w:rFonts w:hint="eastAsia" w:ascii="方正小标宋简体" w:hAnsi="方正小标宋简体" w:eastAsia="方正小标宋简体" w:cs="方正小标宋简体"/>
          <w:bCs w:val="0"/>
          <w:szCs w:val="32"/>
        </w:rPr>
        <w:fldChar w:fldCharType="separate"/>
      </w:r>
      <w:r>
        <w:rPr>
          <w:rFonts w:hint="eastAsia"/>
        </w:rPr>
        <w:t>第三章 医院管理（</w:t>
      </w:r>
      <w:r>
        <w:rPr>
          <w:rFonts w:hint="eastAsia"/>
          <w:lang w:val="en-US" w:eastAsia="zh-CN"/>
        </w:rPr>
        <w:t>96</w:t>
      </w:r>
      <w:r>
        <w:rPr>
          <w:rFonts w:hint="eastAsia"/>
        </w:rPr>
        <w:t>分）</w:t>
      </w:r>
      <w:r>
        <w:tab/>
      </w:r>
      <w:r>
        <w:fldChar w:fldCharType="begin"/>
      </w:r>
      <w:r>
        <w:instrText xml:space="preserve"> PAGEREF _Toc30587 \h </w:instrText>
      </w:r>
      <w:r>
        <w:fldChar w:fldCharType="separate"/>
      </w:r>
      <w:r>
        <w:t>175</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_Toc29565 </w:instrText>
      </w:r>
      <w:r>
        <w:rPr>
          <w:rFonts w:hint="eastAsia" w:ascii="方正小标宋简体" w:hAnsi="方正小标宋简体" w:eastAsia="方正小标宋简体" w:cs="方正小标宋简体"/>
          <w:bCs w:val="0"/>
          <w:szCs w:val="32"/>
        </w:rPr>
        <w:fldChar w:fldCharType="separate"/>
      </w:r>
      <w:r>
        <w:rPr>
          <w:rFonts w:hint="eastAsia"/>
          <w:lang w:eastAsia="zh-CN"/>
        </w:rPr>
        <w:t>一、</w:t>
      </w:r>
      <w:r>
        <w:rPr>
          <w:rFonts w:hint="eastAsia"/>
        </w:rPr>
        <w:t>管理职责与决策执行机制（</w:t>
      </w:r>
      <w:r>
        <w:rPr>
          <w:rFonts w:hint="eastAsia"/>
          <w:lang w:val="en-US" w:eastAsia="zh-CN"/>
        </w:rPr>
        <w:t>14</w:t>
      </w:r>
      <w:r>
        <w:rPr>
          <w:rFonts w:hint="eastAsia"/>
        </w:rPr>
        <w:t>分）</w:t>
      </w:r>
      <w:r>
        <w:tab/>
      </w:r>
      <w:r>
        <w:fldChar w:fldCharType="begin"/>
      </w:r>
      <w:r>
        <w:instrText xml:space="preserve"> PAGEREF _Toc29565 \h </w:instrText>
      </w:r>
      <w:r>
        <w:fldChar w:fldCharType="separate"/>
      </w:r>
      <w:r>
        <w:t>175</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_Toc10228 </w:instrText>
      </w:r>
      <w:r>
        <w:rPr>
          <w:rFonts w:hint="eastAsia" w:ascii="方正小标宋简体" w:hAnsi="方正小标宋简体" w:eastAsia="方正小标宋简体" w:cs="方正小标宋简体"/>
          <w:bCs w:val="0"/>
          <w:szCs w:val="32"/>
        </w:rPr>
        <w:fldChar w:fldCharType="separate"/>
      </w:r>
      <w:r>
        <w:rPr>
          <w:rFonts w:hint="eastAsia"/>
        </w:rPr>
        <w:t>二、人力资源管理（</w:t>
      </w:r>
      <w:r>
        <w:rPr>
          <w:rFonts w:hint="eastAsia"/>
          <w:lang w:val="en-US" w:eastAsia="zh-CN"/>
        </w:rPr>
        <w:t>12</w:t>
      </w:r>
      <w:r>
        <w:rPr>
          <w:rFonts w:hint="eastAsia"/>
        </w:rPr>
        <w:t>分）</w:t>
      </w:r>
      <w:r>
        <w:tab/>
      </w:r>
      <w:r>
        <w:fldChar w:fldCharType="begin"/>
      </w:r>
      <w:r>
        <w:instrText xml:space="preserve"> PAGEREF _Toc10228 \h </w:instrText>
      </w:r>
      <w:r>
        <w:fldChar w:fldCharType="separate"/>
      </w:r>
      <w:r>
        <w:t>178</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_Toc30351 </w:instrText>
      </w:r>
      <w:r>
        <w:rPr>
          <w:rFonts w:hint="eastAsia" w:ascii="方正小标宋简体" w:hAnsi="方正小标宋简体" w:eastAsia="方正小标宋简体" w:cs="方正小标宋简体"/>
          <w:bCs w:val="0"/>
          <w:szCs w:val="32"/>
        </w:rPr>
        <w:fldChar w:fldCharType="separate"/>
      </w:r>
      <w:r>
        <w:rPr>
          <w:rFonts w:hint="eastAsia"/>
        </w:rPr>
        <w:t>三、财务和价格管理（</w:t>
      </w:r>
      <w:r>
        <w:rPr>
          <w:rFonts w:hint="eastAsia"/>
          <w:lang w:val="en-US" w:eastAsia="zh-CN"/>
        </w:rPr>
        <w:t>13</w:t>
      </w:r>
      <w:r>
        <w:rPr>
          <w:rFonts w:hint="eastAsia"/>
        </w:rPr>
        <w:t>分）</w:t>
      </w:r>
      <w:r>
        <w:tab/>
      </w:r>
      <w:r>
        <w:fldChar w:fldCharType="begin"/>
      </w:r>
      <w:r>
        <w:instrText xml:space="preserve"> PAGEREF _Toc30351 \h </w:instrText>
      </w:r>
      <w:r>
        <w:fldChar w:fldCharType="separate"/>
      </w:r>
      <w:r>
        <w:t>185</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_Toc22123 </w:instrText>
      </w:r>
      <w:r>
        <w:rPr>
          <w:rFonts w:hint="eastAsia" w:ascii="方正小标宋简体" w:hAnsi="方正小标宋简体" w:eastAsia="方正小标宋简体" w:cs="方正小标宋简体"/>
          <w:bCs w:val="0"/>
          <w:szCs w:val="32"/>
        </w:rPr>
        <w:fldChar w:fldCharType="separate"/>
      </w:r>
      <w:r>
        <w:rPr>
          <w:rFonts w:hint="eastAsia"/>
        </w:rPr>
        <w:t>四、信息管理（</w:t>
      </w:r>
      <w:r>
        <w:rPr>
          <w:rFonts w:hint="eastAsia"/>
          <w:lang w:val="en-US" w:eastAsia="zh-CN"/>
        </w:rPr>
        <w:t>10</w:t>
      </w:r>
      <w:r>
        <w:rPr>
          <w:rFonts w:hint="eastAsia"/>
        </w:rPr>
        <w:t>分）</w:t>
      </w:r>
      <w:r>
        <w:tab/>
      </w:r>
      <w:r>
        <w:fldChar w:fldCharType="begin"/>
      </w:r>
      <w:r>
        <w:instrText xml:space="preserve"> PAGEREF _Toc22123 \h </w:instrText>
      </w:r>
      <w:r>
        <w:fldChar w:fldCharType="separate"/>
      </w:r>
      <w:r>
        <w:t>189</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_Toc25785 </w:instrText>
      </w:r>
      <w:r>
        <w:rPr>
          <w:rFonts w:hint="eastAsia" w:ascii="方正小标宋简体" w:hAnsi="方正小标宋简体" w:eastAsia="方正小标宋简体" w:cs="方正小标宋简体"/>
          <w:bCs w:val="0"/>
          <w:szCs w:val="32"/>
        </w:rPr>
        <w:fldChar w:fldCharType="separate"/>
      </w:r>
      <w:r>
        <w:rPr>
          <w:rFonts w:hint="eastAsia"/>
        </w:rPr>
        <w:t>五、医学装备管理（1</w:t>
      </w:r>
      <w:r>
        <w:rPr>
          <w:rFonts w:hint="eastAsia"/>
          <w:lang w:val="en-US" w:eastAsia="zh-CN"/>
        </w:rPr>
        <w:t>1</w:t>
      </w:r>
      <w:r>
        <w:rPr>
          <w:rFonts w:hint="eastAsia"/>
        </w:rPr>
        <w:t>分）</w:t>
      </w:r>
      <w:r>
        <w:tab/>
      </w:r>
      <w:r>
        <w:fldChar w:fldCharType="begin"/>
      </w:r>
      <w:r>
        <w:instrText xml:space="preserve"> PAGEREF _Toc25785 \h </w:instrText>
      </w:r>
      <w:r>
        <w:fldChar w:fldCharType="separate"/>
      </w:r>
      <w:r>
        <w:t>193</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_Toc15708 </w:instrText>
      </w:r>
      <w:r>
        <w:rPr>
          <w:rFonts w:hint="eastAsia" w:ascii="方正小标宋简体" w:hAnsi="方正小标宋简体" w:eastAsia="方正小标宋简体" w:cs="方正小标宋简体"/>
          <w:bCs w:val="0"/>
          <w:szCs w:val="32"/>
        </w:rPr>
        <w:fldChar w:fldCharType="separate"/>
      </w:r>
      <w:r>
        <w:rPr>
          <w:rFonts w:hint="eastAsia"/>
        </w:rPr>
        <w:t>六、后勤保障管理（1</w:t>
      </w:r>
      <w:r>
        <w:rPr>
          <w:rFonts w:hint="eastAsia"/>
          <w:lang w:val="en-US" w:eastAsia="zh-CN"/>
        </w:rPr>
        <w:t>3</w:t>
      </w:r>
      <w:r>
        <w:rPr>
          <w:rFonts w:hint="eastAsia"/>
        </w:rPr>
        <w:t>分）</w:t>
      </w:r>
      <w:r>
        <w:tab/>
      </w:r>
      <w:r>
        <w:fldChar w:fldCharType="begin"/>
      </w:r>
      <w:r>
        <w:instrText xml:space="preserve"> PAGEREF _Toc15708 \h </w:instrText>
      </w:r>
      <w:r>
        <w:fldChar w:fldCharType="separate"/>
      </w:r>
      <w:r>
        <w:t>199</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_Toc16704 </w:instrText>
      </w:r>
      <w:r>
        <w:rPr>
          <w:rFonts w:hint="eastAsia" w:ascii="方正小标宋简体" w:hAnsi="方正小标宋简体" w:eastAsia="方正小标宋简体" w:cs="方正小标宋简体"/>
          <w:bCs w:val="0"/>
          <w:szCs w:val="32"/>
        </w:rPr>
        <w:fldChar w:fldCharType="separate"/>
      </w:r>
      <w:r>
        <w:rPr>
          <w:rFonts w:hint="eastAsia"/>
          <w:lang w:val="en-US" w:eastAsia="zh-CN"/>
        </w:rPr>
        <w:t>七、</w:t>
      </w:r>
      <w:r>
        <w:rPr>
          <w:rFonts w:hint="eastAsia"/>
        </w:rPr>
        <w:t>应急管理（</w:t>
      </w:r>
      <w:r>
        <w:rPr>
          <w:rFonts w:hint="eastAsia"/>
          <w:lang w:val="en-US" w:eastAsia="zh-CN"/>
        </w:rPr>
        <w:t>8</w:t>
      </w:r>
      <w:r>
        <w:rPr>
          <w:rFonts w:hint="eastAsia"/>
        </w:rPr>
        <w:t>分）</w:t>
      </w:r>
      <w:r>
        <w:tab/>
      </w:r>
      <w:r>
        <w:fldChar w:fldCharType="begin"/>
      </w:r>
      <w:r>
        <w:instrText xml:space="preserve"> PAGEREF _Toc16704 \h </w:instrText>
      </w:r>
      <w:r>
        <w:fldChar w:fldCharType="separate"/>
      </w:r>
      <w:r>
        <w:t>206</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_Toc731 </w:instrText>
      </w:r>
      <w:r>
        <w:rPr>
          <w:rFonts w:hint="eastAsia" w:ascii="方正小标宋简体" w:hAnsi="方正小标宋简体" w:eastAsia="方正小标宋简体" w:cs="方正小标宋简体"/>
          <w:bCs w:val="0"/>
          <w:szCs w:val="32"/>
        </w:rPr>
        <w:fldChar w:fldCharType="separate"/>
      </w:r>
      <w:r>
        <w:rPr>
          <w:rFonts w:hint="eastAsia"/>
        </w:rPr>
        <w:t>八、科研教学与图书管理（</w:t>
      </w:r>
      <w:r>
        <w:rPr>
          <w:rFonts w:hint="eastAsia"/>
          <w:lang w:val="en-US" w:eastAsia="zh-CN"/>
        </w:rPr>
        <w:t>8</w:t>
      </w:r>
      <w:r>
        <w:rPr>
          <w:rFonts w:hint="eastAsia"/>
        </w:rPr>
        <w:t>分）</w:t>
      </w:r>
      <w:r>
        <w:tab/>
      </w:r>
      <w:r>
        <w:fldChar w:fldCharType="begin"/>
      </w:r>
      <w:r>
        <w:instrText xml:space="preserve"> PAGEREF _Toc731 \h </w:instrText>
      </w:r>
      <w:r>
        <w:fldChar w:fldCharType="separate"/>
      </w:r>
      <w:r>
        <w:t>209</w:t>
      </w:r>
      <w:r>
        <w:fldChar w:fldCharType="end"/>
      </w:r>
      <w:r>
        <w:rPr>
          <w:rFonts w:hint="eastAsia" w:ascii="方正小标宋简体" w:hAnsi="方正小标宋简体" w:eastAsia="方正小标宋简体" w:cs="方正小标宋简体"/>
          <w:bCs w:val="0"/>
          <w:color w:val="000000"/>
          <w:szCs w:val="32"/>
        </w:rPr>
        <w:fldChar w:fldCharType="end"/>
      </w:r>
    </w:p>
    <w:p>
      <w:pPr>
        <w:pStyle w:val="7"/>
        <w:tabs>
          <w:tab w:val="right" w:leader="dot" w:pos="8306"/>
        </w:tabs>
      </w:pPr>
      <w:r>
        <w:rPr>
          <w:rFonts w:hint="eastAsia" w:ascii="方正小标宋简体" w:hAnsi="方正小标宋简体" w:eastAsia="方正小标宋简体" w:cs="方正小标宋简体"/>
          <w:bCs w:val="0"/>
          <w:color w:val="000000"/>
          <w:szCs w:val="32"/>
        </w:rPr>
        <w:fldChar w:fldCharType="begin"/>
      </w:r>
      <w:r>
        <w:rPr>
          <w:rFonts w:hint="eastAsia" w:ascii="方正小标宋简体" w:hAnsi="方正小标宋简体" w:eastAsia="方正小标宋简体" w:cs="方正小标宋简体"/>
          <w:bCs w:val="0"/>
          <w:szCs w:val="32"/>
        </w:rPr>
        <w:instrText xml:space="preserve"> HYPERLINK \l _Toc12839 </w:instrText>
      </w:r>
      <w:r>
        <w:rPr>
          <w:rFonts w:hint="eastAsia" w:ascii="方正小标宋简体" w:hAnsi="方正小标宋简体" w:eastAsia="方正小标宋简体" w:cs="方正小标宋简体"/>
          <w:bCs w:val="0"/>
          <w:szCs w:val="32"/>
        </w:rPr>
        <w:fldChar w:fldCharType="separate"/>
      </w:r>
      <w:r>
        <w:rPr>
          <w:rFonts w:hint="eastAsia"/>
        </w:rPr>
        <w:t>九、行风与文化建设管理（</w:t>
      </w:r>
      <w:r>
        <w:rPr>
          <w:rFonts w:hint="eastAsia"/>
          <w:lang w:val="en-US" w:eastAsia="zh-CN"/>
        </w:rPr>
        <w:t>7</w:t>
      </w:r>
      <w:r>
        <w:rPr>
          <w:rFonts w:hint="eastAsia"/>
        </w:rPr>
        <w:t>分）</w:t>
      </w:r>
      <w:r>
        <w:tab/>
      </w:r>
      <w:r>
        <w:fldChar w:fldCharType="begin"/>
      </w:r>
      <w:r>
        <w:instrText xml:space="preserve"> PAGEREF _Toc12839 \h </w:instrText>
      </w:r>
      <w:r>
        <w:fldChar w:fldCharType="separate"/>
      </w:r>
      <w:r>
        <w:t>214</w:t>
      </w:r>
      <w:r>
        <w:fldChar w:fldCharType="end"/>
      </w:r>
      <w:r>
        <w:rPr>
          <w:rFonts w:hint="eastAsia" w:ascii="方正小标宋简体" w:hAnsi="方正小标宋简体" w:eastAsia="方正小标宋简体" w:cs="方正小标宋简体"/>
          <w:bCs w:val="0"/>
          <w:color w:val="000000"/>
          <w:szCs w:val="32"/>
        </w:rPr>
        <w:fldChar w:fldCharType="end"/>
      </w:r>
    </w:p>
    <w:p>
      <w:pPr>
        <w:pStyle w:val="3"/>
        <w:spacing w:before="120" w:after="120"/>
        <w:jc w:val="both"/>
        <w:outlineLvl w:val="9"/>
        <w:rPr>
          <w:rFonts w:hint="eastAsia"/>
          <w:color w:val="000000"/>
        </w:rPr>
      </w:pPr>
      <w:r>
        <w:rPr>
          <w:rFonts w:hint="eastAsia" w:ascii="方正小标宋简体" w:hAnsi="方正小标宋简体" w:eastAsia="方正小标宋简体" w:cs="方正小标宋简体"/>
          <w:bCs w:val="0"/>
          <w:color w:val="000000"/>
          <w:szCs w:val="32"/>
        </w:rPr>
        <w:fldChar w:fldCharType="end"/>
      </w:r>
    </w:p>
    <w:p>
      <w:pPr>
        <w:pStyle w:val="3"/>
        <w:tabs>
          <w:tab w:val="left" w:pos="6561"/>
        </w:tabs>
        <w:bidi w:val="0"/>
        <w:jc w:val="left"/>
        <w:rPr>
          <w:rFonts w:hint="eastAsia" w:eastAsia="宋体"/>
          <w:color w:val="000000"/>
          <w:lang w:eastAsia="zh-CN"/>
        </w:rPr>
      </w:pPr>
      <w:r>
        <w:rPr>
          <w:rFonts w:hint="eastAsia"/>
          <w:color w:val="000000"/>
          <w:lang w:eastAsia="zh-CN"/>
        </w:rPr>
        <w:tab/>
      </w:r>
    </w:p>
    <w:p>
      <w:pPr>
        <w:pStyle w:val="3"/>
        <w:bidi w:val="0"/>
        <w:jc w:val="both"/>
        <w:rPr>
          <w:rFonts w:hint="eastAsia"/>
          <w:color w:val="000000"/>
        </w:rPr>
      </w:pPr>
    </w:p>
    <w:p>
      <w:pPr>
        <w:rPr>
          <w:rFonts w:hint="eastAsia"/>
          <w:color w:val="000000"/>
        </w:rPr>
      </w:pPr>
    </w:p>
    <w:p>
      <w:pPr>
        <w:pStyle w:val="2"/>
        <w:rPr>
          <w:rFonts w:hint="eastAsia"/>
          <w:color w:val="000000"/>
        </w:rPr>
      </w:pPr>
    </w:p>
    <w:p>
      <w:pPr>
        <w:pStyle w:val="3"/>
        <w:bidi w:val="0"/>
        <w:jc w:val="center"/>
        <w:rPr>
          <w:color w:val="000000"/>
          <w:sz w:val="44"/>
          <w:szCs w:val="56"/>
        </w:rPr>
      </w:pPr>
      <w:bookmarkStart w:id="1" w:name="_Toc78354572"/>
      <w:bookmarkStart w:id="2" w:name="_Toc3326"/>
      <w:bookmarkStart w:id="3" w:name="_Toc87537682"/>
      <w:bookmarkStart w:id="4" w:name="_Toc12774"/>
      <w:bookmarkStart w:id="5" w:name="_Toc3031"/>
      <w:bookmarkStart w:id="6" w:name="_Toc13857"/>
      <w:bookmarkStart w:id="7" w:name="_Toc131410571"/>
      <w:bookmarkStart w:id="8" w:name="_Toc17828"/>
      <w:bookmarkStart w:id="9" w:name="_Toc9285"/>
      <w:bookmarkStart w:id="10" w:name="_Toc4962"/>
      <w:bookmarkStart w:id="11" w:name="_Toc16029"/>
      <w:bookmarkStart w:id="12" w:name="_Toc7390"/>
      <w:bookmarkStart w:id="13" w:name="_Toc131412349"/>
      <w:r>
        <w:rPr>
          <w:rFonts w:hint="eastAsia"/>
          <w:color w:val="000000"/>
          <w:sz w:val="44"/>
          <w:szCs w:val="56"/>
        </w:rPr>
        <w:t>广西壮族自治区三级</w:t>
      </w:r>
      <w:r>
        <w:rPr>
          <w:rFonts w:hint="eastAsia"/>
          <w:color w:val="000000"/>
          <w:sz w:val="44"/>
          <w:szCs w:val="56"/>
          <w:lang w:val="en-US" w:eastAsia="zh-CN"/>
        </w:rPr>
        <w:t>皮肤病专科医院</w:t>
      </w:r>
      <w:r>
        <w:rPr>
          <w:rFonts w:hint="eastAsia"/>
          <w:color w:val="000000"/>
          <w:sz w:val="44"/>
          <w:szCs w:val="56"/>
        </w:rPr>
        <w:t>评审标准</w:t>
      </w:r>
      <w:bookmarkEnd w:id="1"/>
      <w:bookmarkEnd w:id="2"/>
      <w:bookmarkStart w:id="14" w:name="_Toc29467"/>
      <w:bookmarkStart w:id="15" w:name="_Toc78354573"/>
      <w:bookmarkStart w:id="16" w:name="_Toc21040"/>
      <w:r>
        <w:rPr>
          <w:rFonts w:hint="eastAsia"/>
          <w:color w:val="000000"/>
          <w:sz w:val="44"/>
          <w:szCs w:val="56"/>
        </w:rPr>
        <w:t>实施细则</w:t>
      </w:r>
      <w:bookmarkEnd w:id="3"/>
      <w:bookmarkEnd w:id="4"/>
      <w:bookmarkEnd w:id="5"/>
      <w:bookmarkEnd w:id="6"/>
      <w:bookmarkEnd w:id="7"/>
      <w:bookmarkEnd w:id="8"/>
      <w:bookmarkEnd w:id="9"/>
      <w:bookmarkEnd w:id="10"/>
      <w:bookmarkEnd w:id="14"/>
      <w:bookmarkEnd w:id="15"/>
      <w:bookmarkEnd w:id="16"/>
      <w:bookmarkStart w:id="17" w:name="_Toc131410572"/>
      <w:bookmarkStart w:id="18" w:name="_Toc17173"/>
      <w:bookmarkStart w:id="19" w:name="_Toc18602"/>
      <w:bookmarkStart w:id="20" w:name="_Toc14359"/>
      <w:bookmarkStart w:id="21" w:name="_Toc17968"/>
      <w:bookmarkStart w:id="22" w:name="_Toc546"/>
      <w:r>
        <w:rPr>
          <w:rFonts w:hint="eastAsia"/>
          <w:color w:val="000000"/>
          <w:sz w:val="44"/>
          <w:szCs w:val="56"/>
        </w:rPr>
        <w:t>（2023年版）说明</w:t>
      </w:r>
      <w:bookmarkEnd w:id="11"/>
      <w:bookmarkEnd w:id="12"/>
      <w:bookmarkEnd w:id="13"/>
      <w:bookmarkEnd w:id="17"/>
      <w:bookmarkEnd w:id="18"/>
      <w:bookmarkEnd w:id="19"/>
      <w:bookmarkEnd w:id="20"/>
      <w:bookmarkEnd w:id="21"/>
      <w:bookmarkEnd w:id="22"/>
      <w:bookmarkStart w:id="23" w:name="bookmark9"/>
    </w:p>
    <w:p>
      <w:pPr>
        <w:spacing w:line="500" w:lineRule="exact"/>
        <w:rPr>
          <w:color w:val="000000"/>
          <w:lang w:val="zh-TW"/>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000000"/>
          <w:sz w:val="32"/>
          <w:szCs w:val="32"/>
          <w:lang w:val="zh-TW" w:eastAsia="zh-TW"/>
        </w:rPr>
      </w:pPr>
      <w:r>
        <w:rPr>
          <w:rFonts w:hint="eastAsia" w:ascii="仿宋_GB2312" w:hAnsi="仿宋_GB2312" w:eastAsia="仿宋_GB2312" w:cs="仿宋_GB2312"/>
          <w:color w:val="000000"/>
          <w:sz w:val="32"/>
          <w:szCs w:val="32"/>
          <w:lang w:val="en-US" w:eastAsia="zh-CN" w:bidi="zh-TW"/>
        </w:rPr>
        <w:t xml:space="preserve">    </w:t>
      </w:r>
      <w:r>
        <w:rPr>
          <w:rFonts w:hint="eastAsia" w:ascii="仿宋_GB2312" w:hAnsi="仿宋_GB2312" w:eastAsia="仿宋_GB2312" w:cs="仿宋_GB2312"/>
          <w:color w:val="000000"/>
          <w:sz w:val="32"/>
          <w:szCs w:val="32"/>
          <w:lang w:val="zh-TW" w:bidi="zh-TW"/>
        </w:rPr>
        <w:t>根据</w:t>
      </w:r>
      <w:r>
        <w:rPr>
          <w:rFonts w:hint="eastAsia" w:ascii="仿宋_GB2312" w:hAnsi="仿宋_GB2312" w:eastAsia="仿宋_GB2312" w:cs="仿宋_GB2312"/>
          <w:color w:val="000000"/>
          <w:sz w:val="32"/>
          <w:szCs w:val="32"/>
          <w:lang w:val="zh-TW" w:eastAsia="zh-TW" w:bidi="zh-TW"/>
        </w:rPr>
        <w:t>国家卫生健康委《三级医院评审标准（202</w:t>
      </w:r>
      <w:r>
        <w:rPr>
          <w:rFonts w:hint="eastAsia" w:ascii="仿宋_GB2312" w:hAnsi="仿宋_GB2312" w:eastAsia="仿宋_GB2312" w:cs="仿宋_GB2312"/>
          <w:color w:val="000000"/>
          <w:sz w:val="32"/>
          <w:szCs w:val="32"/>
          <w:lang w:bidi="zh-TW"/>
        </w:rPr>
        <w:t>2</w:t>
      </w:r>
      <w:r>
        <w:rPr>
          <w:rFonts w:hint="eastAsia" w:ascii="仿宋_GB2312" w:hAnsi="仿宋_GB2312" w:eastAsia="仿宋_GB2312" w:cs="仿宋_GB2312"/>
          <w:color w:val="000000"/>
          <w:sz w:val="32"/>
          <w:szCs w:val="32"/>
          <w:lang w:val="zh-TW" w:eastAsia="zh-TW" w:bidi="zh-TW"/>
        </w:rPr>
        <w:t>年版）》</w:t>
      </w:r>
      <w:r>
        <w:rPr>
          <w:rFonts w:hint="eastAsia" w:ascii="仿宋_GB2312" w:hAnsi="仿宋_GB2312" w:eastAsia="仿宋_GB2312" w:cs="仿宋_GB2312"/>
          <w:color w:val="000000"/>
          <w:sz w:val="32"/>
          <w:szCs w:val="32"/>
          <w:lang w:bidi="ar"/>
        </w:rPr>
        <w:t>《三级医院评审标准（2022年版）实施细则》</w:t>
      </w:r>
      <w:r>
        <w:rPr>
          <w:rFonts w:hint="eastAsia" w:ascii="仿宋_GB2312" w:hAnsi="仿宋_GB2312" w:eastAsia="仿宋_GB2312" w:cs="仿宋_GB2312"/>
          <w:color w:val="000000"/>
          <w:sz w:val="32"/>
          <w:szCs w:val="32"/>
          <w:lang w:val="zh-TW" w:eastAsia="zh-TW" w:bidi="zh-TW"/>
        </w:rPr>
        <w:t>（以下简称《国家标准》）</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snapToGrid w:val="0"/>
          <w:color w:val="000000"/>
          <w:sz w:val="32"/>
          <w:szCs w:val="32"/>
        </w:rPr>
        <w:t>结合《广西壮族自治区三级综合医院评审标准实施细则（2020年版）》实施2年来的评审经验</w:t>
      </w:r>
      <w:r>
        <w:rPr>
          <w:rFonts w:hint="eastAsia" w:ascii="仿宋_GB2312" w:hAnsi="仿宋_GB2312" w:eastAsia="仿宋_GB2312" w:cs="仿宋_GB2312"/>
          <w:snapToGrid w:val="0"/>
          <w:color w:val="000000"/>
          <w:sz w:val="32"/>
          <w:szCs w:val="32"/>
          <w:lang w:val="zh-TW" w:eastAsia="zh-TW"/>
        </w:rPr>
        <w:t>，</w:t>
      </w:r>
      <w:r>
        <w:rPr>
          <w:rFonts w:hint="eastAsia" w:ascii="仿宋_GB2312" w:hAnsi="仿宋_GB2312" w:eastAsia="仿宋_GB2312" w:cs="仿宋_GB2312"/>
          <w:color w:val="000000"/>
          <w:sz w:val="32"/>
          <w:szCs w:val="32"/>
          <w:lang w:val="zh-TW" w:bidi="zh-TW"/>
        </w:rPr>
        <w:t>广西壮族自治区卫生健康委员会</w:t>
      </w:r>
      <w:r>
        <w:rPr>
          <w:rFonts w:hint="eastAsia" w:ascii="仿宋_GB2312" w:hAnsi="仿宋_GB2312" w:eastAsia="仿宋_GB2312" w:cs="仿宋_GB2312"/>
          <w:color w:val="000000"/>
          <w:sz w:val="32"/>
          <w:szCs w:val="32"/>
          <w:lang w:bidi="zh-TW"/>
        </w:rPr>
        <w:t>编制</w:t>
      </w:r>
      <w:r>
        <w:rPr>
          <w:rFonts w:hint="eastAsia" w:ascii="仿宋_GB2312" w:hAnsi="仿宋_GB2312" w:eastAsia="仿宋_GB2312" w:cs="仿宋_GB2312"/>
          <w:color w:val="000000"/>
          <w:sz w:val="32"/>
          <w:szCs w:val="32"/>
          <w:lang w:val="zh-TW" w:eastAsia="zh-TW" w:bidi="zh-TW"/>
        </w:rPr>
        <w:t>了《</w:t>
      </w:r>
      <w:r>
        <w:rPr>
          <w:rFonts w:hint="eastAsia" w:ascii="仿宋_GB2312" w:hAnsi="仿宋_GB2312" w:eastAsia="仿宋_GB2312" w:cs="仿宋_GB2312"/>
          <w:color w:val="000000"/>
          <w:sz w:val="32"/>
          <w:szCs w:val="32"/>
          <w:lang w:val="zh-TW" w:bidi="zh-TW"/>
        </w:rPr>
        <w:t>广西壮族自治区</w:t>
      </w:r>
      <w:r>
        <w:rPr>
          <w:rFonts w:hint="eastAsia" w:ascii="仿宋_GB2312" w:hAnsi="仿宋_GB2312" w:eastAsia="仿宋_GB2312" w:cs="仿宋_GB2312"/>
          <w:color w:val="000000"/>
          <w:sz w:val="32"/>
          <w:szCs w:val="32"/>
          <w:lang w:val="zh-TW" w:eastAsia="zh-TW" w:bidi="zh-TW"/>
        </w:rPr>
        <w:t>三级</w:t>
      </w:r>
      <w:r>
        <w:rPr>
          <w:rFonts w:hint="eastAsia" w:ascii="仿宋_GB2312" w:hAnsi="仿宋_GB2312" w:eastAsia="仿宋_GB2312" w:cs="仿宋_GB2312"/>
          <w:color w:val="000000"/>
          <w:sz w:val="32"/>
          <w:szCs w:val="32"/>
          <w:lang w:val="en-US" w:eastAsia="zh-CN" w:bidi="zh-TW"/>
        </w:rPr>
        <w:t>皮肤病专科医院</w:t>
      </w:r>
      <w:r>
        <w:rPr>
          <w:rFonts w:hint="eastAsia" w:ascii="仿宋_GB2312" w:hAnsi="仿宋_GB2312" w:eastAsia="仿宋_GB2312" w:cs="仿宋_GB2312"/>
          <w:b w:val="0"/>
          <w:bCs w:val="0"/>
          <w:color w:val="000000"/>
          <w:sz w:val="32"/>
          <w:szCs w:val="32"/>
          <w:lang w:val="zh-TW" w:eastAsia="zh-TW" w:bidi="zh-TW"/>
        </w:rPr>
        <w:t>评审</w:t>
      </w:r>
      <w:r>
        <w:rPr>
          <w:rFonts w:hint="eastAsia" w:ascii="仿宋_GB2312" w:hAnsi="仿宋_GB2312" w:eastAsia="仿宋_GB2312" w:cs="仿宋_GB2312"/>
          <w:b w:val="0"/>
          <w:bCs w:val="0"/>
          <w:color w:val="000000"/>
          <w:sz w:val="32"/>
          <w:szCs w:val="32"/>
          <w:lang w:val="en-US" w:eastAsia="zh-CN" w:bidi="zh-TW"/>
        </w:rPr>
        <w:t>标准实</w:t>
      </w:r>
      <w:r>
        <w:rPr>
          <w:rFonts w:hint="eastAsia" w:ascii="仿宋_GB2312" w:hAnsi="仿宋_GB2312" w:eastAsia="仿宋_GB2312" w:cs="仿宋_GB2312"/>
          <w:b w:val="0"/>
          <w:bCs w:val="0"/>
          <w:color w:val="000000"/>
          <w:sz w:val="32"/>
          <w:szCs w:val="32"/>
          <w:lang w:val="zh-TW" w:eastAsia="zh-TW" w:bidi="zh-TW"/>
        </w:rPr>
        <w:t>施</w:t>
      </w:r>
      <w:r>
        <w:rPr>
          <w:rFonts w:hint="eastAsia" w:ascii="仿宋_GB2312" w:hAnsi="仿宋_GB2312" w:eastAsia="仿宋_GB2312" w:cs="仿宋_GB2312"/>
          <w:b w:val="0"/>
          <w:bCs w:val="0"/>
          <w:color w:val="000000"/>
          <w:sz w:val="32"/>
          <w:szCs w:val="32"/>
          <w:highlight w:val="none"/>
          <w:lang w:val="zh-TW" w:eastAsia="zh-TW" w:bidi="zh-TW"/>
        </w:rPr>
        <w:t>细则》</w:t>
      </w:r>
      <w:r>
        <w:rPr>
          <w:rFonts w:hint="eastAsia" w:ascii="仿宋_GB2312" w:hAnsi="仿宋_GB2312" w:eastAsia="仿宋_GB2312" w:cs="仿宋_GB2312"/>
          <w:b w:val="0"/>
          <w:bCs w:val="0"/>
          <w:snapToGrid w:val="0"/>
          <w:color w:val="000000"/>
          <w:sz w:val="32"/>
          <w:szCs w:val="32"/>
          <w:lang w:val="zh-TW" w:eastAsia="zh-TW"/>
        </w:rPr>
        <w:t>（以下简称《实施细则》）</w:t>
      </w:r>
      <w:r>
        <w:rPr>
          <w:rFonts w:hint="eastAsia" w:ascii="仿宋_GB2312" w:hAnsi="仿宋_GB2312" w:eastAsia="仿宋_GB2312" w:cs="仿宋_GB2312"/>
          <w:b w:val="0"/>
          <w:bCs w:val="0"/>
          <w:color w:val="000000"/>
          <w:sz w:val="32"/>
          <w:szCs w:val="32"/>
          <w:highlight w:val="none"/>
          <w:lang w:val="zh-TW" w:eastAsia="zh-CN" w:bidi="zh-TW"/>
        </w:rPr>
        <w:t>，</w:t>
      </w:r>
      <w:bookmarkEnd w:id="23"/>
      <w:bookmarkStart w:id="24" w:name="bookmark11"/>
      <w:r>
        <w:rPr>
          <w:rFonts w:hint="eastAsia" w:ascii="仿宋_GB2312" w:hAnsi="仿宋_GB2312" w:eastAsia="仿宋_GB2312" w:cs="仿宋_GB2312"/>
          <w:b w:val="0"/>
          <w:bCs w:val="0"/>
          <w:snapToGrid w:val="0"/>
          <w:color w:val="000000"/>
          <w:sz w:val="32"/>
          <w:szCs w:val="32"/>
          <w:lang w:val="zh-TW" w:eastAsia="zh-TW"/>
        </w:rPr>
        <w:t>《实施细则》</w:t>
      </w:r>
      <w:r>
        <w:rPr>
          <w:rFonts w:hint="eastAsia" w:ascii="仿宋_GB2312" w:hAnsi="仿宋_GB2312" w:eastAsia="仿宋_GB2312" w:cs="仿宋_GB2312"/>
          <w:b w:val="0"/>
          <w:bCs w:val="0"/>
          <w:color w:val="000000"/>
          <w:sz w:val="32"/>
          <w:szCs w:val="32"/>
          <w:highlight w:val="none"/>
          <w:lang w:val="zh-TW" w:eastAsia="zh-TW" w:bidi="zh-TW"/>
        </w:rPr>
        <w:t>共</w:t>
      </w:r>
      <w:r>
        <w:rPr>
          <w:rFonts w:hint="eastAsia" w:ascii="仿宋_GB2312" w:hAnsi="仿宋_GB2312" w:eastAsia="仿宋_GB2312" w:cs="仿宋_GB2312"/>
          <w:b w:val="0"/>
          <w:bCs w:val="0"/>
          <w:color w:val="000000"/>
          <w:sz w:val="32"/>
          <w:szCs w:val="32"/>
          <w:highlight w:val="none"/>
          <w:lang w:val="zh-TW" w:eastAsia="zh-TW"/>
        </w:rPr>
        <w:t>设3个部分</w:t>
      </w:r>
      <w:r>
        <w:rPr>
          <w:rFonts w:hint="eastAsia" w:ascii="仿宋_GB2312" w:hAnsi="仿宋_GB2312" w:eastAsia="仿宋_GB2312" w:cs="仿宋_GB2312"/>
          <w:b w:val="0"/>
          <w:bCs w:val="0"/>
          <w:color w:val="000000"/>
          <w:sz w:val="32"/>
          <w:szCs w:val="32"/>
          <w:highlight w:val="none"/>
          <w:lang w:val="en-US" w:eastAsia="zh-CN"/>
        </w:rPr>
        <w:t>7章52</w:t>
      </w:r>
      <w:r>
        <w:rPr>
          <w:rFonts w:hint="eastAsia" w:ascii="仿宋_GB2312" w:hAnsi="仿宋_GB2312" w:eastAsia="仿宋_GB2312" w:cs="仿宋_GB2312"/>
          <w:b w:val="0"/>
          <w:bCs w:val="0"/>
          <w:color w:val="000000"/>
          <w:sz w:val="32"/>
          <w:szCs w:val="32"/>
          <w:highlight w:val="none"/>
          <w:lang w:val="zh-TW" w:eastAsia="zh-TW"/>
        </w:rPr>
        <w:t>节</w:t>
      </w:r>
      <w:r>
        <w:rPr>
          <w:rFonts w:hint="default" w:ascii="仿宋_GB2312" w:hAnsi="仿宋_GB2312" w:eastAsia="仿宋_GB2312" w:cs="仿宋_GB2312"/>
          <w:b w:val="0"/>
          <w:bCs w:val="0"/>
          <w:color w:val="000000"/>
          <w:sz w:val="32"/>
          <w:szCs w:val="32"/>
          <w:highlight w:val="none"/>
          <w:lang w:val="en" w:eastAsia="zh-CN"/>
        </w:rPr>
        <w:t>400</w:t>
      </w:r>
      <w:r>
        <w:rPr>
          <w:rFonts w:hint="eastAsia" w:ascii="仿宋_GB2312" w:hAnsi="仿宋_GB2312" w:eastAsia="仿宋_GB2312" w:cs="仿宋_GB2312"/>
          <w:b w:val="0"/>
          <w:bCs w:val="0"/>
          <w:color w:val="000000"/>
          <w:sz w:val="32"/>
          <w:szCs w:val="32"/>
          <w:lang w:val="zh-TW" w:eastAsia="zh-TW"/>
        </w:rPr>
        <w:t>条标准</w:t>
      </w:r>
      <w:r>
        <w:rPr>
          <w:rFonts w:hint="eastAsia" w:ascii="仿宋_GB2312" w:hAnsi="仿宋_GB2312" w:eastAsia="仿宋_GB2312" w:cs="仿宋_GB2312"/>
          <w:b w:val="0"/>
          <w:bCs w:val="0"/>
          <w:color w:val="000000"/>
          <w:sz w:val="32"/>
          <w:szCs w:val="32"/>
          <w:lang w:val="zh-TW"/>
        </w:rPr>
        <w:t>及其</w:t>
      </w:r>
      <w:r>
        <w:rPr>
          <w:rFonts w:hint="eastAsia" w:ascii="仿宋_GB2312" w:hAnsi="仿宋_GB2312" w:eastAsia="仿宋_GB2312" w:cs="仿宋_GB2312"/>
          <w:b w:val="0"/>
          <w:bCs w:val="0"/>
          <w:color w:val="000000"/>
          <w:sz w:val="32"/>
          <w:szCs w:val="32"/>
          <w:lang w:val="en-US" w:eastAsia="zh-CN"/>
        </w:rPr>
        <w:t>监测指标</w:t>
      </w:r>
      <w:r>
        <w:rPr>
          <w:rFonts w:hint="eastAsia" w:ascii="仿宋_GB2312" w:hAnsi="仿宋_GB2312" w:eastAsia="仿宋_GB2312" w:cs="仿宋_GB2312"/>
          <w:b w:val="0"/>
          <w:bCs w:val="0"/>
          <w:color w:val="000000"/>
          <w:sz w:val="32"/>
          <w:szCs w:val="32"/>
          <w:lang w:val="zh-TW" w:eastAsia="zh-TW"/>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第一部分为前置要求部分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医院</w:t>
      </w:r>
      <w:r>
        <w:rPr>
          <w:rFonts w:hint="eastAsia" w:ascii="仿宋_GB2312" w:hAnsi="仿宋_GB2312" w:eastAsia="仿宋_GB2312" w:cs="仿宋_GB2312"/>
          <w:color w:val="000000"/>
          <w:sz w:val="32"/>
          <w:szCs w:val="32"/>
        </w:rPr>
        <w:t>评审周期为四年，医院在评审周期满前三个月须申请复审，未申请复审的，期满后按照“未定等”管理。医院在评审周期内发生一项及以上情形的，延期一年评审。延期期间原等次取消，按照“未定等”管理。自治区卫生健康行政部门应当在收到医院提交的评审申请材料后，向有关部门和社会公开征询参评医院是否存在违反前置条件的情况，征询时间不少于7天。</w:t>
      </w:r>
    </w:p>
    <w:p>
      <w:pPr>
        <w:keepNext w:val="0"/>
        <w:keepLines w:val="0"/>
        <w:pageBreakBefore w:val="0"/>
        <w:widowControl w:val="0"/>
        <w:tabs>
          <w:tab w:val="left" w:pos="2160"/>
        </w:tabs>
        <w:kinsoku/>
        <w:wordWrap/>
        <w:overflowPunct/>
        <w:topLinePunct w:val="0"/>
        <w:autoSpaceDE/>
        <w:autoSpaceDN/>
        <w:bidi w:val="0"/>
        <w:adjustRightInd/>
        <w:snapToGrid/>
        <w:spacing w:line="560" w:lineRule="exact"/>
        <w:ind w:right="-86" w:rightChars="-41" w:firstLine="640" w:firstLineChars="200"/>
        <w:jc w:val="both"/>
        <w:textAlignment w:val="auto"/>
        <w:rPr>
          <w:rFonts w:hint="eastAsia" w:ascii="黑体" w:hAnsi="黑体" w:eastAsia="黑体" w:cs="黑体"/>
          <w:color w:val="000000"/>
          <w:sz w:val="32"/>
          <w:szCs w:val="32"/>
          <w:lang w:val="zh-TW" w:eastAsia="zh-TW"/>
        </w:rPr>
      </w:pPr>
      <w:bookmarkStart w:id="25" w:name="bookmark10"/>
      <w:r>
        <w:rPr>
          <w:rFonts w:hint="eastAsia" w:ascii="黑体" w:hAnsi="黑体" w:eastAsia="黑体" w:cs="黑体"/>
          <w:color w:val="000000"/>
          <w:sz w:val="32"/>
          <w:szCs w:val="32"/>
          <w:lang w:val="zh-TW" w:eastAsia="zh-TW"/>
        </w:rPr>
        <w:t>二</w:t>
      </w:r>
      <w:bookmarkEnd w:id="25"/>
      <w:r>
        <w:rPr>
          <w:rFonts w:hint="eastAsia" w:ascii="黑体" w:hAnsi="黑体" w:eastAsia="黑体" w:cs="黑体"/>
          <w:color w:val="000000"/>
          <w:sz w:val="32"/>
          <w:szCs w:val="32"/>
          <w:lang w:val="zh-TW" w:eastAsia="zh-TW"/>
        </w:rPr>
        <w:t>、第二部分为医疗服务能力与质量安全监测数据部分</w:t>
      </w:r>
    </w:p>
    <w:p>
      <w:pPr>
        <w:keepNext w:val="0"/>
        <w:keepLines w:val="0"/>
        <w:pageBreakBefore w:val="0"/>
        <w:widowControl w:val="0"/>
        <w:tabs>
          <w:tab w:val="left" w:pos="2160"/>
        </w:tabs>
        <w:kinsoku/>
        <w:wordWrap/>
        <w:overflowPunct/>
        <w:topLinePunct w:val="0"/>
        <w:autoSpaceDE/>
        <w:autoSpaceDN/>
        <w:bidi w:val="0"/>
        <w:adjustRightInd/>
        <w:snapToGrid/>
        <w:spacing w:line="560" w:lineRule="exact"/>
        <w:ind w:right="-86" w:rightChars="-41" w:firstLine="640" w:firstLineChars="200"/>
        <w:jc w:val="both"/>
        <w:textAlignment w:val="auto"/>
        <w:rPr>
          <w:rFonts w:hint="eastAsia" w:ascii="仿宋_GB2312" w:hAnsi="仿宋_GB2312" w:eastAsia="仿宋_GB2312" w:cs="仿宋_GB2312"/>
          <w:snapToGrid w:val="0"/>
          <w:color w:val="000000"/>
          <w:sz w:val="32"/>
          <w:szCs w:val="32"/>
          <w:lang w:val="zh-TW" w:eastAsia="zh-TW" w:bidi="zh-TW"/>
        </w:rPr>
      </w:pPr>
      <w:r>
        <w:rPr>
          <w:rFonts w:hint="eastAsia" w:ascii="仿宋_GB2312" w:hAnsi="仿宋_GB2312" w:eastAsia="仿宋_GB2312" w:cs="仿宋_GB2312"/>
          <w:b w:val="0"/>
          <w:bCs w:val="0"/>
          <w:color w:val="000000"/>
          <w:sz w:val="32"/>
          <w:szCs w:val="32"/>
          <w:highlight w:val="none"/>
          <w:lang w:val="zh-TW" w:eastAsia="zh-TW" w:bidi="zh-TW"/>
        </w:rPr>
        <w:t>共设</w:t>
      </w:r>
      <w:r>
        <w:rPr>
          <w:rFonts w:hint="eastAsia" w:ascii="仿宋_GB2312" w:hAnsi="仿宋_GB2312" w:eastAsia="仿宋_GB2312" w:cs="仿宋_GB2312"/>
          <w:b w:val="0"/>
          <w:bCs w:val="0"/>
          <w:color w:val="000000"/>
          <w:sz w:val="32"/>
          <w:szCs w:val="32"/>
          <w:highlight w:val="none"/>
          <w:lang w:val="en-US" w:eastAsia="zh-CN" w:bidi="zh-TW"/>
        </w:rPr>
        <w:t>4</w:t>
      </w:r>
      <w:r>
        <w:rPr>
          <w:rFonts w:hint="eastAsia" w:ascii="仿宋_GB2312" w:hAnsi="仿宋_GB2312" w:eastAsia="仿宋_GB2312" w:cs="仿宋_GB2312"/>
          <w:b w:val="0"/>
          <w:bCs w:val="0"/>
          <w:color w:val="000000"/>
          <w:sz w:val="32"/>
          <w:szCs w:val="32"/>
          <w:highlight w:val="none"/>
          <w:lang w:val="zh-TW" w:eastAsia="zh-TW" w:bidi="zh-TW"/>
        </w:rPr>
        <w:t>章</w:t>
      </w:r>
      <w:r>
        <w:rPr>
          <w:rFonts w:hint="eastAsia" w:ascii="仿宋_GB2312" w:hAnsi="仿宋_GB2312" w:eastAsia="仿宋_GB2312" w:cs="仿宋_GB2312"/>
          <w:b w:val="0"/>
          <w:bCs w:val="0"/>
          <w:color w:val="000000"/>
          <w:sz w:val="32"/>
          <w:szCs w:val="32"/>
          <w:highlight w:val="none"/>
          <w:lang w:val="en-US" w:eastAsia="zh-CN" w:bidi="zh-TW"/>
        </w:rPr>
        <w:t>2</w:t>
      </w:r>
      <w:r>
        <w:rPr>
          <w:rFonts w:hint="eastAsia" w:ascii="仿宋_GB2312" w:hAnsi="仿宋_GB2312" w:eastAsia="仿宋_GB2312" w:cs="仿宋_GB2312"/>
          <w:b w:val="0"/>
          <w:bCs w:val="0"/>
          <w:color w:val="000000"/>
          <w:sz w:val="32"/>
          <w:szCs w:val="32"/>
          <w:highlight w:val="none"/>
          <w:lang w:val="zh-TW" w:eastAsia="zh-TW" w:bidi="zh-TW"/>
        </w:rPr>
        <w:t>3节</w:t>
      </w:r>
      <w:r>
        <w:rPr>
          <w:rFonts w:hint="eastAsia" w:ascii="仿宋_GB2312" w:hAnsi="仿宋_GB2312" w:eastAsia="仿宋_GB2312" w:cs="仿宋_GB2312"/>
          <w:b w:val="0"/>
          <w:bCs w:val="0"/>
          <w:color w:val="000000"/>
          <w:sz w:val="32"/>
          <w:szCs w:val="32"/>
          <w:highlight w:val="none"/>
          <w:lang w:val="en-US" w:eastAsia="zh-CN" w:bidi="zh-TW"/>
        </w:rPr>
        <w:t>181</w:t>
      </w:r>
      <w:r>
        <w:rPr>
          <w:rFonts w:hint="eastAsia" w:ascii="仿宋_GB2312" w:hAnsi="仿宋_GB2312" w:eastAsia="仿宋_GB2312" w:cs="仿宋_GB2312"/>
          <w:b w:val="0"/>
          <w:bCs w:val="0"/>
          <w:color w:val="000000"/>
          <w:sz w:val="32"/>
          <w:szCs w:val="32"/>
          <w:highlight w:val="none"/>
          <w:lang w:val="zh-TW" w:eastAsia="zh-TW" w:bidi="zh-TW"/>
        </w:rPr>
        <w:t>条</w:t>
      </w:r>
      <w:r>
        <w:rPr>
          <w:rFonts w:hint="eastAsia" w:ascii="仿宋_GB2312" w:hAnsi="仿宋_GB2312" w:eastAsia="仿宋_GB2312" w:cs="仿宋_GB2312"/>
          <w:b w:val="0"/>
          <w:bCs w:val="0"/>
          <w:color w:val="000000"/>
          <w:sz w:val="32"/>
          <w:szCs w:val="32"/>
          <w:highlight w:val="none"/>
          <w:lang w:val="en-US" w:eastAsia="zh-CN" w:bidi="zh-TW"/>
        </w:rPr>
        <w:t>278</w:t>
      </w:r>
      <w:r>
        <w:rPr>
          <w:rFonts w:hint="eastAsia" w:ascii="仿宋_GB2312" w:hAnsi="仿宋_GB2312" w:eastAsia="仿宋_GB2312" w:cs="仿宋_GB2312"/>
          <w:b w:val="0"/>
          <w:bCs w:val="0"/>
          <w:color w:val="000000"/>
          <w:sz w:val="32"/>
          <w:szCs w:val="32"/>
          <w:highlight w:val="none"/>
          <w:lang w:val="zh-TW" w:eastAsia="zh-TW" w:bidi="zh-TW"/>
        </w:rPr>
        <w:t>个监测指标。内容包括医院资源配置、质量、安全、服务、绩效等指标监测，单病种和</w:t>
      </w:r>
      <w:r>
        <w:rPr>
          <w:rFonts w:hint="eastAsia" w:ascii="仿宋_GB2312" w:hAnsi="仿宋_GB2312" w:eastAsia="仿宋_GB2312" w:cs="仿宋_GB2312"/>
          <w:b w:val="0"/>
          <w:bCs w:val="0"/>
          <w:color w:val="000000"/>
          <w:sz w:val="32"/>
          <w:szCs w:val="32"/>
          <w:highlight w:val="none"/>
          <w:lang w:val="en-US" w:eastAsia="zh-CN" w:bidi="zh-TW"/>
        </w:rPr>
        <w:t>重点监测病（术）种</w:t>
      </w:r>
      <w:r>
        <w:rPr>
          <w:rFonts w:hint="eastAsia" w:ascii="仿宋_GB2312" w:hAnsi="仿宋_GB2312" w:eastAsia="仿宋_GB2312" w:cs="仿宋_GB2312"/>
          <w:b w:val="0"/>
          <w:bCs w:val="0"/>
          <w:color w:val="000000"/>
          <w:sz w:val="32"/>
          <w:szCs w:val="32"/>
          <w:highlight w:val="none"/>
          <w:lang w:val="zh-TW" w:eastAsia="zh-TW" w:bidi="zh-TW"/>
        </w:rPr>
        <w:t>质控等日常监测数据。第一章是资源配置与运行数据指标，共</w:t>
      </w:r>
      <w:r>
        <w:rPr>
          <w:rFonts w:hint="eastAsia" w:ascii="仿宋_GB2312" w:hAnsi="仿宋_GB2312" w:eastAsia="仿宋_GB2312" w:cs="仿宋_GB2312"/>
          <w:b w:val="0"/>
          <w:bCs w:val="0"/>
          <w:color w:val="000000"/>
          <w:sz w:val="32"/>
          <w:szCs w:val="32"/>
          <w:highlight w:val="none"/>
          <w:lang w:val="en-US" w:eastAsia="zh-CN" w:bidi="zh-TW"/>
        </w:rPr>
        <w:t>5</w:t>
      </w:r>
      <w:r>
        <w:rPr>
          <w:rFonts w:hint="eastAsia" w:ascii="仿宋_GB2312" w:hAnsi="仿宋_GB2312" w:eastAsia="仿宋_GB2312" w:cs="仿宋_GB2312"/>
          <w:b w:val="0"/>
          <w:bCs w:val="0"/>
          <w:color w:val="000000"/>
          <w:sz w:val="32"/>
          <w:szCs w:val="32"/>
          <w:highlight w:val="none"/>
          <w:lang w:val="zh-TW" w:eastAsia="zh-TW" w:bidi="zh-TW"/>
        </w:rPr>
        <w:t>节2</w:t>
      </w:r>
      <w:r>
        <w:rPr>
          <w:rFonts w:hint="eastAsia" w:ascii="仿宋_GB2312" w:hAnsi="仿宋_GB2312" w:eastAsia="仿宋_GB2312" w:cs="仿宋_GB2312"/>
          <w:b w:val="0"/>
          <w:bCs w:val="0"/>
          <w:color w:val="000000"/>
          <w:sz w:val="32"/>
          <w:szCs w:val="32"/>
          <w:highlight w:val="none"/>
          <w:lang w:val="en-US" w:eastAsia="zh-CN" w:bidi="zh-TW"/>
        </w:rPr>
        <w:t>8</w:t>
      </w:r>
      <w:r>
        <w:rPr>
          <w:rFonts w:hint="eastAsia" w:ascii="仿宋_GB2312" w:hAnsi="仿宋_GB2312" w:eastAsia="仿宋_GB2312" w:cs="仿宋_GB2312"/>
          <w:b w:val="0"/>
          <w:bCs w:val="0"/>
          <w:color w:val="000000"/>
          <w:sz w:val="32"/>
          <w:szCs w:val="32"/>
          <w:highlight w:val="none"/>
          <w:lang w:val="zh-TW" w:eastAsia="zh-TW" w:bidi="zh-TW"/>
        </w:rPr>
        <w:t>条</w:t>
      </w:r>
      <w:r>
        <w:rPr>
          <w:rFonts w:hint="eastAsia" w:ascii="仿宋_GB2312" w:hAnsi="仿宋_GB2312" w:eastAsia="仿宋_GB2312" w:cs="仿宋_GB2312"/>
          <w:b w:val="0"/>
          <w:bCs w:val="0"/>
          <w:color w:val="000000"/>
          <w:sz w:val="32"/>
          <w:szCs w:val="32"/>
          <w:highlight w:val="none"/>
          <w:lang w:val="en-US" w:eastAsia="zh-CN" w:bidi="zh-TW"/>
        </w:rPr>
        <w:t>37</w:t>
      </w:r>
      <w:r>
        <w:rPr>
          <w:rFonts w:hint="eastAsia" w:ascii="仿宋_GB2312" w:hAnsi="仿宋_GB2312" w:eastAsia="仿宋_GB2312" w:cs="仿宋_GB2312"/>
          <w:b w:val="0"/>
          <w:bCs w:val="0"/>
          <w:color w:val="000000"/>
          <w:sz w:val="32"/>
          <w:szCs w:val="32"/>
          <w:highlight w:val="none"/>
          <w:lang w:val="zh-TW" w:eastAsia="zh-TW" w:bidi="zh-TW"/>
        </w:rPr>
        <w:t>个监测指标</w:t>
      </w:r>
      <w:r>
        <w:rPr>
          <w:rFonts w:hint="eastAsia" w:ascii="仿宋_GB2312" w:hAnsi="仿宋_GB2312" w:eastAsia="仿宋_GB2312" w:cs="仿宋_GB2312"/>
          <w:b w:val="0"/>
          <w:bCs w:val="0"/>
          <w:color w:val="000000"/>
          <w:sz w:val="32"/>
          <w:szCs w:val="32"/>
          <w:highlight w:val="none"/>
          <w:lang w:val="zh-TW" w:bidi="zh-TW"/>
        </w:rPr>
        <w:t>，</w:t>
      </w:r>
      <w:r>
        <w:rPr>
          <w:rFonts w:hint="eastAsia" w:ascii="仿宋_GB2312" w:hAnsi="仿宋_GB2312" w:eastAsia="仿宋_GB2312" w:cs="仿宋_GB2312"/>
          <w:b w:val="0"/>
          <w:bCs w:val="0"/>
          <w:color w:val="000000"/>
          <w:sz w:val="32"/>
          <w:szCs w:val="32"/>
          <w:highlight w:val="none"/>
          <w:lang w:bidi="zh-TW"/>
        </w:rPr>
        <w:t>包含</w:t>
      </w:r>
      <w:r>
        <w:rPr>
          <w:rFonts w:hint="eastAsia" w:ascii="仿宋_GB2312" w:hAnsi="仿宋_GB2312" w:eastAsia="仿宋_GB2312" w:cs="仿宋_GB2312"/>
          <w:b w:val="0"/>
          <w:bCs w:val="0"/>
          <w:color w:val="000000"/>
          <w:sz w:val="32"/>
          <w:szCs w:val="32"/>
          <w:highlight w:val="none"/>
          <w:lang w:val="en-US" w:eastAsia="zh-CN" w:bidi="zh-TW"/>
        </w:rPr>
        <w:t>2</w:t>
      </w:r>
      <w:r>
        <w:rPr>
          <w:rFonts w:hint="eastAsia" w:ascii="仿宋_GB2312" w:hAnsi="仿宋_GB2312" w:eastAsia="仿宋_GB2312" w:cs="仿宋_GB2312"/>
          <w:b w:val="0"/>
          <w:bCs w:val="0"/>
          <w:color w:val="000000"/>
          <w:sz w:val="32"/>
          <w:szCs w:val="32"/>
          <w:highlight w:val="none"/>
          <w:lang w:bidi="zh-TW"/>
        </w:rPr>
        <w:t>个加分项</w:t>
      </w:r>
      <w:r>
        <w:rPr>
          <w:rFonts w:hint="eastAsia" w:ascii="仿宋_GB2312" w:hAnsi="仿宋_GB2312" w:eastAsia="仿宋_GB2312" w:cs="仿宋_GB2312"/>
          <w:b w:val="0"/>
          <w:bCs w:val="0"/>
          <w:color w:val="000000"/>
          <w:sz w:val="32"/>
          <w:szCs w:val="32"/>
          <w:highlight w:val="none"/>
          <w:lang w:eastAsia="zh-CN" w:bidi="zh-TW"/>
        </w:rPr>
        <w:t>；</w:t>
      </w:r>
      <w:r>
        <w:rPr>
          <w:rFonts w:hint="eastAsia" w:ascii="仿宋_GB2312" w:hAnsi="仿宋_GB2312" w:eastAsia="仿宋_GB2312" w:cs="仿宋_GB2312"/>
          <w:b w:val="0"/>
          <w:bCs w:val="0"/>
          <w:color w:val="000000"/>
          <w:sz w:val="32"/>
          <w:szCs w:val="32"/>
          <w:highlight w:val="none"/>
          <w:lang w:val="zh-TW" w:eastAsia="zh-TW" w:bidi="zh-TW"/>
        </w:rPr>
        <w:t>第二章是医疗服务能力与医院质量安全指标，共</w:t>
      </w:r>
      <w:r>
        <w:rPr>
          <w:rFonts w:hint="eastAsia" w:ascii="仿宋_GB2312" w:hAnsi="仿宋_GB2312" w:eastAsia="仿宋_GB2312" w:cs="仿宋_GB2312"/>
          <w:b w:val="0"/>
          <w:bCs w:val="0"/>
          <w:color w:val="000000"/>
          <w:sz w:val="32"/>
          <w:szCs w:val="32"/>
          <w:highlight w:val="none"/>
          <w:lang w:val="en-US" w:eastAsia="zh-CN" w:bidi="zh-TW"/>
        </w:rPr>
        <w:t>4</w:t>
      </w:r>
      <w:r>
        <w:rPr>
          <w:rFonts w:hint="eastAsia" w:ascii="仿宋_GB2312" w:hAnsi="仿宋_GB2312" w:eastAsia="仿宋_GB2312" w:cs="仿宋_GB2312"/>
          <w:b w:val="0"/>
          <w:bCs w:val="0"/>
          <w:color w:val="000000"/>
          <w:sz w:val="32"/>
          <w:szCs w:val="32"/>
          <w:highlight w:val="none"/>
          <w:lang w:val="zh-TW" w:eastAsia="zh-TW" w:bidi="zh-TW"/>
        </w:rPr>
        <w:t>节</w:t>
      </w:r>
      <w:r>
        <w:rPr>
          <w:rFonts w:hint="eastAsia" w:ascii="仿宋_GB2312" w:hAnsi="仿宋_GB2312" w:eastAsia="仿宋_GB2312" w:cs="仿宋_GB2312"/>
          <w:b w:val="0"/>
          <w:bCs w:val="0"/>
          <w:color w:val="000000"/>
          <w:sz w:val="32"/>
          <w:szCs w:val="32"/>
          <w:highlight w:val="none"/>
          <w:lang w:val="en-US" w:eastAsia="zh-CN" w:bidi="zh-TW"/>
        </w:rPr>
        <w:t>36</w:t>
      </w:r>
      <w:r>
        <w:rPr>
          <w:rFonts w:hint="eastAsia" w:ascii="仿宋_GB2312" w:hAnsi="仿宋_GB2312" w:eastAsia="仿宋_GB2312" w:cs="仿宋_GB2312"/>
          <w:b w:val="0"/>
          <w:bCs w:val="0"/>
          <w:color w:val="000000"/>
          <w:sz w:val="32"/>
          <w:szCs w:val="32"/>
          <w:highlight w:val="none"/>
          <w:lang w:val="zh-TW" w:eastAsia="zh-TW" w:bidi="zh-TW"/>
        </w:rPr>
        <w:t>条</w:t>
      </w:r>
      <w:r>
        <w:rPr>
          <w:rFonts w:hint="eastAsia" w:ascii="仿宋_GB2312" w:hAnsi="仿宋_GB2312" w:eastAsia="仿宋_GB2312" w:cs="仿宋_GB2312"/>
          <w:b w:val="0"/>
          <w:bCs w:val="0"/>
          <w:color w:val="000000"/>
          <w:sz w:val="32"/>
          <w:szCs w:val="32"/>
          <w:highlight w:val="none"/>
          <w:lang w:val="en-US" w:eastAsia="zh-CN" w:bidi="zh-TW"/>
        </w:rPr>
        <w:t>55</w:t>
      </w:r>
      <w:r>
        <w:rPr>
          <w:rFonts w:hint="eastAsia" w:ascii="仿宋_GB2312" w:hAnsi="仿宋_GB2312" w:eastAsia="仿宋_GB2312" w:cs="仿宋_GB2312"/>
          <w:b w:val="0"/>
          <w:bCs w:val="0"/>
          <w:color w:val="000000"/>
          <w:sz w:val="32"/>
          <w:szCs w:val="32"/>
          <w:highlight w:val="none"/>
          <w:lang w:val="zh-TW" w:eastAsia="zh-TW" w:bidi="zh-TW"/>
        </w:rPr>
        <w:t>个监测指标</w:t>
      </w:r>
      <w:r>
        <w:rPr>
          <w:rFonts w:hint="eastAsia" w:ascii="仿宋_GB2312" w:hAnsi="仿宋_GB2312" w:eastAsia="仿宋_GB2312" w:cs="仿宋_GB2312"/>
          <w:b w:val="0"/>
          <w:bCs w:val="0"/>
          <w:color w:val="000000"/>
          <w:sz w:val="32"/>
          <w:szCs w:val="32"/>
          <w:highlight w:val="none"/>
          <w:lang w:val="zh-TW" w:bidi="zh-TW"/>
        </w:rPr>
        <w:t>，</w:t>
      </w:r>
      <w:r>
        <w:rPr>
          <w:rFonts w:hint="eastAsia" w:ascii="仿宋_GB2312" w:hAnsi="仿宋_GB2312" w:eastAsia="仿宋_GB2312" w:cs="仿宋_GB2312"/>
          <w:b w:val="0"/>
          <w:bCs w:val="0"/>
          <w:color w:val="000000"/>
          <w:sz w:val="32"/>
          <w:szCs w:val="32"/>
          <w:highlight w:val="none"/>
          <w:lang w:bidi="zh-TW"/>
        </w:rPr>
        <w:t>包含1个加分项</w:t>
      </w:r>
      <w:r>
        <w:rPr>
          <w:rFonts w:hint="eastAsia" w:ascii="仿宋_GB2312" w:hAnsi="仿宋_GB2312" w:eastAsia="仿宋_GB2312" w:cs="仿宋_GB2312"/>
          <w:b w:val="0"/>
          <w:bCs w:val="0"/>
          <w:color w:val="000000"/>
          <w:sz w:val="32"/>
          <w:szCs w:val="32"/>
          <w:highlight w:val="none"/>
          <w:lang w:eastAsia="zh-CN" w:bidi="zh-TW"/>
        </w:rPr>
        <w:t>；</w:t>
      </w:r>
      <w:r>
        <w:rPr>
          <w:rFonts w:hint="eastAsia" w:ascii="仿宋_GB2312" w:hAnsi="仿宋_GB2312" w:eastAsia="仿宋_GB2312" w:cs="仿宋_GB2312"/>
          <w:b w:val="0"/>
          <w:bCs w:val="0"/>
          <w:color w:val="000000"/>
          <w:sz w:val="32"/>
          <w:szCs w:val="32"/>
          <w:highlight w:val="none"/>
          <w:lang w:val="zh-TW" w:eastAsia="zh-TW" w:bidi="zh-TW"/>
        </w:rPr>
        <w:t>第三章是重点专业质量控制指标，共</w:t>
      </w:r>
      <w:r>
        <w:rPr>
          <w:rFonts w:hint="eastAsia" w:ascii="仿宋_GB2312" w:hAnsi="仿宋_GB2312" w:eastAsia="仿宋_GB2312" w:cs="仿宋_GB2312"/>
          <w:b w:val="0"/>
          <w:bCs w:val="0"/>
          <w:color w:val="000000"/>
          <w:sz w:val="32"/>
          <w:szCs w:val="32"/>
          <w:highlight w:val="none"/>
          <w:lang w:bidi="zh-TW"/>
        </w:rPr>
        <w:t>1</w:t>
      </w:r>
      <w:r>
        <w:rPr>
          <w:rFonts w:hint="eastAsia" w:ascii="仿宋_GB2312" w:hAnsi="仿宋_GB2312" w:eastAsia="仿宋_GB2312" w:cs="仿宋_GB2312"/>
          <w:b w:val="0"/>
          <w:bCs w:val="0"/>
          <w:color w:val="000000"/>
          <w:sz w:val="32"/>
          <w:szCs w:val="32"/>
          <w:highlight w:val="none"/>
          <w:lang w:val="en-US" w:eastAsia="zh-CN" w:bidi="zh-TW"/>
        </w:rPr>
        <w:t>1</w:t>
      </w:r>
      <w:r>
        <w:rPr>
          <w:rFonts w:hint="eastAsia" w:ascii="仿宋_GB2312" w:hAnsi="仿宋_GB2312" w:eastAsia="仿宋_GB2312" w:cs="仿宋_GB2312"/>
          <w:b w:val="0"/>
          <w:bCs w:val="0"/>
          <w:color w:val="000000"/>
          <w:sz w:val="32"/>
          <w:szCs w:val="32"/>
          <w:highlight w:val="none"/>
          <w:lang w:val="zh-TW" w:eastAsia="zh-TW" w:bidi="zh-TW"/>
        </w:rPr>
        <w:t>节</w:t>
      </w:r>
      <w:r>
        <w:rPr>
          <w:rFonts w:hint="eastAsia" w:ascii="仿宋_GB2312" w:hAnsi="仿宋_GB2312" w:eastAsia="仿宋_GB2312" w:cs="仿宋_GB2312"/>
          <w:b w:val="0"/>
          <w:bCs w:val="0"/>
          <w:color w:val="000000"/>
          <w:sz w:val="32"/>
          <w:szCs w:val="32"/>
          <w:highlight w:val="none"/>
          <w:lang w:val="en-US" w:eastAsia="zh-CN" w:bidi="zh-TW"/>
        </w:rPr>
        <w:t>100</w:t>
      </w:r>
      <w:r>
        <w:rPr>
          <w:rFonts w:hint="eastAsia" w:ascii="仿宋_GB2312" w:hAnsi="仿宋_GB2312" w:eastAsia="仿宋_GB2312" w:cs="仿宋_GB2312"/>
          <w:b w:val="0"/>
          <w:bCs w:val="0"/>
          <w:color w:val="000000"/>
          <w:sz w:val="32"/>
          <w:szCs w:val="32"/>
          <w:highlight w:val="none"/>
          <w:lang w:val="zh-TW" w:eastAsia="zh-TW" w:bidi="zh-TW"/>
        </w:rPr>
        <w:t>条</w:t>
      </w:r>
      <w:r>
        <w:rPr>
          <w:rFonts w:hint="eastAsia" w:ascii="仿宋_GB2312" w:hAnsi="仿宋_GB2312" w:eastAsia="仿宋_GB2312" w:cs="仿宋_GB2312"/>
          <w:b w:val="0"/>
          <w:bCs w:val="0"/>
          <w:color w:val="000000"/>
          <w:sz w:val="32"/>
          <w:szCs w:val="32"/>
          <w:highlight w:val="none"/>
          <w:lang w:val="en-US" w:eastAsia="zh-CN" w:bidi="zh-TW"/>
        </w:rPr>
        <w:t>128</w:t>
      </w:r>
      <w:r>
        <w:rPr>
          <w:rFonts w:hint="eastAsia" w:ascii="仿宋_GB2312" w:hAnsi="仿宋_GB2312" w:eastAsia="仿宋_GB2312" w:cs="仿宋_GB2312"/>
          <w:b w:val="0"/>
          <w:bCs w:val="0"/>
          <w:color w:val="000000"/>
          <w:sz w:val="32"/>
          <w:szCs w:val="32"/>
          <w:highlight w:val="none"/>
          <w:lang w:val="zh-TW" w:eastAsia="zh-TW" w:bidi="zh-TW"/>
        </w:rPr>
        <w:t>个监测指标</w:t>
      </w:r>
      <w:r>
        <w:rPr>
          <w:rFonts w:hint="eastAsia" w:ascii="仿宋_GB2312" w:hAnsi="仿宋_GB2312" w:eastAsia="仿宋_GB2312" w:cs="仿宋_GB2312"/>
          <w:b w:val="0"/>
          <w:bCs w:val="0"/>
          <w:color w:val="000000"/>
          <w:sz w:val="32"/>
          <w:szCs w:val="32"/>
          <w:highlight w:val="none"/>
          <w:lang w:val="zh-TW" w:eastAsia="zh-CN" w:bidi="zh-TW"/>
        </w:rPr>
        <w:t>；</w:t>
      </w:r>
      <w:r>
        <w:rPr>
          <w:rFonts w:hint="eastAsia" w:ascii="仿宋_GB2312" w:hAnsi="仿宋_GB2312" w:eastAsia="仿宋_GB2312" w:cs="仿宋_GB2312"/>
          <w:b w:val="0"/>
          <w:bCs w:val="0"/>
          <w:color w:val="000000"/>
          <w:sz w:val="32"/>
          <w:szCs w:val="32"/>
          <w:highlight w:val="none"/>
          <w:lang w:val="zh-TW" w:eastAsia="zh-TW" w:bidi="zh-TW"/>
        </w:rPr>
        <w:t>第四章是单病种（术种）质量控制指标，共3节</w:t>
      </w:r>
      <w:r>
        <w:rPr>
          <w:rFonts w:hint="eastAsia" w:ascii="仿宋_GB2312" w:hAnsi="仿宋_GB2312" w:eastAsia="仿宋_GB2312" w:cs="仿宋_GB2312"/>
          <w:b w:val="0"/>
          <w:bCs w:val="0"/>
          <w:color w:val="000000"/>
          <w:sz w:val="32"/>
          <w:szCs w:val="32"/>
          <w:highlight w:val="none"/>
          <w:lang w:val="en-US" w:eastAsia="zh-CN" w:bidi="zh-TW"/>
        </w:rPr>
        <w:t>17</w:t>
      </w:r>
      <w:r>
        <w:rPr>
          <w:rFonts w:hint="eastAsia" w:ascii="仿宋_GB2312" w:hAnsi="仿宋_GB2312" w:eastAsia="仿宋_GB2312" w:cs="仿宋_GB2312"/>
          <w:b w:val="0"/>
          <w:bCs w:val="0"/>
          <w:color w:val="000000"/>
          <w:sz w:val="32"/>
          <w:szCs w:val="32"/>
          <w:highlight w:val="none"/>
          <w:lang w:val="zh-TW" w:eastAsia="zh-TW" w:bidi="zh-TW"/>
        </w:rPr>
        <w:t>条</w:t>
      </w:r>
      <w:r>
        <w:rPr>
          <w:rFonts w:hint="eastAsia" w:ascii="仿宋_GB2312" w:hAnsi="仿宋_GB2312" w:eastAsia="仿宋_GB2312" w:cs="仿宋_GB2312"/>
          <w:b w:val="0"/>
          <w:bCs w:val="0"/>
          <w:color w:val="000000"/>
          <w:sz w:val="32"/>
          <w:szCs w:val="32"/>
          <w:highlight w:val="none"/>
          <w:lang w:val="en-US" w:eastAsia="zh-CN" w:bidi="zh-TW"/>
        </w:rPr>
        <w:t>58</w:t>
      </w:r>
      <w:r>
        <w:rPr>
          <w:rFonts w:hint="eastAsia" w:ascii="仿宋_GB2312" w:hAnsi="仿宋_GB2312" w:eastAsia="仿宋_GB2312" w:cs="仿宋_GB2312"/>
          <w:b w:val="0"/>
          <w:bCs w:val="0"/>
          <w:color w:val="000000"/>
          <w:sz w:val="32"/>
          <w:szCs w:val="32"/>
          <w:highlight w:val="none"/>
          <w:lang w:val="zh-TW" w:eastAsia="zh-TW" w:bidi="zh-TW"/>
        </w:rPr>
        <w:t>个监测指标。</w:t>
      </w:r>
      <w:r>
        <w:rPr>
          <w:rFonts w:hint="eastAsia" w:ascii="仿宋_GB2312" w:hAnsi="仿宋_GB2312" w:eastAsia="仿宋_GB2312" w:cs="仿宋_GB2312"/>
          <w:b w:val="0"/>
          <w:bCs w:val="0"/>
          <w:color w:val="000000"/>
          <w:sz w:val="32"/>
          <w:szCs w:val="32"/>
          <w:lang w:val="zh-TW" w:eastAsia="zh-TW" w:bidi="zh-TW"/>
        </w:rPr>
        <w:t>本部分监测指标将根据年度国家医疗质量安全改进目标和自治区医疗服务能力与质量安全监测情况进行动态调整，适当增加或减少相关指标。</w:t>
      </w:r>
      <w:r>
        <w:rPr>
          <w:rFonts w:hint="eastAsia" w:ascii="仿宋_GB2312" w:hAnsi="仿宋_GB2312" w:eastAsia="仿宋_GB2312" w:cs="仿宋_GB2312"/>
          <w:b w:val="0"/>
          <w:bCs w:val="0"/>
          <w:snapToGrid w:val="0"/>
          <w:color w:val="000000"/>
          <w:sz w:val="32"/>
          <w:szCs w:val="32"/>
          <w:lang w:val="zh-TW" w:eastAsia="zh-TW" w:bidi="zh-TW"/>
        </w:rPr>
        <w:t>为了体现</w:t>
      </w:r>
      <w:r>
        <w:rPr>
          <w:rFonts w:hint="eastAsia" w:ascii="仿宋_GB2312" w:hAnsi="仿宋_GB2312" w:eastAsia="仿宋_GB2312" w:cs="仿宋_GB2312"/>
          <w:b w:val="0"/>
          <w:bCs w:val="0"/>
          <w:snapToGrid w:val="0"/>
          <w:color w:val="000000"/>
          <w:sz w:val="32"/>
          <w:szCs w:val="32"/>
          <w:lang w:val="en-US" w:eastAsia="zh-CN" w:bidi="zh-TW"/>
        </w:rPr>
        <w:t>皮肤</w:t>
      </w:r>
      <w:r>
        <w:rPr>
          <w:rFonts w:hint="eastAsia" w:ascii="仿宋_GB2312" w:hAnsi="仿宋_GB2312" w:eastAsia="仿宋_GB2312" w:cs="仿宋_GB2312"/>
          <w:b w:val="0"/>
          <w:bCs w:val="0"/>
          <w:snapToGrid w:val="0"/>
          <w:color w:val="000000"/>
          <w:sz w:val="32"/>
          <w:szCs w:val="32"/>
          <w:lang w:bidi="zh-TW"/>
        </w:rPr>
        <w:t>病</w:t>
      </w:r>
      <w:r>
        <w:rPr>
          <w:rFonts w:hint="eastAsia" w:ascii="仿宋_GB2312" w:hAnsi="仿宋_GB2312" w:eastAsia="仿宋_GB2312" w:cs="仿宋_GB2312"/>
          <w:b w:val="0"/>
          <w:bCs w:val="0"/>
          <w:snapToGrid w:val="0"/>
          <w:color w:val="000000"/>
          <w:sz w:val="32"/>
          <w:szCs w:val="32"/>
          <w:lang w:val="zh-TW" w:eastAsia="zh-TW" w:bidi="zh-TW"/>
        </w:rPr>
        <w:t>专科特色</w:t>
      </w:r>
      <w:r>
        <w:rPr>
          <w:rFonts w:hint="eastAsia" w:ascii="仿宋_GB2312" w:hAnsi="仿宋_GB2312" w:eastAsia="仿宋_GB2312" w:cs="仿宋_GB2312"/>
          <w:b w:val="0"/>
          <w:bCs w:val="0"/>
          <w:snapToGrid w:val="0"/>
          <w:color w:val="000000"/>
          <w:sz w:val="32"/>
          <w:szCs w:val="32"/>
          <w:lang w:val="zh-TW" w:eastAsia="zh-CN" w:bidi="zh-TW"/>
        </w:rPr>
        <w:t>，</w:t>
      </w:r>
      <w:r>
        <w:rPr>
          <w:rFonts w:hint="eastAsia" w:ascii="仿宋_GB2312" w:hAnsi="仿宋_GB2312" w:eastAsia="仿宋_GB2312" w:cs="仿宋_GB2312"/>
          <w:snapToGrid w:val="0"/>
          <w:color w:val="000000"/>
          <w:sz w:val="32"/>
          <w:szCs w:val="32"/>
          <w:lang w:val="zh-TW" w:eastAsia="zh-TW" w:bidi="zh-TW"/>
        </w:rPr>
        <w:t>纳入了</w:t>
      </w:r>
      <w:r>
        <w:rPr>
          <w:rFonts w:hint="eastAsia" w:ascii="仿宋_GB2312" w:hAnsi="仿宋_GB2312" w:eastAsia="仿宋_GB2312" w:cs="仿宋_GB2312"/>
          <w:snapToGrid w:val="0"/>
          <w:color w:val="000000"/>
          <w:sz w:val="32"/>
          <w:szCs w:val="32"/>
          <w:lang w:val="zh-TW" w:eastAsia="zh-CN" w:bidi="zh-TW"/>
        </w:rPr>
        <w:t>寻常型银屑病</w:t>
      </w:r>
      <w:r>
        <w:rPr>
          <w:rFonts w:hint="eastAsia" w:ascii="仿宋_GB2312" w:hAnsi="仿宋_GB2312" w:eastAsia="仿宋_GB2312" w:cs="仿宋_GB2312"/>
          <w:snapToGrid w:val="0"/>
          <w:color w:val="000000"/>
          <w:sz w:val="32"/>
          <w:szCs w:val="32"/>
          <w:lang w:val="en-US" w:eastAsia="zh-CN" w:bidi="zh-TW"/>
        </w:rPr>
        <w:t>、泛发性湿疹</w:t>
      </w:r>
      <w:r>
        <w:rPr>
          <w:rFonts w:hint="eastAsia" w:ascii="仿宋_GB2312" w:hAnsi="仿宋_GB2312" w:eastAsia="仿宋_GB2312" w:cs="仿宋_GB2312"/>
          <w:snapToGrid w:val="0"/>
          <w:color w:val="000000"/>
          <w:sz w:val="32"/>
          <w:szCs w:val="32"/>
          <w:lang w:bidi="zh-TW"/>
        </w:rPr>
        <w:t>、</w:t>
      </w:r>
      <w:r>
        <w:rPr>
          <w:rFonts w:hint="eastAsia" w:ascii="仿宋_GB2312" w:hAnsi="仿宋_GB2312" w:eastAsia="仿宋_GB2312" w:cs="仿宋_GB2312"/>
          <w:snapToGrid w:val="0"/>
          <w:color w:val="000000"/>
          <w:sz w:val="32"/>
          <w:szCs w:val="32"/>
          <w:lang w:val="en-US" w:eastAsia="zh-CN" w:bidi="zh-TW"/>
        </w:rPr>
        <w:t>特应性皮炎等皮肤</w:t>
      </w:r>
      <w:r>
        <w:rPr>
          <w:rFonts w:hint="eastAsia" w:ascii="仿宋_GB2312" w:hAnsi="仿宋_GB2312" w:eastAsia="仿宋_GB2312" w:cs="仿宋_GB2312"/>
          <w:snapToGrid w:val="0"/>
          <w:color w:val="000000"/>
          <w:sz w:val="32"/>
          <w:szCs w:val="32"/>
          <w:lang w:val="zh-TW" w:eastAsia="zh-TW" w:bidi="zh-TW"/>
        </w:rPr>
        <w:t>病单病种。</w:t>
      </w:r>
    </w:p>
    <w:p>
      <w:pPr>
        <w:keepNext w:val="0"/>
        <w:keepLines w:val="0"/>
        <w:pageBreakBefore w:val="0"/>
        <w:widowControl w:val="0"/>
        <w:tabs>
          <w:tab w:val="left" w:pos="2160"/>
        </w:tabs>
        <w:kinsoku/>
        <w:wordWrap/>
        <w:overflowPunct/>
        <w:topLinePunct w:val="0"/>
        <w:autoSpaceDE/>
        <w:autoSpaceDN/>
        <w:bidi w:val="0"/>
        <w:adjustRightInd/>
        <w:snapToGrid/>
        <w:spacing w:line="560" w:lineRule="exact"/>
        <w:ind w:right="-86" w:rightChars="-41" w:firstLine="640" w:firstLineChars="200"/>
        <w:jc w:val="both"/>
        <w:textAlignment w:val="auto"/>
        <w:rPr>
          <w:rFonts w:hint="eastAsia" w:ascii="黑体" w:hAnsi="黑体" w:eastAsia="黑体" w:cs="黑体"/>
          <w:color w:val="000000"/>
          <w:sz w:val="32"/>
          <w:szCs w:val="32"/>
          <w:lang w:val="zh-TW" w:eastAsia="zh-TW"/>
        </w:rPr>
      </w:pPr>
      <w:r>
        <w:rPr>
          <w:rFonts w:hint="eastAsia" w:ascii="黑体" w:hAnsi="黑体" w:eastAsia="黑体" w:cs="黑体"/>
          <w:color w:val="000000"/>
          <w:sz w:val="32"/>
          <w:szCs w:val="32"/>
          <w:lang w:val="zh-TW" w:eastAsia="zh-TW"/>
        </w:rPr>
        <w:t>三</w:t>
      </w:r>
      <w:bookmarkEnd w:id="24"/>
      <w:r>
        <w:rPr>
          <w:rFonts w:hint="eastAsia" w:ascii="黑体" w:hAnsi="黑体" w:eastAsia="黑体" w:cs="黑体"/>
          <w:color w:val="000000"/>
          <w:sz w:val="32"/>
          <w:szCs w:val="32"/>
          <w:lang w:val="zh-TW" w:eastAsia="zh-TW"/>
        </w:rPr>
        <w:t>、第三部分为现场检查部分</w:t>
      </w:r>
    </w:p>
    <w:p>
      <w:pPr>
        <w:keepNext w:val="0"/>
        <w:keepLines w:val="0"/>
        <w:pageBreakBefore w:val="0"/>
        <w:widowControl w:val="0"/>
        <w:tabs>
          <w:tab w:val="left" w:pos="2160"/>
        </w:tabs>
        <w:kinsoku/>
        <w:wordWrap/>
        <w:overflowPunct/>
        <w:topLinePunct w:val="0"/>
        <w:autoSpaceDE/>
        <w:autoSpaceDN/>
        <w:bidi w:val="0"/>
        <w:adjustRightInd/>
        <w:snapToGrid/>
        <w:spacing w:line="560" w:lineRule="exact"/>
        <w:ind w:right="-86" w:rightChars="-41" w:firstLine="640" w:firstLineChars="200"/>
        <w:jc w:val="both"/>
        <w:textAlignment w:val="auto"/>
        <w:rPr>
          <w:rFonts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b w:val="0"/>
          <w:bCs w:val="0"/>
          <w:color w:val="000000"/>
          <w:sz w:val="32"/>
          <w:szCs w:val="32"/>
          <w:lang w:val="zh-TW" w:eastAsia="zh-TW" w:bidi="zh-TW"/>
        </w:rPr>
        <w:t>共设3章</w:t>
      </w:r>
      <w:r>
        <w:rPr>
          <w:rFonts w:hint="eastAsia" w:ascii="仿宋_GB2312" w:hAnsi="仿宋_GB2312" w:eastAsia="仿宋_GB2312" w:cs="仿宋_GB2312"/>
          <w:b w:val="0"/>
          <w:bCs w:val="0"/>
          <w:color w:val="000000"/>
          <w:sz w:val="32"/>
          <w:szCs w:val="32"/>
          <w:lang w:val="en-US" w:eastAsia="zh-CN" w:bidi="zh-TW"/>
        </w:rPr>
        <w:t>29</w:t>
      </w:r>
      <w:r>
        <w:rPr>
          <w:rFonts w:hint="eastAsia" w:ascii="仿宋_GB2312" w:hAnsi="仿宋_GB2312" w:eastAsia="仿宋_GB2312" w:cs="仿宋_GB2312"/>
          <w:b w:val="0"/>
          <w:bCs w:val="0"/>
          <w:color w:val="000000"/>
          <w:sz w:val="32"/>
          <w:szCs w:val="32"/>
          <w:lang w:val="zh-TW" w:eastAsia="zh-TW" w:bidi="zh-TW"/>
        </w:rPr>
        <w:t>节1</w:t>
      </w:r>
      <w:r>
        <w:rPr>
          <w:rFonts w:hint="eastAsia" w:ascii="仿宋_GB2312" w:hAnsi="仿宋_GB2312" w:eastAsia="仿宋_GB2312" w:cs="仿宋_GB2312"/>
          <w:b w:val="0"/>
          <w:bCs w:val="0"/>
          <w:color w:val="000000"/>
          <w:sz w:val="32"/>
          <w:szCs w:val="32"/>
          <w:lang w:val="en-US" w:eastAsia="zh-CN" w:bidi="zh-TW"/>
        </w:rPr>
        <w:t>91</w:t>
      </w:r>
      <w:r>
        <w:rPr>
          <w:rFonts w:hint="eastAsia" w:ascii="仿宋_GB2312" w:hAnsi="仿宋_GB2312" w:eastAsia="仿宋_GB2312" w:cs="仿宋_GB2312"/>
          <w:b w:val="0"/>
          <w:bCs w:val="0"/>
          <w:color w:val="000000"/>
          <w:sz w:val="32"/>
          <w:szCs w:val="32"/>
          <w:lang w:val="zh-TW" w:eastAsia="zh-TW" w:bidi="zh-TW"/>
        </w:rPr>
        <w:t>条5</w:t>
      </w:r>
      <w:r>
        <w:rPr>
          <w:rFonts w:hint="eastAsia" w:ascii="仿宋_GB2312" w:hAnsi="仿宋_GB2312" w:eastAsia="仿宋_GB2312" w:cs="仿宋_GB2312"/>
          <w:b w:val="0"/>
          <w:bCs w:val="0"/>
          <w:color w:val="000000"/>
          <w:sz w:val="32"/>
          <w:szCs w:val="32"/>
          <w:lang w:val="en-US" w:eastAsia="zh-CN" w:bidi="zh-TW"/>
        </w:rPr>
        <w:t>13</w:t>
      </w:r>
      <w:r>
        <w:rPr>
          <w:rFonts w:hint="eastAsia" w:ascii="仿宋_GB2312" w:hAnsi="仿宋_GB2312" w:eastAsia="仿宋_GB2312" w:cs="仿宋_GB2312"/>
          <w:b w:val="0"/>
          <w:bCs w:val="0"/>
          <w:color w:val="000000"/>
          <w:sz w:val="32"/>
          <w:szCs w:val="32"/>
          <w:lang w:val="zh-TW" w:eastAsia="zh-TW" w:bidi="zh-TW"/>
        </w:rPr>
        <w:t>个指标。现场检查评审采取文件查阅、记录查看、员工访谈、员工操作、患者访谈、现场检查、病历检查、病案检查和数据核查等方式进行。</w:t>
      </w:r>
    </w:p>
    <w:p>
      <w:pPr>
        <w:keepNext w:val="0"/>
        <w:keepLines w:val="0"/>
        <w:pageBreakBefore w:val="0"/>
        <w:widowControl w:val="0"/>
        <w:tabs>
          <w:tab w:val="left" w:pos="2160"/>
        </w:tabs>
        <w:kinsoku/>
        <w:wordWrap/>
        <w:overflowPunct/>
        <w:topLinePunct w:val="0"/>
        <w:autoSpaceDE/>
        <w:autoSpaceDN/>
        <w:bidi w:val="0"/>
        <w:adjustRightInd/>
        <w:snapToGrid/>
        <w:spacing w:line="560" w:lineRule="exact"/>
        <w:ind w:right="-86" w:rightChars="-41" w:firstLine="640" w:firstLineChars="200"/>
        <w:jc w:val="both"/>
        <w:textAlignment w:val="auto"/>
        <w:rPr>
          <w:rFonts w:hint="eastAsia" w:ascii="黑体" w:hAnsi="黑体" w:eastAsia="黑体" w:cs="黑体"/>
          <w:color w:val="000000"/>
          <w:sz w:val="32"/>
          <w:szCs w:val="32"/>
          <w:lang w:val="zh-TW" w:eastAsia="zh-TW"/>
        </w:rPr>
      </w:pPr>
      <w:bookmarkStart w:id="26" w:name="bookmark12"/>
      <w:bookmarkStart w:id="27" w:name="_Toc26887"/>
      <w:bookmarkStart w:id="28" w:name="_Toc10261"/>
      <w:bookmarkStart w:id="29" w:name="_Toc8978"/>
      <w:bookmarkStart w:id="30" w:name="_Toc20579"/>
      <w:bookmarkStart w:id="31" w:name="_Toc5132"/>
      <w:r>
        <w:rPr>
          <w:rFonts w:hint="eastAsia" w:ascii="黑体" w:hAnsi="黑体" w:eastAsia="黑体" w:cs="黑体"/>
          <w:color w:val="000000"/>
          <w:sz w:val="32"/>
          <w:szCs w:val="32"/>
          <w:lang w:val="zh-TW" w:eastAsia="zh-TW"/>
        </w:rPr>
        <w:t>四</w:t>
      </w:r>
      <w:bookmarkEnd w:id="26"/>
      <w:r>
        <w:rPr>
          <w:rFonts w:hint="eastAsia" w:ascii="黑体" w:hAnsi="黑体" w:eastAsia="黑体" w:cs="黑体"/>
          <w:color w:val="000000"/>
          <w:sz w:val="32"/>
          <w:szCs w:val="32"/>
          <w:lang w:val="zh-TW" w:eastAsia="zh-TW"/>
        </w:rPr>
        <w:t>、计分与评分规则</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val="zh-TW" w:eastAsia="zh-CN"/>
        </w:rPr>
      </w:pPr>
      <w:r>
        <w:rPr>
          <w:rFonts w:hint="eastAsia" w:ascii="楷体" w:hAnsi="楷体" w:eastAsia="楷体" w:cs="楷体"/>
          <w:color w:val="000000"/>
          <w:sz w:val="32"/>
          <w:szCs w:val="32"/>
          <w:lang w:val="zh-TW"/>
        </w:rPr>
        <w:t>（一）</w:t>
      </w:r>
      <w:r>
        <w:rPr>
          <w:rFonts w:hint="eastAsia" w:ascii="楷体" w:hAnsi="楷体" w:eastAsia="楷体" w:cs="楷体"/>
          <w:color w:val="000000"/>
          <w:sz w:val="32"/>
          <w:szCs w:val="32"/>
          <w:lang w:val="zh-TW" w:eastAsia="zh-TW"/>
        </w:rPr>
        <w:t>计分规则</w:t>
      </w:r>
      <w:r>
        <w:rPr>
          <w:rFonts w:hint="eastAsia" w:ascii="楷体" w:hAnsi="楷体" w:eastAsia="楷体" w:cs="楷体"/>
          <w:color w:val="000000"/>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bidi="zh-TW"/>
        </w:rPr>
      </w:pPr>
      <w:r>
        <w:rPr>
          <w:rFonts w:hint="eastAsia" w:ascii="仿宋_GB2312" w:hAnsi="仿宋_GB2312" w:eastAsia="仿宋_GB2312" w:cs="仿宋_GB2312"/>
          <w:color w:val="000000"/>
          <w:sz w:val="32"/>
          <w:szCs w:val="32"/>
          <w:lang w:val="zh-TW" w:eastAsia="zh-TW" w:bidi="zh-TW"/>
        </w:rPr>
        <w:t>实行千分制，第一部分前置要求实行一票否决，不占分数</w:t>
      </w:r>
      <w:r>
        <w:rPr>
          <w:rFonts w:hint="eastAsia" w:ascii="仿宋_GB2312" w:hAnsi="仿宋_GB2312" w:eastAsia="仿宋_GB2312" w:cs="仿宋_GB2312"/>
          <w:color w:val="000000"/>
          <w:sz w:val="32"/>
          <w:szCs w:val="32"/>
          <w:lang w:bidi="zh-TW"/>
        </w:rPr>
        <w:t>；</w:t>
      </w:r>
      <w:r>
        <w:rPr>
          <w:rFonts w:hint="eastAsia" w:ascii="仿宋_GB2312" w:hAnsi="仿宋_GB2312" w:eastAsia="仿宋_GB2312" w:cs="仿宋_GB2312"/>
          <w:color w:val="000000"/>
          <w:sz w:val="32"/>
          <w:szCs w:val="32"/>
          <w:lang w:val="zh-TW" w:eastAsia="zh-TW" w:bidi="zh-TW"/>
        </w:rPr>
        <w:t>第二部分在评审综合得分中的权重占60%</w:t>
      </w:r>
      <w:r>
        <w:rPr>
          <w:rFonts w:hint="eastAsia" w:ascii="仿宋_GB2312" w:hAnsi="仿宋_GB2312" w:eastAsia="仿宋_GB2312" w:cs="仿宋_GB2312"/>
          <w:color w:val="000000"/>
          <w:sz w:val="32"/>
          <w:szCs w:val="32"/>
          <w:lang w:val="zh-TW" w:eastAsia="zh-CN" w:bidi="zh-TW"/>
        </w:rPr>
        <w:t>，</w:t>
      </w:r>
      <w:r>
        <w:rPr>
          <w:rFonts w:hint="eastAsia" w:ascii="仿宋_GB2312" w:hAnsi="仿宋_GB2312" w:eastAsia="仿宋_GB2312" w:cs="仿宋_GB2312"/>
          <w:color w:val="000000"/>
          <w:sz w:val="32"/>
          <w:szCs w:val="32"/>
          <w:lang w:val="zh-TW" w:eastAsia="zh-TW" w:bidi="zh-TW"/>
        </w:rPr>
        <w:t>总分为600分；第三部分在评审综合得分中的权重占40%</w:t>
      </w:r>
      <w:r>
        <w:rPr>
          <w:rFonts w:hint="eastAsia" w:ascii="仿宋_GB2312" w:hAnsi="仿宋_GB2312" w:eastAsia="仿宋_GB2312" w:cs="仿宋_GB2312"/>
          <w:color w:val="000000"/>
          <w:sz w:val="32"/>
          <w:szCs w:val="32"/>
          <w:lang w:val="zh-TW" w:eastAsia="zh-CN" w:bidi="zh-TW"/>
        </w:rPr>
        <w:t>，</w:t>
      </w:r>
      <w:r>
        <w:rPr>
          <w:rFonts w:hint="eastAsia" w:ascii="仿宋_GB2312" w:hAnsi="仿宋_GB2312" w:eastAsia="仿宋_GB2312" w:cs="仿宋_GB2312"/>
          <w:color w:val="000000"/>
          <w:sz w:val="32"/>
          <w:szCs w:val="32"/>
          <w:lang w:val="zh-TW" w:eastAsia="zh-TW" w:bidi="zh-TW"/>
        </w:rPr>
        <w:t>总分为400分。</w:t>
      </w:r>
      <w:r>
        <w:rPr>
          <w:rFonts w:hint="eastAsia" w:ascii="仿宋_GB2312" w:hAnsi="仿宋_GB2312" w:eastAsia="仿宋_GB2312" w:cs="仿宋_GB2312"/>
          <w:color w:val="000000"/>
          <w:sz w:val="32"/>
          <w:szCs w:val="32"/>
          <w:lang w:bidi="zh-TW"/>
        </w:rPr>
        <w:t>加分计入总分，总分不超过1000分。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val="zh-TW" w:eastAsia="zh-CN"/>
        </w:rPr>
      </w:pPr>
      <w:r>
        <w:rPr>
          <w:rFonts w:hint="eastAsia" w:ascii="楷体" w:hAnsi="楷体" w:eastAsia="楷体" w:cs="楷体"/>
          <w:color w:val="000000"/>
          <w:sz w:val="32"/>
          <w:szCs w:val="32"/>
          <w:lang w:val="zh-TW"/>
        </w:rPr>
        <w:t>（二）评分规则</w:t>
      </w:r>
      <w:r>
        <w:rPr>
          <w:rFonts w:hint="eastAsia" w:ascii="楷体" w:hAnsi="楷体" w:eastAsia="楷体" w:cs="楷体"/>
          <w:color w:val="000000"/>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1.第二部分评分规则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规模类和配比类指标执行“全或无”规则，比如“护床比”，达到标准予以“给分”（或“满分”），否则计“零分”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连续监测指标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根据四分位法计算参评医院监测数据所在的分位，</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val="zh-CN" w:bidi="zh-CN"/>
        </w:rPr>
        <w:t>“区间</w:t>
      </w:r>
      <w:r>
        <w:rPr>
          <w:rFonts w:hint="eastAsia" w:ascii="仿宋_GB2312" w:hAnsi="仿宋_GB2312" w:eastAsia="仿宋_GB2312" w:cs="仿宋_GB2312"/>
          <w:color w:val="000000"/>
          <w:sz w:val="32"/>
          <w:szCs w:val="32"/>
        </w:rPr>
        <w:t>赋分兼顾持续改进”原则</w:t>
      </w:r>
      <w:r>
        <w:rPr>
          <w:rFonts w:hint="eastAsia" w:ascii="仿宋_GB2312" w:hAnsi="仿宋_GB2312" w:eastAsia="仿宋_GB2312" w:cs="仿宋_GB2312"/>
          <w:color w:val="000000"/>
          <w:sz w:val="32"/>
          <w:szCs w:val="32"/>
          <w:lang w:val="en-US" w:eastAsia="zh-CN"/>
        </w:rPr>
        <w:t>给</w:t>
      </w:r>
      <w:r>
        <w:rPr>
          <w:rFonts w:hint="eastAsia" w:ascii="仿宋_GB2312" w:hAnsi="仿宋_GB2312" w:eastAsia="仿宋_GB2312" w:cs="仿宋_GB2312"/>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bidi="zh-TW"/>
        </w:rPr>
        <w:t>2.</w:t>
      </w:r>
      <w:r>
        <w:rPr>
          <w:rFonts w:hint="eastAsia" w:ascii="仿宋_GB2312" w:hAnsi="仿宋_GB2312" w:eastAsia="仿宋_GB2312" w:cs="仿宋_GB2312"/>
          <w:color w:val="000000"/>
          <w:sz w:val="32"/>
          <w:szCs w:val="32"/>
          <w:lang w:val="zh-TW" w:bidi="zh-TW"/>
        </w:rPr>
        <w:t>第三部分评分规则</w:t>
      </w:r>
      <w:r>
        <w:rPr>
          <w:rFonts w:hint="eastAsia" w:ascii="仿宋_GB2312" w:hAnsi="仿宋_GB2312" w:eastAsia="仿宋_GB2312" w:cs="仿宋_GB2312"/>
          <w:color w:val="000000"/>
          <w:sz w:val="32"/>
          <w:szCs w:val="32"/>
          <w:lang w:val="zh-TW" w:eastAsia="zh-CN" w:bidi="zh-TW"/>
        </w:rPr>
        <w:t>：</w:t>
      </w:r>
      <w:r>
        <w:rPr>
          <w:rFonts w:hint="eastAsia" w:ascii="仿宋_GB2312" w:hAnsi="仿宋_GB2312" w:eastAsia="仿宋_GB2312" w:cs="仿宋_GB2312"/>
          <w:color w:val="000000"/>
          <w:sz w:val="32"/>
          <w:szCs w:val="32"/>
          <w:lang w:val="zh-TW" w:bidi="zh-TW"/>
        </w:rPr>
        <w:t>参考PDCA循环管理模式，根据指标完成程度酌情给分。要求各个指标完成有计划、执行、检查、处理等阶段，有院科两级质量管理组织定期检查结果、分析、总结和整改措施，有说明持续改进的数据或案例。在现场评审过程中，评审员可采用下列方法对指标要求逐款进行符合程度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文件查阅】查看医院和科室发布的文件类资料，如职责、制度、规范、流程、计划、报告、总结等资料。医院制定的职责、制度、规范、流程等文件必须符合国家和自治区有关法律法规、规章制度、标准、规范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en-US" w:eastAsia="zh-CN" w:bidi="zh-TW"/>
        </w:rPr>
        <w:t>评</w:t>
      </w:r>
      <w:r>
        <w:rPr>
          <w:rFonts w:hint="eastAsia" w:ascii="仿宋_GB2312" w:hAnsi="仿宋_GB2312" w:eastAsia="仿宋_GB2312" w:cs="仿宋_GB2312"/>
          <w:color w:val="000000"/>
          <w:sz w:val="32"/>
          <w:szCs w:val="32"/>
          <w:lang w:val="zh-TW" w:bidi="zh-TW"/>
        </w:rPr>
        <w:t>分原则：查阅的文件类资料内容有缺项，扣该款该项目分值的25%，缺重要项目扣该款该项目分值的50%，缺项超过一半该款该项目不得分。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【记录查看】参看医院和科室的工作记录，不包括患者个人相关的资料，如会议记录、签到、培训记录</w:t>
      </w:r>
      <w:r>
        <w:rPr>
          <w:rFonts w:hint="eastAsia" w:ascii="仿宋_GB2312" w:hAnsi="仿宋_GB2312" w:eastAsia="仿宋_GB2312" w:cs="仿宋_GB2312"/>
          <w:color w:val="000000"/>
          <w:sz w:val="32"/>
          <w:szCs w:val="32"/>
          <w:lang w:val="zh-TW" w:eastAsia="zh-CN" w:bidi="zh-TW"/>
        </w:rPr>
        <w:t>、</w:t>
      </w:r>
      <w:r>
        <w:rPr>
          <w:rFonts w:hint="eastAsia" w:ascii="仿宋_GB2312" w:hAnsi="仿宋_GB2312" w:eastAsia="仿宋_GB2312" w:cs="仿宋_GB2312"/>
          <w:color w:val="000000"/>
          <w:sz w:val="32"/>
          <w:szCs w:val="32"/>
          <w:lang w:val="zh-TW" w:bidi="zh-TW"/>
        </w:rPr>
        <w:t>考试记录、各种讨论记录等资料。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en-US" w:eastAsia="zh-CN" w:bidi="zh-TW"/>
        </w:rPr>
        <w:t>评</w:t>
      </w:r>
      <w:r>
        <w:rPr>
          <w:rFonts w:hint="eastAsia" w:ascii="仿宋_GB2312" w:hAnsi="仿宋_GB2312" w:eastAsia="仿宋_GB2312" w:cs="仿宋_GB2312"/>
          <w:color w:val="000000"/>
          <w:sz w:val="32"/>
          <w:szCs w:val="32"/>
          <w:lang w:val="zh-TW" w:bidi="zh-TW"/>
        </w:rPr>
        <w:t>分原则：查看的记录内容有缺项，扣该款该项目分值的25%，缺重要项目扣该款该项目分值的50%，缺项超过一半或者与内容事实不符该款该项目不得分。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【员工访谈】指现场对员工进行访谈，提问和讨论，包括开会集体访谈等。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en-US" w:eastAsia="zh-CN" w:bidi="zh-TW"/>
        </w:rPr>
        <w:t>评</w:t>
      </w:r>
      <w:r>
        <w:rPr>
          <w:rFonts w:hint="eastAsia" w:ascii="仿宋_GB2312" w:hAnsi="仿宋_GB2312" w:eastAsia="仿宋_GB2312" w:cs="仿宋_GB2312"/>
          <w:color w:val="000000"/>
          <w:sz w:val="32"/>
          <w:szCs w:val="32"/>
          <w:lang w:val="zh-TW" w:bidi="zh-TW"/>
        </w:rPr>
        <w:t>分原则：原则上访谈</w:t>
      </w:r>
      <w:r>
        <w:rPr>
          <w:rFonts w:hint="eastAsia" w:ascii="仿宋_GB2312" w:hAnsi="仿宋_GB2312" w:eastAsia="仿宋_GB2312" w:cs="仿宋_GB2312"/>
          <w:color w:val="000000"/>
          <w:sz w:val="32"/>
          <w:szCs w:val="32"/>
          <w:lang w:val="en-US" w:eastAsia="zh-CN" w:bidi="zh-TW"/>
        </w:rPr>
        <w:t>3</w:t>
      </w:r>
      <w:r>
        <w:rPr>
          <w:rFonts w:hint="eastAsia" w:ascii="仿宋_GB2312" w:hAnsi="仿宋_GB2312" w:eastAsia="仿宋_GB2312" w:cs="仿宋_GB2312"/>
          <w:color w:val="000000"/>
          <w:sz w:val="32"/>
          <w:szCs w:val="32"/>
          <w:lang w:val="zh-TW" w:bidi="zh-TW"/>
        </w:rPr>
        <w:t>人</w:t>
      </w:r>
      <w:r>
        <w:rPr>
          <w:rFonts w:hint="eastAsia" w:ascii="仿宋_GB2312" w:hAnsi="仿宋_GB2312" w:eastAsia="仿宋_GB2312" w:cs="仿宋_GB2312"/>
          <w:color w:val="000000"/>
          <w:sz w:val="32"/>
          <w:szCs w:val="32"/>
          <w:lang w:bidi="zh-TW"/>
        </w:rPr>
        <w:t>次，</w:t>
      </w:r>
      <w:r>
        <w:rPr>
          <w:rFonts w:hint="eastAsia" w:ascii="仿宋_GB2312" w:hAnsi="仿宋_GB2312" w:eastAsia="仿宋_GB2312" w:cs="仿宋_GB2312"/>
          <w:color w:val="000000"/>
          <w:sz w:val="32"/>
          <w:szCs w:val="32"/>
          <w:lang w:val="zh-TW" w:bidi="zh-TW"/>
        </w:rPr>
        <w:t>每一人完全或大部分不知晓扣该款该项目分值的10%，扣完为止；访谈不足</w:t>
      </w:r>
      <w:r>
        <w:rPr>
          <w:rFonts w:hint="eastAsia" w:ascii="仿宋_GB2312" w:hAnsi="仿宋_GB2312" w:eastAsia="仿宋_GB2312" w:cs="仿宋_GB2312"/>
          <w:color w:val="000000"/>
          <w:sz w:val="32"/>
          <w:szCs w:val="32"/>
          <w:lang w:val="en-US" w:eastAsia="zh-CN" w:bidi="zh-TW"/>
        </w:rPr>
        <w:t>3</w:t>
      </w:r>
      <w:r>
        <w:rPr>
          <w:rFonts w:hint="eastAsia" w:ascii="仿宋_GB2312" w:hAnsi="仿宋_GB2312" w:eastAsia="仿宋_GB2312" w:cs="仿宋_GB2312"/>
          <w:color w:val="000000"/>
          <w:sz w:val="32"/>
          <w:szCs w:val="32"/>
          <w:lang w:val="zh-TW" w:bidi="zh-TW"/>
        </w:rPr>
        <w:t>人</w:t>
      </w:r>
      <w:r>
        <w:rPr>
          <w:rFonts w:hint="eastAsia" w:ascii="仿宋_GB2312" w:hAnsi="仿宋_GB2312" w:eastAsia="仿宋_GB2312" w:cs="仿宋_GB2312"/>
          <w:color w:val="000000"/>
          <w:sz w:val="32"/>
          <w:szCs w:val="32"/>
          <w:lang w:bidi="zh-TW"/>
        </w:rPr>
        <w:t>次</w:t>
      </w:r>
      <w:r>
        <w:rPr>
          <w:rFonts w:hint="eastAsia" w:ascii="仿宋_GB2312" w:hAnsi="仿宋_GB2312" w:eastAsia="仿宋_GB2312" w:cs="仿宋_GB2312"/>
          <w:color w:val="000000"/>
          <w:sz w:val="32"/>
          <w:szCs w:val="32"/>
          <w:lang w:val="zh-TW" w:bidi="zh-TW"/>
        </w:rPr>
        <w:t>，按照实际访谈人数调整扣分比例。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【现场检查】评审现场通过目视检查医院和科室的设备设施、环境、标识标牌，员工行为和合作，对照评审标准和医院要求评判符合程度。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en-US" w:eastAsia="zh-CN" w:bidi="zh-TW"/>
        </w:rPr>
        <w:t>评</w:t>
      </w:r>
      <w:r>
        <w:rPr>
          <w:rFonts w:hint="eastAsia" w:ascii="仿宋_GB2312" w:hAnsi="仿宋_GB2312" w:eastAsia="仿宋_GB2312" w:cs="仿宋_GB2312"/>
          <w:color w:val="000000"/>
          <w:sz w:val="32"/>
          <w:szCs w:val="32"/>
          <w:lang w:val="zh-TW" w:bidi="zh-TW"/>
        </w:rPr>
        <w:t>分原则：有缺项的扣该款该项目分值的25%，缺重要项目的扣该款该项目分值的50%，严重不符合的该款该项目不得分。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【员工操作】评审现场要求员工完成特定操作的内容。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en-US" w:eastAsia="zh-CN" w:bidi="zh-TW"/>
        </w:rPr>
        <w:t>评</w:t>
      </w:r>
      <w:r>
        <w:rPr>
          <w:rFonts w:hint="eastAsia" w:ascii="仿宋_GB2312" w:hAnsi="仿宋_GB2312" w:eastAsia="仿宋_GB2312" w:cs="仿宋_GB2312"/>
          <w:color w:val="000000"/>
          <w:sz w:val="32"/>
          <w:szCs w:val="32"/>
          <w:lang w:val="zh-TW" w:bidi="zh-TW"/>
        </w:rPr>
        <w:t>分原则：原则上抽考</w:t>
      </w:r>
      <w:r>
        <w:rPr>
          <w:rFonts w:hint="eastAsia" w:ascii="仿宋_GB2312" w:hAnsi="仿宋_GB2312" w:eastAsia="仿宋_GB2312" w:cs="仿宋_GB2312"/>
          <w:color w:val="000000"/>
          <w:sz w:val="32"/>
          <w:szCs w:val="32"/>
          <w:lang w:val="en-US" w:eastAsia="zh-CN" w:bidi="zh-TW"/>
        </w:rPr>
        <w:t>3</w:t>
      </w:r>
      <w:r>
        <w:rPr>
          <w:rFonts w:hint="eastAsia" w:ascii="仿宋_GB2312" w:hAnsi="仿宋_GB2312" w:eastAsia="仿宋_GB2312" w:cs="仿宋_GB2312"/>
          <w:color w:val="000000"/>
          <w:sz w:val="32"/>
          <w:szCs w:val="32"/>
          <w:lang w:val="zh-TW" w:bidi="zh-TW"/>
        </w:rPr>
        <w:t>人</w:t>
      </w:r>
      <w:r>
        <w:rPr>
          <w:rFonts w:hint="eastAsia" w:ascii="仿宋_GB2312" w:hAnsi="仿宋_GB2312" w:eastAsia="仿宋_GB2312" w:cs="仿宋_GB2312"/>
          <w:color w:val="000000"/>
          <w:sz w:val="32"/>
          <w:szCs w:val="32"/>
          <w:lang w:bidi="zh-TW"/>
        </w:rPr>
        <w:t>次，</w:t>
      </w:r>
      <w:r>
        <w:rPr>
          <w:rFonts w:hint="eastAsia" w:ascii="仿宋_GB2312" w:hAnsi="仿宋_GB2312" w:eastAsia="仿宋_GB2312" w:cs="仿宋_GB2312"/>
          <w:color w:val="000000"/>
          <w:sz w:val="32"/>
          <w:szCs w:val="32"/>
          <w:lang w:val="zh-TW" w:bidi="zh-TW"/>
        </w:rPr>
        <w:t>每一个员工操作不合格扣该款该项目分值10%，扣完为止；抽考不足</w:t>
      </w:r>
      <w:r>
        <w:rPr>
          <w:rFonts w:hint="eastAsia" w:ascii="仿宋_GB2312" w:hAnsi="仿宋_GB2312" w:eastAsia="仿宋_GB2312" w:cs="仿宋_GB2312"/>
          <w:color w:val="000000"/>
          <w:sz w:val="32"/>
          <w:szCs w:val="32"/>
          <w:lang w:val="en-US" w:eastAsia="zh-CN" w:bidi="zh-TW"/>
        </w:rPr>
        <w:t>3</w:t>
      </w:r>
      <w:r>
        <w:rPr>
          <w:rFonts w:hint="eastAsia" w:ascii="仿宋_GB2312" w:hAnsi="仿宋_GB2312" w:eastAsia="仿宋_GB2312" w:cs="仿宋_GB2312"/>
          <w:color w:val="000000"/>
          <w:sz w:val="32"/>
          <w:szCs w:val="32"/>
          <w:lang w:val="zh-TW" w:bidi="zh-TW"/>
        </w:rPr>
        <w:t>人</w:t>
      </w:r>
      <w:r>
        <w:rPr>
          <w:rFonts w:hint="eastAsia" w:ascii="仿宋_GB2312" w:hAnsi="仿宋_GB2312" w:eastAsia="仿宋_GB2312" w:cs="仿宋_GB2312"/>
          <w:color w:val="000000"/>
          <w:sz w:val="32"/>
          <w:szCs w:val="32"/>
          <w:lang w:bidi="zh-TW"/>
        </w:rPr>
        <w:t>次</w:t>
      </w:r>
      <w:r>
        <w:rPr>
          <w:rFonts w:hint="eastAsia" w:ascii="仿宋_GB2312" w:hAnsi="仿宋_GB2312" w:eastAsia="仿宋_GB2312" w:cs="仿宋_GB2312"/>
          <w:color w:val="000000"/>
          <w:sz w:val="32"/>
          <w:szCs w:val="32"/>
          <w:lang w:val="zh-TW" w:bidi="zh-TW"/>
        </w:rPr>
        <w:t>，按照实际抽考人数调整扣分比例。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【患者访谈】评审员对患者或家属开展访谈。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en-US" w:eastAsia="zh-CN" w:bidi="zh-TW"/>
        </w:rPr>
        <w:t>评</w:t>
      </w:r>
      <w:r>
        <w:rPr>
          <w:rFonts w:hint="eastAsia" w:ascii="仿宋_GB2312" w:hAnsi="仿宋_GB2312" w:eastAsia="仿宋_GB2312" w:cs="仿宋_GB2312"/>
          <w:color w:val="000000"/>
          <w:sz w:val="32"/>
          <w:szCs w:val="32"/>
          <w:lang w:val="zh-TW" w:bidi="zh-TW"/>
        </w:rPr>
        <w:t>分原则：原则上抽选</w:t>
      </w:r>
      <w:r>
        <w:rPr>
          <w:rFonts w:hint="eastAsia" w:ascii="仿宋_GB2312" w:hAnsi="仿宋_GB2312" w:eastAsia="仿宋_GB2312" w:cs="仿宋_GB2312"/>
          <w:color w:val="000000"/>
          <w:sz w:val="32"/>
          <w:szCs w:val="32"/>
          <w:lang w:val="en-US" w:eastAsia="zh-CN" w:bidi="zh-TW"/>
        </w:rPr>
        <w:t>3</w:t>
      </w:r>
      <w:r>
        <w:rPr>
          <w:rFonts w:hint="eastAsia" w:ascii="仿宋_GB2312" w:hAnsi="仿宋_GB2312" w:eastAsia="仿宋_GB2312" w:cs="仿宋_GB2312"/>
          <w:color w:val="000000"/>
          <w:sz w:val="32"/>
          <w:szCs w:val="32"/>
          <w:lang w:val="zh-TW" w:bidi="zh-TW"/>
        </w:rPr>
        <w:t>人次，超过1/3的患者或者家属不满意扣该款该项目分值30%，超过2/3的患者或者家属不满意该款该项目不得分。访谈不足</w:t>
      </w:r>
      <w:r>
        <w:rPr>
          <w:rFonts w:hint="eastAsia" w:ascii="仿宋_GB2312" w:hAnsi="仿宋_GB2312" w:eastAsia="仿宋_GB2312" w:cs="仿宋_GB2312"/>
          <w:color w:val="000000"/>
          <w:sz w:val="32"/>
          <w:szCs w:val="32"/>
          <w:lang w:val="en-US" w:eastAsia="zh-CN" w:bidi="zh-TW"/>
        </w:rPr>
        <w:t>3</w:t>
      </w:r>
      <w:r>
        <w:rPr>
          <w:rFonts w:hint="eastAsia" w:ascii="仿宋_GB2312" w:hAnsi="仿宋_GB2312" w:eastAsia="仿宋_GB2312" w:cs="仿宋_GB2312"/>
          <w:color w:val="000000"/>
          <w:sz w:val="32"/>
          <w:szCs w:val="32"/>
          <w:lang w:bidi="zh-TW"/>
        </w:rPr>
        <w:t>人次，根据实际访谈人次调整扣分比例。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【病历检查】评审现场对运行病历进行检查。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bidi="zh-TW"/>
        </w:rPr>
      </w:pPr>
      <w:r>
        <w:rPr>
          <w:rFonts w:hint="eastAsia" w:ascii="仿宋_GB2312" w:hAnsi="仿宋_GB2312" w:eastAsia="仿宋_GB2312" w:cs="仿宋_GB2312"/>
          <w:color w:val="000000"/>
          <w:sz w:val="32"/>
          <w:szCs w:val="32"/>
          <w:lang w:val="en-US" w:eastAsia="zh-CN" w:bidi="zh-TW"/>
        </w:rPr>
        <w:t>评</w:t>
      </w:r>
      <w:r>
        <w:rPr>
          <w:rFonts w:hint="eastAsia" w:ascii="仿宋_GB2312" w:hAnsi="仿宋_GB2312" w:eastAsia="仿宋_GB2312" w:cs="仿宋_GB2312"/>
          <w:color w:val="000000"/>
          <w:sz w:val="32"/>
          <w:szCs w:val="32"/>
          <w:lang w:val="zh-TW" w:bidi="zh-TW"/>
        </w:rPr>
        <w:t>分原则：原则上按</w:t>
      </w:r>
      <w:r>
        <w:rPr>
          <w:rFonts w:hint="eastAsia" w:ascii="仿宋_GB2312" w:hAnsi="仿宋_GB2312" w:eastAsia="仿宋_GB2312" w:cs="仿宋_GB2312"/>
          <w:bCs/>
          <w:color w:val="000000"/>
          <w:sz w:val="32"/>
          <w:szCs w:val="32"/>
          <w:lang w:bidi="zh-TW"/>
        </w:rPr>
        <w:t>编制床位数的2%</w:t>
      </w:r>
      <w:r>
        <w:rPr>
          <w:rFonts w:hint="eastAsia" w:ascii="仿宋_GB2312" w:hAnsi="仿宋_GB2312" w:eastAsia="仿宋_GB2312" w:cs="仿宋_GB2312"/>
          <w:bCs/>
          <w:color w:val="000000"/>
          <w:sz w:val="32"/>
          <w:szCs w:val="32"/>
          <w:lang w:eastAsia="zh-CN" w:bidi="zh-TW"/>
        </w:rPr>
        <w:t>—</w:t>
      </w:r>
      <w:r>
        <w:rPr>
          <w:rFonts w:hint="eastAsia" w:ascii="仿宋_GB2312" w:hAnsi="仿宋_GB2312" w:eastAsia="仿宋_GB2312" w:cs="仿宋_GB2312"/>
          <w:bCs/>
          <w:color w:val="000000"/>
          <w:sz w:val="32"/>
          <w:szCs w:val="32"/>
          <w:lang w:bidi="zh-TW"/>
        </w:rPr>
        <w:t>5%抽查病历，不少于</w:t>
      </w:r>
      <w:r>
        <w:rPr>
          <w:rFonts w:hint="eastAsia" w:ascii="仿宋_GB2312" w:hAnsi="仿宋_GB2312" w:eastAsia="仿宋_GB2312" w:cs="仿宋_GB2312"/>
          <w:bCs/>
          <w:color w:val="000000"/>
          <w:sz w:val="32"/>
          <w:szCs w:val="32"/>
          <w:lang w:val="en-US" w:eastAsia="zh-CN" w:bidi="zh-TW"/>
        </w:rPr>
        <w:t>5</w:t>
      </w:r>
      <w:r>
        <w:rPr>
          <w:rFonts w:hint="eastAsia" w:ascii="仿宋_GB2312" w:hAnsi="仿宋_GB2312" w:eastAsia="仿宋_GB2312" w:cs="仿宋_GB2312"/>
          <w:bCs/>
          <w:color w:val="000000"/>
          <w:sz w:val="32"/>
          <w:szCs w:val="32"/>
          <w:lang w:bidi="zh-TW"/>
        </w:rPr>
        <w:t>份。</w:t>
      </w:r>
      <w:r>
        <w:rPr>
          <w:rFonts w:hint="eastAsia" w:ascii="仿宋_GB2312" w:hAnsi="仿宋_GB2312" w:eastAsia="仿宋_GB2312" w:cs="仿宋_GB2312"/>
          <w:color w:val="000000"/>
          <w:sz w:val="32"/>
          <w:szCs w:val="32"/>
          <w:lang w:val="zh-TW" w:bidi="zh-TW"/>
        </w:rPr>
        <w:t>每一份病历不合格扣该款该项目分值的10%，扣完为止。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【病案检查】评审员提前或现场对特定归档病案进行检查。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en-US" w:eastAsia="zh-CN" w:bidi="zh-TW"/>
        </w:rPr>
        <w:t>评</w:t>
      </w:r>
      <w:r>
        <w:rPr>
          <w:rFonts w:hint="eastAsia" w:ascii="仿宋_GB2312" w:hAnsi="仿宋_GB2312" w:eastAsia="仿宋_GB2312" w:cs="仿宋_GB2312"/>
          <w:color w:val="000000"/>
          <w:sz w:val="32"/>
          <w:szCs w:val="32"/>
          <w:lang w:val="zh-TW" w:bidi="zh-TW"/>
        </w:rPr>
        <w:t>分原则：只能提供部分特定归档病案的扣该分值50%，完全不能提供特定病案的该款该项目分值不得分。</w:t>
      </w:r>
    </w:p>
    <w:p>
      <w:pPr>
        <w:keepNext w:val="0"/>
        <w:keepLines w:val="0"/>
        <w:pageBreakBefore w:val="0"/>
        <w:widowControl w:val="0"/>
        <w:tabs>
          <w:tab w:val="left" w:pos="2160"/>
        </w:tabs>
        <w:kinsoku/>
        <w:wordWrap/>
        <w:overflowPunct/>
        <w:topLinePunct w:val="0"/>
        <w:autoSpaceDE/>
        <w:autoSpaceDN/>
        <w:bidi w:val="0"/>
        <w:adjustRightInd/>
        <w:snapToGrid/>
        <w:spacing w:line="560" w:lineRule="exact"/>
        <w:ind w:right="-86" w:rightChars="-41" w:firstLine="640" w:firstLineChars="200"/>
        <w:jc w:val="both"/>
        <w:textAlignment w:val="auto"/>
        <w:rPr>
          <w:rFonts w:hint="eastAsia" w:ascii="黑体" w:hAnsi="黑体" w:eastAsia="黑体" w:cs="黑体"/>
          <w:color w:val="000000"/>
          <w:sz w:val="32"/>
          <w:szCs w:val="32"/>
          <w:lang w:val="zh-TW" w:eastAsia="zh-TW"/>
        </w:rPr>
      </w:pPr>
      <w:bookmarkStart w:id="32" w:name="_Toc10056"/>
      <w:bookmarkStart w:id="33" w:name="_Toc29861"/>
      <w:bookmarkStart w:id="34" w:name="_Toc30872"/>
      <w:bookmarkStart w:id="35" w:name="_Toc21808"/>
      <w:bookmarkStart w:id="36" w:name="_Toc982"/>
      <w:r>
        <w:rPr>
          <w:rFonts w:hint="eastAsia" w:ascii="黑体" w:hAnsi="黑体" w:eastAsia="黑体" w:cs="黑体"/>
          <w:color w:val="000000"/>
          <w:sz w:val="32"/>
          <w:szCs w:val="32"/>
          <w:lang w:val="zh-TW" w:eastAsia="zh-TW"/>
        </w:rPr>
        <w:t>五、数据采集</w:t>
      </w:r>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lang w:val="zh-TW" w:eastAsia="zh-CN" w:bidi="zh-TW"/>
        </w:rPr>
      </w:pPr>
      <w:r>
        <w:rPr>
          <w:rFonts w:hint="eastAsia" w:ascii="楷体_GB2312" w:hAnsi="楷体_GB2312" w:eastAsia="楷体_GB2312" w:cs="楷体_GB2312"/>
          <w:color w:val="000000"/>
          <w:sz w:val="32"/>
          <w:szCs w:val="32"/>
          <w:lang w:val="zh-TW" w:bidi="zh-TW"/>
        </w:rPr>
        <w:t>（一）采集</w:t>
      </w:r>
      <w:r>
        <w:rPr>
          <w:rFonts w:hint="eastAsia" w:ascii="楷体_GB2312" w:hAnsi="楷体_GB2312" w:eastAsia="楷体_GB2312" w:cs="楷体_GB2312"/>
          <w:color w:val="000000"/>
          <w:sz w:val="32"/>
          <w:szCs w:val="32"/>
          <w:lang w:val="zh-TW" w:eastAsia="zh-TW" w:bidi="zh-TW"/>
        </w:rPr>
        <w:t>方式</w:t>
      </w:r>
      <w:r>
        <w:rPr>
          <w:rFonts w:hint="eastAsia" w:ascii="楷体_GB2312" w:hAnsi="楷体_GB2312" w:eastAsia="楷体_GB2312" w:cs="楷体_GB2312"/>
          <w:color w:val="000000"/>
          <w:sz w:val="32"/>
          <w:szCs w:val="32"/>
          <w:lang w:val="zh-TW" w:eastAsia="zh-CN" w:bidi="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color w:val="000000"/>
          <w:sz w:val="32"/>
          <w:szCs w:val="32"/>
          <w:lang w:val="zh-TW" w:eastAsia="zh-TW" w:bidi="zh-TW"/>
        </w:rPr>
        <w:t>直接采集来源包括国家医疗质量管理与控制信息网（NCIS），国家单病种质量管理与控制平台，医院质量监测系统（HQMS），国家公立医院绩效考核管理平台，医疗技术临床应用管理信息系统，国家医疗机构、医师、护士电子化注册信息系统，广西卫生统计信息网络直报系统等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lang w:val="zh-TW" w:bidi="zh-TW"/>
        </w:rPr>
      </w:pPr>
      <w:r>
        <w:rPr>
          <w:rFonts w:hint="eastAsia" w:ascii="楷体_GB2312" w:hAnsi="楷体_GB2312" w:eastAsia="楷体_GB2312" w:cs="楷体_GB2312"/>
          <w:color w:val="000000"/>
          <w:sz w:val="32"/>
          <w:szCs w:val="32"/>
          <w:lang w:val="zh-TW" w:bidi="zh-TW"/>
        </w:rPr>
        <w:t>（二）采集原则</w:t>
      </w:r>
      <w:r>
        <w:rPr>
          <w:rFonts w:hint="eastAsia" w:ascii="楷体_GB2312" w:hAnsi="楷体_GB2312" w:eastAsia="楷体_GB2312" w:cs="楷体_GB2312"/>
          <w:color w:val="000000"/>
          <w:sz w:val="32"/>
          <w:szCs w:val="32"/>
          <w:lang w:val="zh-TW" w:eastAsia="zh-CN" w:bidi="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zh-TW" w:bidi="zh-TW"/>
        </w:rPr>
      </w:pPr>
      <w:bookmarkStart w:id="37" w:name="_Toc14106"/>
      <w:bookmarkStart w:id="38" w:name="_Toc27000"/>
      <w:bookmarkStart w:id="39" w:name="_Toc27072"/>
      <w:bookmarkStart w:id="40" w:name="_Toc13613"/>
      <w:bookmarkStart w:id="41" w:name="_Toc1357"/>
      <w:r>
        <w:rPr>
          <w:rFonts w:hint="eastAsia" w:ascii="仿宋_GB2312" w:hAnsi="仿宋_GB2312" w:eastAsia="仿宋_GB2312" w:cs="仿宋_GB2312"/>
          <w:color w:val="000000"/>
          <w:sz w:val="32"/>
          <w:szCs w:val="32"/>
          <w:lang w:val="zh-TW" w:bidi="zh-TW"/>
        </w:rPr>
        <w:t>1.指标数据采集为全评审周期。</w:t>
      </w:r>
      <w:bookmarkEnd w:id="37"/>
      <w:bookmarkEnd w:id="38"/>
      <w:bookmarkEnd w:id="39"/>
      <w:bookmarkEnd w:id="40"/>
      <w:bookmarkEnd w:id="41"/>
      <w:r>
        <w:rPr>
          <w:rFonts w:hint="eastAsia" w:ascii="仿宋_GB2312" w:hAnsi="仿宋_GB2312" w:eastAsia="仿宋_GB2312" w:cs="仿宋_GB2312"/>
          <w:color w:val="000000"/>
          <w:sz w:val="32"/>
          <w:szCs w:val="32"/>
          <w:lang w:val="zh-TW" w:bidi="zh-TW"/>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bidi="zh-TW"/>
        </w:rPr>
      </w:pPr>
      <w:r>
        <w:rPr>
          <w:rFonts w:hint="eastAsia" w:ascii="仿宋_GB2312" w:hAnsi="仿宋_GB2312" w:eastAsia="仿宋_GB2312" w:cs="仿宋_GB2312"/>
          <w:color w:val="000000"/>
          <w:sz w:val="32"/>
          <w:szCs w:val="32"/>
          <w:lang w:val="zh-TW" w:bidi="zh-TW"/>
        </w:rPr>
        <w:t>2.行业政策在评审周期内发布的，数据从政策发布的第二年完整取值，当年不计入统计。</w:t>
      </w:r>
      <w:r>
        <w:rPr>
          <w:rFonts w:hint="eastAsia" w:ascii="仿宋_GB2312" w:hAnsi="仿宋_GB2312" w:eastAsia="仿宋_GB2312" w:cs="仿宋_GB2312"/>
          <w:color w:val="000000"/>
          <w:sz w:val="32"/>
          <w:szCs w:val="32"/>
          <w:lang w:val="en-US" w:eastAsia="zh-CN" w:bidi="zh-TW"/>
        </w:rPr>
        <w:t>国家发布的年度国家医疗质量安全目标（约每年10个），自发布之日起，半年后开始完整取值，评审周期内需每年提供数据。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zh-TW" w:bidi="zh-TW"/>
        </w:rPr>
      </w:pPr>
      <w:r>
        <w:rPr>
          <w:rFonts w:hint="eastAsia" w:ascii="仿宋_GB2312" w:hAnsi="仿宋_GB2312" w:eastAsia="仿宋_GB2312" w:cs="仿宋_GB2312"/>
          <w:color w:val="000000"/>
          <w:sz w:val="32"/>
          <w:szCs w:val="32"/>
          <w:lang w:val="zh-TW" w:bidi="zh-TW"/>
        </w:rPr>
        <w:t xml:space="preserve">3.按日、月、季获取的数据，采用均值计算当年的年度数据。按年度获取的数据，直接采用。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TW" w:bidi="zh-TW"/>
        </w:rPr>
        <w:t>4.需要将同一指标不同年份的多个数据合并作为评审采</w:t>
      </w:r>
      <w:r>
        <w:rPr>
          <w:rFonts w:hint="eastAsia" w:ascii="仿宋_GB2312" w:hAnsi="仿宋_GB2312" w:eastAsia="仿宋_GB2312" w:cs="仿宋_GB2312"/>
          <w:color w:val="000000"/>
          <w:sz w:val="32"/>
          <w:szCs w:val="32"/>
          <w:lang w:val="en-US" w:eastAsia="zh-CN" w:bidi="zh-TW"/>
        </w:rPr>
        <w:t>集</w:t>
      </w:r>
      <w:r>
        <w:rPr>
          <w:rFonts w:hint="eastAsia" w:ascii="仿宋_GB2312" w:hAnsi="仿宋_GB2312" w:eastAsia="仿宋_GB2312" w:cs="仿宋_GB2312"/>
          <w:color w:val="000000"/>
          <w:sz w:val="32"/>
          <w:szCs w:val="32"/>
          <w:lang w:val="zh-TW" w:bidi="zh-TW"/>
        </w:rPr>
        <w:t xml:space="preserve">数据时，按照以下规则：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（1）规模类和配比类，中位数和最后一年的数据必须达标。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（2）连续监测指标，数据趋势呈与管理目标方向一致的或呈波动型的，采用中位数；数据趋势呈与管理目标方向相反的，采用最差的数据。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lang w:val="zh-TW" w:bidi="zh-TW"/>
        </w:rPr>
      </w:pPr>
      <w:r>
        <w:rPr>
          <w:rFonts w:hint="eastAsia" w:ascii="楷体_GB2312" w:hAnsi="楷体_GB2312" w:eastAsia="楷体_GB2312" w:cs="楷体_GB2312"/>
          <w:color w:val="000000"/>
          <w:sz w:val="32"/>
          <w:szCs w:val="32"/>
          <w:lang w:val="zh-TW" w:bidi="zh-TW"/>
        </w:rPr>
        <w:t>（三）数据核查原则</w:t>
      </w:r>
      <w:r>
        <w:rPr>
          <w:rFonts w:hint="eastAsia" w:ascii="楷体_GB2312" w:hAnsi="楷体_GB2312" w:eastAsia="楷体_GB2312" w:cs="楷体_GB2312"/>
          <w:color w:val="000000"/>
          <w:sz w:val="32"/>
          <w:szCs w:val="32"/>
          <w:lang w:val="zh-TW" w:eastAsia="zh-CN" w:bidi="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1.现场检查时，应当对本部分数据进行复核，复核数据比例不少于医疗机构上报数据的20%。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2.医疗机构应当根据现场评审专家组的要求，按照数据核查准备指引提供相关资料备查。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3.医院提供值与核查真实值差距在10%以上（含正负）、无法提供原始数据或被评审专家组认定为虚假数据的均视为错误数据。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4.所有错误数据，应按核查后的数据结果再次计算。并根据错误数据占现场核查数据总数百分比，按下表进行惩罚性扣分（扣除第二部分最后评审分数的一定比例）。 </w:t>
      </w:r>
    </w:p>
    <w:tbl>
      <w:tblPr>
        <w:tblStyle w:val="52"/>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2"/>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2"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错误数据比例</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X)</w:t>
            </w:r>
          </w:p>
        </w:tc>
        <w:tc>
          <w:tcPr>
            <w:tcW w:w="3683"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惩罚性扣分比例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2"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1%≤X＜2%</w:t>
            </w:r>
          </w:p>
        </w:tc>
        <w:tc>
          <w:tcPr>
            <w:tcW w:w="3683"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2"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2%≤X＜5%</w:t>
            </w:r>
          </w:p>
        </w:tc>
        <w:tc>
          <w:tcPr>
            <w:tcW w:w="3683"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2"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5%≤X＜10%</w:t>
            </w:r>
          </w:p>
        </w:tc>
        <w:tc>
          <w:tcPr>
            <w:tcW w:w="3683"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2"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10%≤X</w:t>
            </w:r>
          </w:p>
        </w:tc>
        <w:tc>
          <w:tcPr>
            <w:tcW w:w="3683" w:type="dxa"/>
            <w:noWrap w:val="0"/>
            <w:vAlign w:val="top"/>
          </w:tcPr>
          <w:p>
            <w:pPr>
              <w:widowControl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不予通过</w:t>
            </w:r>
          </w:p>
        </w:tc>
      </w:tr>
    </w:tbl>
    <w:p>
      <w:pPr>
        <w:widowControl w:val="0"/>
        <w:kinsoku/>
        <w:autoSpaceDE/>
        <w:autoSpaceDN/>
        <w:adjustRightInd/>
        <w:snapToGrid/>
        <w:spacing w:line="52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（四）数据核查准备指引</w:t>
      </w:r>
      <w:r>
        <w:rPr>
          <w:rFonts w:hint="eastAsia" w:ascii="楷体_GB2312" w:hAnsi="楷体_GB2312" w:eastAsia="楷体_GB2312" w:cs="楷体_GB2312"/>
          <w:color w:val="000000"/>
          <w:sz w:val="32"/>
          <w:szCs w:val="32"/>
          <w:lang w:val="zh-TW" w:eastAsia="zh-CN" w:bidi="zh-TW"/>
        </w:rPr>
        <w:t>。</w:t>
      </w:r>
    </w:p>
    <w:p>
      <w:pPr>
        <w:widowControl w:val="0"/>
        <w:kinsoku/>
        <w:autoSpaceDE/>
        <w:autoSpaceDN/>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1.医院应当准备所有纳入本轮评审标准的“第二部分医疗服务能力与质量安全监测数据”和“第三部分现场评审”标准中涉及的数据目录清单。 </w:t>
      </w:r>
    </w:p>
    <w:p>
      <w:pPr>
        <w:widowControl w:val="0"/>
        <w:kinsoku/>
        <w:autoSpaceDE/>
        <w:autoSpaceDN/>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2.该清单应当包含每个数据定义、数据源、采集方式、采集时间范畴，采集结果等要素，数据应有负责部门，有条件的应设置汇总部门。</w:t>
      </w:r>
    </w:p>
    <w:p>
      <w:pPr>
        <w:widowControl w:val="0"/>
        <w:kinsoku/>
        <w:autoSpaceDE/>
        <w:autoSpaceDN/>
        <w:adjustRightInd/>
        <w:snapToGrid/>
        <w:spacing w:line="520" w:lineRule="exact"/>
        <w:ind w:firstLine="640" w:firstLineChars="200"/>
        <w:textAlignment w:val="auto"/>
        <w:rPr>
          <w:rFonts w:hint="eastAsia" w:ascii="楷体_GB2312" w:hAnsi="楷体_GB2312" w:eastAsia="楷体_GB2312" w:cs="楷体_GB2312"/>
          <w:color w:val="000000"/>
          <w:sz w:val="32"/>
          <w:szCs w:val="32"/>
        </w:rPr>
      </w:pPr>
      <w:bookmarkStart w:id="42" w:name="_Toc22352"/>
      <w:bookmarkStart w:id="43" w:name="_Toc5138"/>
      <w:bookmarkStart w:id="44" w:name="_Toc21894"/>
      <w:bookmarkStart w:id="45" w:name="_Toc3052"/>
      <w:bookmarkStart w:id="46" w:name="_Toc24903"/>
      <w:r>
        <w:rPr>
          <w:rFonts w:hint="eastAsia" w:ascii="仿宋_GB2312" w:hAnsi="仿宋_GB2312" w:eastAsia="仿宋_GB2312" w:cs="仿宋_GB2312"/>
          <w:color w:val="000000"/>
          <w:sz w:val="32"/>
          <w:szCs w:val="32"/>
        </w:rPr>
        <w:t>3.对于计算所得的数据，应当有可追溯的原始数据。</w:t>
      </w:r>
      <w:bookmarkEnd w:id="42"/>
      <w:bookmarkEnd w:id="43"/>
      <w:bookmarkEnd w:id="44"/>
      <w:bookmarkEnd w:id="45"/>
      <w:bookmarkEnd w:id="46"/>
      <w:bookmarkStart w:id="47" w:name="bookmark14"/>
    </w:p>
    <w:p>
      <w:pPr>
        <w:widowControl w:val="0"/>
        <w:kinsoku/>
        <w:autoSpaceDE/>
        <w:autoSpaceDN/>
        <w:adjustRightInd/>
        <w:snapToGrid/>
        <w:spacing w:line="52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（五）数据采集说明。</w:t>
      </w:r>
    </w:p>
    <w:p>
      <w:pPr>
        <w:widowControl w:val="0"/>
        <w:kinsoku/>
        <w:autoSpaceDE/>
        <w:autoSpaceDN/>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本《细则》中所指的手术，如无特殊注明（例如门急诊手术）均为住院择期手术。</w:t>
      </w:r>
    </w:p>
    <w:p>
      <w:pPr>
        <w:bidi w:val="0"/>
        <w:ind w:firstLine="640" w:firstLineChars="200"/>
        <w:rPr>
          <w:rFonts w:hint="eastAsia" w:ascii="黑体" w:hAnsi="黑体" w:eastAsia="黑体" w:cs="黑体"/>
          <w:color w:val="000000"/>
          <w:sz w:val="32"/>
          <w:szCs w:val="40"/>
        </w:rPr>
      </w:pPr>
      <w:bookmarkStart w:id="48" w:name="_Toc7804"/>
      <w:bookmarkStart w:id="49" w:name="_Toc25309"/>
      <w:bookmarkStart w:id="50" w:name="_Toc8220"/>
      <w:bookmarkStart w:id="51" w:name="_Toc24341"/>
      <w:bookmarkStart w:id="52" w:name="_Toc4323"/>
      <w:r>
        <w:rPr>
          <w:rFonts w:hint="eastAsia" w:ascii="黑体" w:hAnsi="黑体" w:eastAsia="黑体" w:cs="黑体"/>
          <w:color w:val="000000"/>
          <w:sz w:val="32"/>
          <w:szCs w:val="40"/>
        </w:rPr>
        <w:t>六</w:t>
      </w:r>
      <w:bookmarkEnd w:id="47"/>
      <w:r>
        <w:rPr>
          <w:rFonts w:hint="eastAsia" w:ascii="黑体" w:hAnsi="黑体" w:eastAsia="黑体" w:cs="黑体"/>
          <w:color w:val="000000"/>
          <w:sz w:val="32"/>
          <w:szCs w:val="40"/>
        </w:rPr>
        <w:t>、等级判定标准</w:t>
      </w:r>
      <w:bookmarkEnd w:id="48"/>
      <w:bookmarkEnd w:id="49"/>
      <w:bookmarkEnd w:id="50"/>
      <w:bookmarkEnd w:id="51"/>
      <w:bookmarkEnd w:id="52"/>
    </w:p>
    <w:p>
      <w:pPr>
        <w:widowControl w:val="0"/>
        <w:kinsoku/>
        <w:autoSpaceDE/>
        <w:autoSpaceDN/>
        <w:adjustRightInd/>
        <w:snapToGrid/>
        <w:spacing w:line="52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采用总分和现场检查得分相结合的方式。总分为第二部分与第三部分评审得分之和。判定相应等次必须同时满足两个条件：一是总分达到最低标准的分数线；二是第三部分得分不得低于相应等次最低标准的分数。详见下表：</w:t>
      </w:r>
    </w:p>
    <w:p>
      <w:pPr>
        <w:jc w:val="center"/>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等级判定评分表</w:t>
      </w:r>
    </w:p>
    <w:tbl>
      <w:tblPr>
        <w:tblStyle w:val="14"/>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592"/>
        <w:gridCol w:w="2592"/>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1" w:hRule="atLeast"/>
          <w:jc w:val="center"/>
        </w:trPr>
        <w:tc>
          <w:tcPr>
            <w:tcW w:w="2592" w:type="dxa"/>
            <w:noWrap w:val="0"/>
            <w:vAlign w:val="center"/>
          </w:tcPr>
          <w:p>
            <w:pPr>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项目类别</w:t>
            </w:r>
          </w:p>
        </w:tc>
        <w:tc>
          <w:tcPr>
            <w:tcW w:w="2592" w:type="dxa"/>
            <w:noWrap w:val="0"/>
            <w:vAlign w:val="center"/>
          </w:tcPr>
          <w:p>
            <w:pPr>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总分</w:t>
            </w:r>
          </w:p>
        </w:tc>
        <w:tc>
          <w:tcPr>
            <w:tcW w:w="2594" w:type="dxa"/>
            <w:noWrap w:val="0"/>
            <w:vAlign w:val="center"/>
          </w:tcPr>
          <w:p>
            <w:pPr>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2592"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甲等</w:t>
            </w:r>
          </w:p>
        </w:tc>
        <w:tc>
          <w:tcPr>
            <w:tcW w:w="2592"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≥900分</w:t>
            </w:r>
          </w:p>
        </w:tc>
        <w:tc>
          <w:tcPr>
            <w:tcW w:w="2594"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3" w:hRule="atLeast"/>
          <w:jc w:val="center"/>
        </w:trPr>
        <w:tc>
          <w:tcPr>
            <w:tcW w:w="2592"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乙等</w:t>
            </w:r>
          </w:p>
        </w:tc>
        <w:tc>
          <w:tcPr>
            <w:tcW w:w="2592"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≥800分</w:t>
            </w:r>
          </w:p>
        </w:tc>
        <w:tc>
          <w:tcPr>
            <w:tcW w:w="2594"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0" w:hRule="atLeast"/>
          <w:jc w:val="center"/>
        </w:trPr>
        <w:tc>
          <w:tcPr>
            <w:tcW w:w="2592"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丙等</w:t>
            </w:r>
          </w:p>
        </w:tc>
        <w:tc>
          <w:tcPr>
            <w:tcW w:w="2592"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≥700分</w:t>
            </w:r>
          </w:p>
        </w:tc>
        <w:tc>
          <w:tcPr>
            <w:tcW w:w="2594"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86" w:hRule="atLeast"/>
          <w:jc w:val="center"/>
        </w:trPr>
        <w:tc>
          <w:tcPr>
            <w:tcW w:w="2592"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不合格</w:t>
            </w:r>
          </w:p>
        </w:tc>
        <w:tc>
          <w:tcPr>
            <w:tcW w:w="2592"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＜700分</w:t>
            </w:r>
          </w:p>
        </w:tc>
        <w:tc>
          <w:tcPr>
            <w:tcW w:w="2594" w:type="dxa"/>
            <w:noWrap w:val="0"/>
            <w:vAlign w:val="center"/>
          </w:tcPr>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＜280分</w:t>
            </w:r>
          </w:p>
        </w:tc>
      </w:tr>
    </w:tbl>
    <w:p>
      <w:pPr>
        <w:rPr>
          <w:rFonts w:hint="eastAsia"/>
          <w:color w:val="000000"/>
        </w:rPr>
      </w:pPr>
    </w:p>
    <w:p>
      <w:pPr>
        <w:pStyle w:val="3"/>
        <w:bidi w:val="0"/>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rPr>
      </w:pPr>
    </w:p>
    <w:p>
      <w:pPr>
        <w:rPr>
          <w:rFonts w:hint="eastAsia"/>
          <w:color w:val="000000"/>
        </w:rPr>
      </w:pPr>
    </w:p>
    <w:p>
      <w:pPr>
        <w:pStyle w:val="2"/>
        <w:rPr>
          <w:rFonts w:hint="eastAsia"/>
          <w:color w:val="000000"/>
        </w:rPr>
      </w:pPr>
    </w:p>
    <w:p>
      <w:pPr>
        <w:rPr>
          <w:rFonts w:hint="eastAsia"/>
          <w:color w:val="000000"/>
        </w:rPr>
      </w:pPr>
    </w:p>
    <w:p>
      <w:pPr>
        <w:pStyle w:val="3"/>
        <w:bidi w:val="0"/>
        <w:rPr>
          <w:rFonts w:hint="eastAsia"/>
          <w:color w:val="000000"/>
        </w:rPr>
      </w:pPr>
      <w:bookmarkStart w:id="53" w:name="_Toc6156"/>
      <w:r>
        <w:rPr>
          <w:rFonts w:hint="eastAsia"/>
          <w:color w:val="000000"/>
        </w:rPr>
        <w:t>第一部分  前置条件</w:t>
      </w:r>
      <w:bookmarkEnd w:id="0"/>
      <w:bookmarkEnd w:id="53"/>
    </w:p>
    <w:p>
      <w:pPr>
        <w:autoSpaceDE/>
        <w:autoSpaceDN/>
        <w:spacing w:line="500" w:lineRule="exact"/>
        <w:rPr>
          <w:rFonts w:ascii="Arial" w:hAnsi="Arial" w:eastAsia="Arial" w:cs="Arial"/>
          <w:snapToGrid w:val="0"/>
          <w:color w:val="000000"/>
          <w:sz w:val="21"/>
          <w:szCs w:val="21"/>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●依法设置与执业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●公益性责任和行风诚信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●安全管理与重大事件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●综合管理</w:t>
      </w:r>
    </w:p>
    <w:p>
      <w:pPr>
        <w:pStyle w:val="4"/>
        <w:keepNext w:val="0"/>
        <w:keepLines w:val="0"/>
        <w:pageBreakBefore w:val="0"/>
        <w:widowControl w:val="0"/>
        <w:numPr>
          <w:ilvl w:val="0"/>
          <w:numId w:val="0"/>
        </w:numPr>
        <w:kinsoku/>
        <w:wordWrap/>
        <w:overflowPunct/>
        <w:topLinePunct w:val="0"/>
        <w:autoSpaceDE/>
        <w:autoSpaceDN/>
        <w:bidi w:val="0"/>
        <w:spacing w:line="520" w:lineRule="exact"/>
        <w:jc w:val="center"/>
        <w:textAlignment w:val="auto"/>
        <w:rPr>
          <w:rFonts w:hint="eastAsia" w:ascii="宋体" w:hAnsi="宋体" w:eastAsia="宋体" w:cs="宋体"/>
          <w:b/>
          <w:bCs/>
          <w:color w:val="000000"/>
          <w:sz w:val="32"/>
          <w:szCs w:val="32"/>
        </w:rPr>
      </w:pPr>
      <w:bookmarkStart w:id="54" w:name="_Toc31779"/>
      <w:bookmarkStart w:id="55" w:name="_Toc9919"/>
      <w:bookmarkStart w:id="56" w:name="_Toc21798"/>
      <w:bookmarkStart w:id="57" w:name="_Toc3230"/>
      <w:bookmarkStart w:id="58" w:name="_Toc4799"/>
      <w:r>
        <w:rPr>
          <w:rFonts w:hint="eastAsia" w:ascii="宋体" w:hAnsi="宋体" w:eastAsia="宋体" w:cs="宋体"/>
          <w:b/>
          <w:bCs/>
          <w:color w:val="000000"/>
          <w:kern w:val="2"/>
          <w:sz w:val="32"/>
          <w:szCs w:val="32"/>
          <w:lang w:val="en-US" w:eastAsia="zh-CN" w:bidi="ar-SA"/>
        </w:rPr>
        <w:t>一、</w:t>
      </w:r>
      <w:r>
        <w:rPr>
          <w:rFonts w:hint="eastAsia" w:ascii="宋体" w:hAnsi="宋体" w:eastAsia="宋体" w:cs="宋体"/>
          <w:b/>
          <w:bCs/>
          <w:color w:val="000000"/>
          <w:sz w:val="32"/>
          <w:szCs w:val="32"/>
        </w:rPr>
        <w:t>依法设置与执业</w:t>
      </w:r>
      <w:bookmarkEnd w:id="54"/>
      <w:bookmarkEnd w:id="55"/>
      <w:bookmarkEnd w:id="56"/>
      <w:bookmarkEnd w:id="57"/>
      <w:bookmarkEnd w:id="58"/>
    </w:p>
    <w:p>
      <w:pPr>
        <w:numPr>
          <w:ilvl w:val="0"/>
          <w:numId w:val="0"/>
        </w:numPr>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（一）医院规模和基本设置未达到《医疗机构管理条例》《医疗机构基本标准（试行）》所要求的医院标准。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（二）违反《中华人民共和国基本医疗卫生与健康促进法》《医疗机构管理条例》，伪造、变造、买卖、出租、出借《医疗机构执业许可证》；医院命名不符合《医疗机构管理条例实施细则》等</w:t>
      </w:r>
      <w:r>
        <w:rPr>
          <w:rFonts w:hint="eastAsia" w:ascii="仿宋" w:hAnsi="仿宋" w:eastAsia="仿宋" w:cs="仿宋"/>
          <w:b w:val="0"/>
          <w:bCs w:val="0"/>
          <w:color w:val="000000"/>
          <w:sz w:val="32"/>
          <w:szCs w:val="32"/>
        </w:rPr>
        <w:t>有关规定，未按时校验、拒不校验或有暂缓校验记录</w:t>
      </w:r>
      <w:r>
        <w:rPr>
          <w:rFonts w:hint="eastAsia" w:ascii="仿宋" w:hAnsi="仿宋" w:eastAsia="仿宋" w:cs="仿宋"/>
          <w:b w:val="0"/>
          <w:bCs w:val="0"/>
          <w:color w:val="000000"/>
          <w:sz w:val="32"/>
          <w:szCs w:val="32"/>
          <w:lang w:eastAsia="zh-CN"/>
        </w:rPr>
        <w:t>、校验不通过，</w:t>
      </w:r>
      <w:r>
        <w:rPr>
          <w:rFonts w:hint="eastAsia" w:ascii="仿宋" w:hAnsi="仿宋" w:eastAsia="仿宋" w:cs="仿宋"/>
          <w:b w:val="0"/>
          <w:bCs w:val="0"/>
          <w:color w:val="000000"/>
          <w:sz w:val="32"/>
          <w:szCs w:val="32"/>
        </w:rPr>
        <w:t>擅自变更诊疗科目或有诊疗活动超出诊疗科目登记范围；政府举办的医疗卫生机构与其他组织投资设立非独立法人资格的医疗卫生机构；医疗卫生机构对外出租、承包医疗科室；公</w:t>
      </w:r>
      <w:r>
        <w:rPr>
          <w:rFonts w:hint="eastAsia" w:ascii="仿宋" w:hAnsi="仿宋" w:eastAsia="仿宋" w:cs="仿宋"/>
          <w:color w:val="000000"/>
          <w:sz w:val="32"/>
          <w:szCs w:val="32"/>
        </w:rPr>
        <w:t>立医院承包、出租药房，向营利性企业托管药房，以任何形式开设营利性药店；非营利性医疗卫生机构向出资人、举办者分配或变相分配收益。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（三）违反《中华人民共和国医师法》《医疗机构管理条例》《护士条例》，使用非卫生技术人员从事医疗卫生技术工作。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（四）违反《中华人民共和国药品管理法》《医疗器械监督管理条例》，违法违规采购或使用药品、设备、器械、耗材开展诊疗活动，造成严重后果；未经许可配置使用需要准入审批的大型医用设备。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（五）违反《中华人民共和国母婴保健法》，未取得母婴保健技术服务执业许可证开展相关母婴保健技术。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（六）违反《人类辅助生殖技术管理办法》，非法开展人类辅助生殖技术，造成严重影响。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（七）违反《人体器官移植条例》，买卖人体器官或者从事与买卖人体器官有关的活动，未经许可开展人体器官获取与移植技术。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（八）违反《中华人民共和国献血法》，非法采集血液，非法组织他人出卖血液，出售无偿献血的血液。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九）违反《中华人民共和国传染病防治法》《中华人民共和国生物安全法》《病原微生物实验室生物安全管理条例》，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r>
        <w:rPr>
          <w:rFonts w:hint="eastAsia" w:ascii="仿宋" w:hAnsi="仿宋" w:eastAsia="仿宋" w:cs="仿宋"/>
          <w:b w:val="0"/>
          <w:bCs w:val="0"/>
          <w:color w:val="000000"/>
          <w:sz w:val="32"/>
          <w:szCs w:val="32"/>
          <w:lang w:val="en-US" w:eastAsia="zh-CN"/>
        </w:rPr>
        <w:t>或</w:t>
      </w:r>
      <w:r>
        <w:rPr>
          <w:rFonts w:hint="eastAsia" w:ascii="仿宋" w:hAnsi="仿宋" w:eastAsia="仿宋" w:cs="仿宋"/>
          <w:b w:val="0"/>
          <w:bCs w:val="0"/>
          <w:color w:val="000000"/>
          <w:sz w:val="32"/>
          <w:szCs w:val="32"/>
        </w:rPr>
        <w:t>被国家或自治区查处或通报的。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rPr>
        <w:t>（十）违反《医疗纠纷</w:t>
      </w:r>
      <w:r>
        <w:rPr>
          <w:rFonts w:hint="eastAsia" w:ascii="仿宋" w:hAnsi="仿宋" w:eastAsia="仿宋" w:cs="仿宋"/>
          <w:color w:val="000000"/>
          <w:sz w:val="32"/>
          <w:szCs w:val="32"/>
        </w:rPr>
        <w:t>预防和处理条例》《医疗事故处理条例》，篡改、伪造、隐匿、毁灭病历资料，造成严重后果。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（十一）违反《医疗技术临床应用管理办法》，将未通过技术评估与伦理审查的医疗新技术、禁止类医疗技术应用于临床，造成严重后果。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二）违反《麻醉药品和精神药品管理条例》《易制毒化学品管理条例》《处方管理办法》，违规购买、储存、调剂、开具、登记、销毁麻醉药品和第一类精神药品，使用未取得处方权的人员或被取消处方权的医师开具处方，造成严重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（十三）违反《放射诊疗管理规定》，未取得放射诊疗许可从事放射诊疗工作或未履行其他法定职责，造成严重后果。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（十四）违反《中华人民共和国职业病防治法》，未依法开展职业健康检查或职业病诊断、未依法履行职业病与疑似职业病报告等法定职责，造成严重后果。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十五）违反《中华人民共和国广告法》《医疗广告管理办法》，违规发布医疗广告，情节严重。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（十六）违反《中华人民共和国建筑法》《中华人民共和国消防法》，未依法办理建设工程消防设计审查验收及相关手续，违规改变建筑内部结构或使用功能，情节严重。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lang w:eastAsia="zh-CN"/>
        </w:rPr>
        <w:t>（十七）</w:t>
      </w:r>
      <w:r>
        <w:rPr>
          <w:rFonts w:hint="eastAsia" w:ascii="仿宋" w:hAnsi="仿宋" w:eastAsia="仿宋" w:cs="仿宋"/>
          <w:b w:val="0"/>
          <w:bCs w:val="0"/>
          <w:color w:val="000000"/>
          <w:sz w:val="32"/>
          <w:szCs w:val="32"/>
        </w:rPr>
        <w:t>其他重大违法、</w:t>
      </w:r>
      <w:r>
        <w:rPr>
          <w:rFonts w:hint="eastAsia" w:ascii="仿宋" w:hAnsi="仿宋" w:eastAsia="仿宋" w:cs="仿宋"/>
          <w:color w:val="000000"/>
          <w:sz w:val="32"/>
          <w:szCs w:val="32"/>
        </w:rPr>
        <w:t>违规事件，造成严重后果或情节严重。</w:t>
      </w:r>
    </w:p>
    <w:p>
      <w:pPr>
        <w:pStyle w:val="4"/>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bCs/>
          <w:color w:val="000000"/>
          <w:sz w:val="32"/>
          <w:szCs w:val="32"/>
        </w:rPr>
      </w:pPr>
      <w:bookmarkStart w:id="59" w:name="_Toc22229"/>
      <w:bookmarkStart w:id="60" w:name="_Toc26065"/>
      <w:bookmarkStart w:id="61" w:name="_Toc3249"/>
      <w:bookmarkStart w:id="62" w:name="_Toc32427"/>
      <w:bookmarkStart w:id="63" w:name="_Toc14000"/>
      <w:r>
        <w:rPr>
          <w:rFonts w:hint="eastAsia" w:ascii="宋体" w:hAnsi="宋体" w:eastAsia="宋体" w:cs="宋体"/>
          <w:b/>
          <w:bCs/>
          <w:color w:val="000000"/>
          <w:sz w:val="32"/>
          <w:szCs w:val="32"/>
        </w:rPr>
        <w:t>二、公益性责任和行风诚信</w:t>
      </w:r>
      <w:bookmarkEnd w:id="59"/>
      <w:bookmarkEnd w:id="60"/>
      <w:bookmarkEnd w:id="61"/>
      <w:bookmarkEnd w:id="62"/>
      <w:bookmarkEnd w:id="63"/>
    </w:p>
    <w:p>
      <w:pPr>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八</w:t>
      </w:r>
      <w:r>
        <w:rPr>
          <w:rFonts w:hint="eastAsia" w:ascii="仿宋" w:hAnsi="仿宋" w:eastAsia="仿宋" w:cs="仿宋"/>
          <w:color w:val="000000"/>
          <w:sz w:val="32"/>
          <w:szCs w:val="32"/>
        </w:rPr>
        <w:t>）应当完成而未完成对口支援、中国援外医疗队、突发公共事件医疗救援、公共卫生任务等政府指令性工作。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）应当执行而未执行国家基本药物制度和分级诊疗政策。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二十</w:t>
      </w:r>
      <w:r>
        <w:rPr>
          <w:rFonts w:hint="eastAsia" w:ascii="仿宋" w:hAnsi="仿宋" w:eastAsia="仿宋" w:cs="仿宋"/>
          <w:b w:val="0"/>
          <w:bCs w:val="0"/>
          <w:color w:val="000000"/>
          <w:sz w:val="32"/>
          <w:szCs w:val="32"/>
        </w:rPr>
        <w:t>）医院领导班子发生3起以上严重违纪事件或职务犯罪</w:t>
      </w:r>
      <w:r>
        <w:rPr>
          <w:rFonts w:hint="eastAsia" w:ascii="仿宋" w:hAnsi="仿宋" w:eastAsia="仿宋" w:cs="仿宋"/>
          <w:b w:val="0"/>
          <w:bCs w:val="0"/>
          <w:color w:val="000000"/>
          <w:sz w:val="32"/>
          <w:szCs w:val="32"/>
          <w:lang w:eastAsia="zh-CN"/>
        </w:rPr>
        <w:t>事件</w:t>
      </w:r>
      <w:r>
        <w:rPr>
          <w:rFonts w:hint="eastAsia" w:ascii="仿宋" w:hAnsi="仿宋" w:eastAsia="仿宋" w:cs="仿宋"/>
          <w:b w:val="0"/>
          <w:bCs w:val="0"/>
          <w:color w:val="000000"/>
          <w:sz w:val="32"/>
          <w:szCs w:val="32"/>
        </w:rPr>
        <w:t>，医院发生严重医德医风事件，或医务人员发生3起以上违反《医疗机构工作人员廉洁从业九项准则》的群体性事件（≥3人/起），造成重大社会影响。</w:t>
      </w:r>
      <w:r>
        <w:rPr>
          <w:rFonts w:hint="eastAsia" w:ascii="仿宋" w:hAnsi="仿宋" w:eastAsia="仿宋" w:cs="仿宋"/>
          <w:b w:val="0"/>
          <w:bCs w:val="0"/>
          <w:color w:val="000000"/>
          <w:sz w:val="32"/>
          <w:szCs w:val="32"/>
          <w:lang w:eastAsia="zh-CN"/>
        </w:rPr>
        <w:t>或</w:t>
      </w:r>
      <w:r>
        <w:rPr>
          <w:rFonts w:hint="eastAsia" w:ascii="仿宋" w:hAnsi="仿宋" w:eastAsia="仿宋" w:cs="仿宋"/>
          <w:b w:val="0"/>
          <w:bCs w:val="0"/>
          <w:color w:val="000000"/>
          <w:sz w:val="32"/>
          <w:szCs w:val="32"/>
        </w:rPr>
        <w:t>自治区清廉医院建设星级评定结果为“无星”</w:t>
      </w:r>
      <w:r>
        <w:rPr>
          <w:rFonts w:hint="eastAsia" w:ascii="仿宋" w:hAnsi="仿宋" w:eastAsia="仿宋" w:cs="仿宋"/>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）发生重大价格或收费违法事件，以及恶意骗取医保基金。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）违反《中华人民共和国统计法》《医疗质量管理办法》《医学科研诚信和相关行为规范》相关要求，提供、报告虚假住院病案首页等医疗服务信息、统计数据、申报材料和科研成果，情节严重。</w:t>
      </w:r>
    </w:p>
    <w:p>
      <w:pPr>
        <w:pStyle w:val="4"/>
        <w:keepNext w:val="0"/>
        <w:keepLines w:val="0"/>
        <w:pageBreakBefore w:val="0"/>
        <w:widowControl w:val="0"/>
        <w:numPr>
          <w:ilvl w:val="0"/>
          <w:numId w:val="0"/>
        </w:numPr>
        <w:kinsoku/>
        <w:wordWrap/>
        <w:overflowPunct/>
        <w:topLinePunct w:val="0"/>
        <w:autoSpaceDE/>
        <w:autoSpaceDN/>
        <w:bidi w:val="0"/>
        <w:spacing w:line="520" w:lineRule="exact"/>
        <w:ind w:left="0" w:leftChars="0" w:firstLine="0" w:firstLineChars="0"/>
        <w:jc w:val="center"/>
        <w:textAlignment w:val="auto"/>
        <w:rPr>
          <w:rFonts w:hint="eastAsia" w:ascii="宋体" w:hAnsi="宋体" w:eastAsia="宋体" w:cs="宋体"/>
          <w:b/>
          <w:bCs/>
          <w:color w:val="000000"/>
          <w:sz w:val="32"/>
          <w:szCs w:val="32"/>
        </w:rPr>
      </w:pPr>
      <w:bookmarkStart w:id="64" w:name="_Toc1534"/>
      <w:bookmarkStart w:id="65" w:name="_Toc26953"/>
      <w:bookmarkStart w:id="66" w:name="_Toc28706"/>
      <w:bookmarkStart w:id="67" w:name="_Toc32613"/>
      <w:bookmarkStart w:id="68" w:name="_Toc29318"/>
      <w:r>
        <w:rPr>
          <w:rFonts w:hint="eastAsia" w:ascii="宋体" w:hAnsi="宋体" w:eastAsia="宋体" w:cs="宋体"/>
          <w:b/>
          <w:bCs/>
          <w:color w:val="000000"/>
          <w:kern w:val="2"/>
          <w:sz w:val="32"/>
          <w:szCs w:val="32"/>
          <w:lang w:val="en-US" w:eastAsia="zh-CN" w:bidi="ar-SA"/>
        </w:rPr>
        <w:t>三、</w:t>
      </w:r>
      <w:r>
        <w:rPr>
          <w:rFonts w:hint="eastAsia" w:ascii="宋体" w:hAnsi="宋体" w:eastAsia="宋体" w:cs="宋体"/>
          <w:b/>
          <w:bCs/>
          <w:color w:val="000000"/>
          <w:sz w:val="32"/>
          <w:szCs w:val="32"/>
        </w:rPr>
        <w:t>安全管理与重大事件</w:t>
      </w:r>
      <w:bookmarkEnd w:id="64"/>
      <w:bookmarkEnd w:id="65"/>
      <w:bookmarkEnd w:id="66"/>
      <w:bookmarkEnd w:id="67"/>
      <w:bookmarkEnd w:id="68"/>
    </w:p>
    <w:p>
      <w:pPr>
        <w:numPr>
          <w:ilvl w:val="0"/>
          <w:numId w:val="0"/>
        </w:numPr>
        <w:ind w:leftChars="0"/>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）发生定性为完全责任的一级医疗事故或直接被卫生健康行政部门判定的重大医疗事故。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）发生重大医院感染事件，造成严重后果。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）发生因重大火灾、放射源泄漏、有害气体泄漏等被通报或处罚的重大安全事故。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w:t>
      </w: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）发生瞒报、漏报重大医疗过失事件的行为。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w:t>
      </w: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）发生大规模医疗数据泄露或其他重大网络安全事件，造成严重后果。</w:t>
      </w:r>
    </w:p>
    <w:p>
      <w:pPr>
        <w:pStyle w:val="4"/>
        <w:keepNext w:val="0"/>
        <w:keepLines w:val="0"/>
        <w:pageBreakBefore w:val="0"/>
        <w:widowControl w:val="0"/>
        <w:numPr>
          <w:ilvl w:val="0"/>
          <w:numId w:val="0"/>
        </w:numPr>
        <w:kinsoku/>
        <w:wordWrap/>
        <w:overflowPunct/>
        <w:topLinePunct w:val="0"/>
        <w:autoSpaceDE/>
        <w:autoSpaceDN/>
        <w:bidi w:val="0"/>
        <w:spacing w:line="520" w:lineRule="exact"/>
        <w:ind w:left="0" w:leftChars="0" w:firstLine="0" w:firstLineChars="0"/>
        <w:jc w:val="center"/>
        <w:textAlignment w:val="auto"/>
        <w:rPr>
          <w:rFonts w:hint="eastAsia" w:ascii="宋体" w:hAnsi="宋体" w:eastAsia="宋体" w:cs="宋体"/>
          <w:b/>
          <w:bCs/>
          <w:color w:val="000000"/>
          <w:sz w:val="32"/>
          <w:szCs w:val="32"/>
        </w:rPr>
      </w:pPr>
      <w:bookmarkStart w:id="69" w:name="_Toc3157"/>
      <w:bookmarkStart w:id="70" w:name="_Toc30316"/>
      <w:bookmarkStart w:id="71" w:name="_Toc7867"/>
      <w:bookmarkStart w:id="72" w:name="_Toc30707"/>
      <w:bookmarkStart w:id="73" w:name="_Toc30099"/>
      <w:r>
        <w:rPr>
          <w:rFonts w:hint="eastAsia" w:ascii="宋体" w:hAnsi="宋体" w:eastAsia="宋体" w:cs="宋体"/>
          <w:b/>
          <w:bCs/>
          <w:color w:val="000000"/>
          <w:kern w:val="2"/>
          <w:sz w:val="32"/>
          <w:szCs w:val="32"/>
          <w:lang w:val="en-US" w:eastAsia="zh-CN" w:bidi="ar-SA"/>
        </w:rPr>
        <w:t>四、</w:t>
      </w:r>
      <w:r>
        <w:rPr>
          <w:rFonts w:hint="eastAsia" w:ascii="宋体" w:hAnsi="宋体" w:eastAsia="宋体" w:cs="宋体"/>
          <w:b/>
          <w:bCs/>
          <w:color w:val="000000"/>
          <w:sz w:val="32"/>
          <w:szCs w:val="32"/>
        </w:rPr>
        <w:t>综合管理</w:t>
      </w:r>
      <w:bookmarkEnd w:id="69"/>
      <w:bookmarkEnd w:id="70"/>
      <w:bookmarkEnd w:id="71"/>
      <w:bookmarkEnd w:id="72"/>
      <w:bookmarkEnd w:id="73"/>
    </w:p>
    <w:p>
      <w:pPr>
        <w:numPr>
          <w:ilvl w:val="0"/>
          <w:numId w:val="0"/>
        </w:numPr>
        <w:ind w:leftChars="0"/>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（二十</w:t>
      </w:r>
      <w:r>
        <w:rPr>
          <w:rFonts w:hint="eastAsia" w:ascii="仿宋" w:hAnsi="仿宋" w:eastAsia="仿宋" w:cs="仿宋"/>
          <w:color w:val="000000"/>
          <w:kern w:val="2"/>
          <w:sz w:val="32"/>
          <w:szCs w:val="32"/>
          <w:lang w:eastAsia="zh-CN"/>
        </w:rPr>
        <w:t>八</w:t>
      </w:r>
      <w:r>
        <w:rPr>
          <w:rFonts w:hint="eastAsia" w:ascii="仿宋" w:hAnsi="仿宋" w:eastAsia="仿宋" w:cs="仿宋"/>
          <w:color w:val="000000"/>
          <w:kern w:val="2"/>
          <w:sz w:val="32"/>
          <w:szCs w:val="32"/>
        </w:rPr>
        <w:t>）未按</w:t>
      </w:r>
      <w:r>
        <w:rPr>
          <w:rFonts w:hint="eastAsia" w:ascii="仿宋" w:hAnsi="仿宋" w:eastAsia="仿宋" w:cs="仿宋"/>
          <w:color w:val="000000"/>
          <w:kern w:val="2"/>
          <w:sz w:val="32"/>
          <w:szCs w:val="32"/>
          <w:lang w:eastAsia="zh-CN"/>
        </w:rPr>
        <w:t>国家卫生健康委</w:t>
      </w:r>
      <w:r>
        <w:rPr>
          <w:rFonts w:hint="eastAsia" w:ascii="仿宋" w:hAnsi="仿宋" w:eastAsia="仿宋" w:cs="仿宋"/>
          <w:color w:val="000000"/>
          <w:kern w:val="2"/>
          <w:sz w:val="32"/>
          <w:szCs w:val="32"/>
        </w:rPr>
        <w:t>《关于印发电子病历系统应用水平分级</w:t>
      </w:r>
      <w:r>
        <w:rPr>
          <w:rFonts w:hint="eastAsia" w:ascii="仿宋" w:hAnsi="仿宋" w:eastAsia="仿宋" w:cs="仿宋"/>
          <w:b w:val="0"/>
          <w:bCs w:val="0"/>
          <w:color w:val="000000"/>
          <w:kern w:val="2"/>
          <w:sz w:val="32"/>
          <w:szCs w:val="32"/>
        </w:rPr>
        <w:t>评价管理办法（试行）及评价标准（试行）的通知》要求</w:t>
      </w:r>
      <w:r>
        <w:rPr>
          <w:rFonts w:hint="eastAsia" w:ascii="仿宋" w:hAnsi="仿宋" w:eastAsia="仿宋" w:cs="仿宋"/>
          <w:b w:val="0"/>
          <w:bCs w:val="0"/>
          <w:color w:val="000000"/>
          <w:kern w:val="2"/>
          <w:sz w:val="32"/>
          <w:szCs w:val="32"/>
          <w:lang w:val="en-US" w:eastAsia="zh-CN" w:bidi="ar-SA"/>
        </w:rPr>
        <w:t>开展</w:t>
      </w:r>
      <w:r>
        <w:rPr>
          <w:rFonts w:hint="eastAsia" w:ascii="仿宋" w:hAnsi="仿宋" w:eastAsia="仿宋" w:cs="仿宋"/>
          <w:color w:val="000000"/>
          <w:kern w:val="2"/>
          <w:sz w:val="32"/>
          <w:szCs w:val="32"/>
          <w:lang w:val="en-US" w:eastAsia="zh-CN"/>
        </w:rPr>
        <w:t>电子病历信息化建设评价，电子病历评级未达到</w:t>
      </w:r>
      <w:r>
        <w:rPr>
          <w:rFonts w:hint="eastAsia" w:ascii="仿宋" w:hAnsi="仿宋" w:eastAsia="仿宋" w:cs="仿宋"/>
          <w:color w:val="000000"/>
          <w:kern w:val="2"/>
          <w:sz w:val="32"/>
          <w:szCs w:val="32"/>
        </w:rPr>
        <w:t>4级及以上。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kern w:val="2"/>
          <w:sz w:val="32"/>
          <w:szCs w:val="32"/>
        </w:rPr>
      </w:pPr>
    </w:p>
    <w:p>
      <w:pPr>
        <w:jc w:val="center"/>
        <w:outlineLvl w:val="0"/>
        <w:rPr>
          <w:rFonts w:hint="eastAsia" w:ascii="黑体" w:hAnsi="黑体" w:eastAsia="黑体" w:cs="黑体"/>
          <w:b w:val="0"/>
          <w:bCs w:val="0"/>
          <w:color w:val="000000"/>
          <w:sz w:val="32"/>
          <w:szCs w:val="32"/>
        </w:rPr>
      </w:pPr>
      <w:bookmarkStart w:id="74" w:name="_Toc88136152"/>
      <w:r>
        <w:rPr>
          <w:rFonts w:hint="default" w:ascii="Calibri" w:hAnsi="Calibri" w:eastAsia="宋体" w:cs="Times New Roman"/>
          <w:color w:val="000000"/>
        </w:rPr>
        <w:br w:type="page"/>
      </w:r>
      <w:bookmarkEnd w:id="74"/>
      <w:bookmarkStart w:id="75" w:name="_Toc26130"/>
      <w:bookmarkStart w:id="76" w:name="_Toc30454"/>
      <w:bookmarkStart w:id="77" w:name="_Toc2183"/>
      <w:bookmarkStart w:id="78" w:name="_Toc88136178"/>
      <w:bookmarkStart w:id="79" w:name="_Toc21773"/>
      <w:r>
        <w:rPr>
          <w:rStyle w:val="17"/>
          <w:rFonts w:hint="eastAsia"/>
          <w:color w:val="000000"/>
          <w:lang w:val="en-US" w:eastAsia="zh-CN"/>
        </w:rPr>
        <w:t>第二部分</w:t>
      </w:r>
      <w:r>
        <w:rPr>
          <w:rStyle w:val="17"/>
          <w:rFonts w:hint="eastAsia"/>
          <w:color w:val="000000"/>
          <w:lang w:val="en-US" w:eastAsia="zh-CN"/>
        </w:rPr>
        <w:tab/>
      </w:r>
      <w:r>
        <w:rPr>
          <w:rStyle w:val="17"/>
          <w:rFonts w:hint="eastAsia"/>
          <w:color w:val="000000"/>
          <w:lang w:val="en-US" w:eastAsia="zh-CN"/>
        </w:rPr>
        <w:t>医疗服务能力与质量安全监测数据（共600分）</w:t>
      </w:r>
      <w:bookmarkEnd w:id="75"/>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sz w:val="28"/>
          <w:szCs w:val="28"/>
        </w:rPr>
      </w:pPr>
      <w:bookmarkStart w:id="80" w:name="_Toc88136156"/>
    </w:p>
    <w:p>
      <w:pPr>
        <w:pStyle w:val="4"/>
        <w:bidi w:val="0"/>
        <w:rPr>
          <w:rFonts w:hint="eastAsia"/>
          <w:color w:val="000000"/>
          <w:lang w:eastAsia="zh-CN"/>
        </w:rPr>
      </w:pPr>
      <w:bookmarkStart w:id="81" w:name="_Toc28304"/>
      <w:r>
        <w:rPr>
          <w:rFonts w:hint="eastAsia"/>
          <w:color w:val="000000"/>
        </w:rPr>
        <w:t>第一章  资源配置与运行数据指标</w:t>
      </w:r>
      <w:bookmarkEnd w:id="80"/>
      <w:r>
        <w:rPr>
          <w:rFonts w:hint="eastAsia"/>
          <w:color w:val="000000"/>
          <w:lang w:eastAsia="zh-CN"/>
        </w:rPr>
        <w:t>（</w:t>
      </w:r>
      <w:r>
        <w:rPr>
          <w:rFonts w:hint="eastAsia"/>
          <w:color w:val="000000"/>
          <w:lang w:val="en-US" w:eastAsia="zh-CN"/>
        </w:rPr>
        <w:t>116分，加分5分</w:t>
      </w:r>
      <w:r>
        <w:rPr>
          <w:rFonts w:hint="eastAsia"/>
          <w:color w:val="000000"/>
          <w:lang w:eastAsia="zh-CN"/>
        </w:rPr>
        <w:t>）</w:t>
      </w:r>
      <w:bookmarkEnd w:id="81"/>
      <w:bookmarkStart w:id="82" w:name="_Toc88136157"/>
      <w:bookmarkStart w:id="83" w:name="_Toc1942"/>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数据来源：</w:t>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1.自治区卫生健康统计信息网络直报系统</w:t>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p>
    <w:p>
      <w:pPr>
        <w:keepNext w:val="0"/>
        <w:keepLines w:val="0"/>
        <w:pageBreakBefore w:val="0"/>
        <w:widowControl/>
        <w:kinsoku/>
        <w:wordWrap/>
        <w:overflowPunct/>
        <w:topLinePunct w:val="0"/>
        <w:autoSpaceDE/>
        <w:autoSpaceDN/>
        <w:bidi w:val="0"/>
        <w:adjustRightInd/>
        <w:snapToGrid/>
        <w:spacing w:line="500" w:lineRule="exact"/>
        <w:ind w:right="-638" w:rightChars="-304"/>
        <w:jc w:val="left"/>
        <w:textAlignment w:val="auto"/>
        <w:rPr>
          <w:rFonts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2.国家公立医院绩效管理平台</w:t>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r>
        <w:rPr>
          <w:rFonts w:hint="eastAsia" w:ascii="仿宋_GB2312" w:hAnsi="仿宋_GB2312" w:eastAsia="仿宋_GB2312" w:cs="仿宋_GB2312"/>
          <w:color w:val="000000"/>
          <w:kern w:val="0"/>
          <w:sz w:val="28"/>
          <w:szCs w:val="28"/>
          <w:lang w:val="zh-CN" w:bidi="zh-CN"/>
        </w:rPr>
        <w:tab/>
      </w:r>
    </w:p>
    <w:p>
      <w:pPr>
        <w:pStyle w:val="2"/>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3.医院填报</w:t>
      </w:r>
      <w:r>
        <w:rPr>
          <w:rFonts w:hint="eastAsia" w:ascii="仿宋_GB2312" w:hAnsi="仿宋_GB2312" w:eastAsia="仿宋_GB2312" w:cs="仿宋_GB2312"/>
          <w:color w:val="000000"/>
          <w:kern w:val="0"/>
          <w:sz w:val="28"/>
          <w:szCs w:val="28"/>
          <w:lang w:val="zh-CN" w:bidi="zh-CN"/>
        </w:rPr>
        <w:tab/>
      </w:r>
    </w:p>
    <w:p>
      <w:pPr>
        <w:pStyle w:val="2"/>
        <w:keepNext w:val="0"/>
        <w:keepLines w:val="0"/>
        <w:pageBreakBefore w:val="0"/>
        <w:kinsoku/>
        <w:wordWrap/>
        <w:overflowPunct/>
        <w:topLinePunct w:val="0"/>
        <w:autoSpaceDE/>
        <w:autoSpaceDN/>
        <w:bidi w:val="0"/>
        <w:adjustRightInd/>
        <w:snapToGrid/>
        <w:spacing w:line="500" w:lineRule="exact"/>
        <w:jc w:val="both"/>
        <w:textAlignment w:val="auto"/>
        <w:rPr>
          <w:rFonts w:hint="eastAsia"/>
          <w:color w:val="000000"/>
          <w:sz w:val="28"/>
          <w:szCs w:val="28"/>
        </w:rPr>
      </w:pPr>
      <w:r>
        <w:rPr>
          <w:rFonts w:hint="eastAsia" w:ascii="仿宋_GB2312" w:hAnsi="仿宋_GB2312" w:eastAsia="仿宋_GB2312" w:cs="仿宋_GB2312"/>
          <w:color w:val="000000"/>
          <w:kern w:val="0"/>
          <w:sz w:val="28"/>
          <w:szCs w:val="28"/>
          <w:lang w:val="en-US" w:bidi="zh-CN"/>
        </w:rPr>
        <w:t>4.财务年报表</w:t>
      </w:r>
      <w:r>
        <w:rPr>
          <w:rFonts w:hint="eastAsia" w:ascii="宋体" w:hAnsi="宋体" w:eastAsia="宋体" w:cs="宋体"/>
          <w:color w:val="000000"/>
          <w:kern w:val="0"/>
          <w:sz w:val="28"/>
          <w:szCs w:val="28"/>
        </w:rPr>
        <w:tab/>
      </w:r>
    </w:p>
    <w:p>
      <w:pPr>
        <w:pStyle w:val="5"/>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color w:val="000000"/>
          <w:sz w:val="28"/>
          <w:szCs w:val="28"/>
        </w:rPr>
      </w:pPr>
    </w:p>
    <w:p>
      <w:pPr>
        <w:pStyle w:val="5"/>
        <w:bidi w:val="0"/>
        <w:rPr>
          <w:rFonts w:hint="eastAsia"/>
          <w:color w:val="000000"/>
          <w:lang w:eastAsia="zh-CN"/>
        </w:rPr>
      </w:pPr>
      <w:bookmarkStart w:id="84" w:name="_Toc12902"/>
      <w:r>
        <w:rPr>
          <w:rFonts w:hint="eastAsia"/>
          <w:color w:val="000000"/>
        </w:rPr>
        <w:t>一、床位配置</w:t>
      </w:r>
      <w:bookmarkEnd w:id="82"/>
      <w:bookmarkEnd w:id="83"/>
      <w:r>
        <w:rPr>
          <w:rFonts w:hint="eastAsia"/>
          <w:color w:val="000000"/>
          <w:lang w:eastAsia="zh-CN"/>
        </w:rPr>
        <w:t>（</w:t>
      </w:r>
      <w:r>
        <w:rPr>
          <w:rFonts w:hint="eastAsia"/>
          <w:color w:val="000000"/>
          <w:lang w:val="en-US" w:eastAsia="zh-CN"/>
        </w:rPr>
        <w:t>18分</w:t>
      </w:r>
      <w:r>
        <w:rPr>
          <w:rFonts w:hint="eastAsia"/>
          <w:color w:val="000000"/>
          <w:lang w:eastAsia="zh-CN"/>
        </w:rPr>
        <w:t>）</w:t>
      </w:r>
      <w:bookmarkEnd w:id="84"/>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8"/>
          <w:szCs w:val="28"/>
        </w:rPr>
      </w:pPr>
      <w:r>
        <w:rPr>
          <w:rStyle w:val="20"/>
          <w:rFonts w:hint="eastAsia" w:ascii="宋体" w:hAnsi="宋体" w:eastAsia="宋体" w:cs="宋体"/>
          <w:color w:val="000000"/>
          <w:sz w:val="28"/>
          <w:szCs w:val="28"/>
        </w:rPr>
        <w:t>本节评审设</w:t>
      </w:r>
      <w:r>
        <w:rPr>
          <w:rStyle w:val="20"/>
          <w:rFonts w:hint="eastAsia" w:ascii="宋体" w:hAnsi="宋体" w:cs="宋体"/>
          <w:color w:val="000000"/>
          <w:sz w:val="28"/>
          <w:szCs w:val="28"/>
          <w:lang w:val="en-US" w:eastAsia="zh-CN"/>
        </w:rPr>
        <w:t>3</w:t>
      </w:r>
      <w:r>
        <w:rPr>
          <w:rStyle w:val="20"/>
          <w:rFonts w:hint="eastAsia" w:ascii="宋体" w:hAnsi="宋体" w:eastAsia="宋体" w:cs="宋体"/>
          <w:color w:val="000000"/>
          <w:sz w:val="28"/>
          <w:szCs w:val="28"/>
        </w:rPr>
        <w:t>条</w:t>
      </w:r>
      <w:r>
        <w:rPr>
          <w:rStyle w:val="20"/>
          <w:rFonts w:hint="eastAsia" w:ascii="宋体" w:hAnsi="宋体" w:cs="宋体"/>
          <w:color w:val="000000"/>
          <w:sz w:val="28"/>
          <w:szCs w:val="28"/>
          <w:lang w:val="en-US" w:eastAsia="zh-CN"/>
        </w:rPr>
        <w:t>3个</w:t>
      </w:r>
      <w:r>
        <w:rPr>
          <w:rStyle w:val="20"/>
          <w:rFonts w:hint="eastAsia" w:ascii="宋体" w:hAnsi="宋体" w:eastAsia="宋体" w:cs="宋体"/>
          <w:color w:val="000000"/>
          <w:sz w:val="28"/>
          <w:szCs w:val="28"/>
        </w:rPr>
        <w:t>指标，均为数据评审指标，共</w:t>
      </w:r>
      <w:r>
        <w:rPr>
          <w:rStyle w:val="20"/>
          <w:rFonts w:hint="eastAsia" w:ascii="宋体" w:hAnsi="宋体" w:cs="宋体"/>
          <w:color w:val="000000"/>
          <w:sz w:val="28"/>
          <w:szCs w:val="28"/>
          <w:lang w:val="en-US" w:eastAsia="zh-CN"/>
        </w:rPr>
        <w:t>18</w:t>
      </w:r>
      <w:r>
        <w:rPr>
          <w:rStyle w:val="20"/>
          <w:rFonts w:hint="eastAsia" w:ascii="宋体" w:hAnsi="宋体" w:eastAsia="宋体" w:cs="宋体"/>
          <w:color w:val="000000"/>
          <w:sz w:val="28"/>
          <w:szCs w:val="28"/>
        </w:rPr>
        <w:t>分。</w:t>
      </w:r>
    </w:p>
    <w:tbl>
      <w:tblPr>
        <w:tblStyle w:val="14"/>
        <w:tblW w:w="10437" w:type="dxa"/>
        <w:jc w:val="center"/>
        <w:shd w:val="clear" w:color="auto" w:fill="FFFFFF"/>
        <w:tblLayout w:type="fixed"/>
        <w:tblCellMar>
          <w:top w:w="0" w:type="dxa"/>
          <w:left w:w="0" w:type="dxa"/>
          <w:bottom w:w="0" w:type="dxa"/>
          <w:right w:w="0" w:type="dxa"/>
        </w:tblCellMar>
      </w:tblPr>
      <w:tblGrid>
        <w:gridCol w:w="2266"/>
        <w:gridCol w:w="3762"/>
        <w:gridCol w:w="1283"/>
        <w:gridCol w:w="717"/>
        <w:gridCol w:w="2409"/>
      </w:tblGrid>
      <w:tr>
        <w:tblPrEx>
          <w:shd w:val="clear" w:color="auto" w:fill="FFFFFF"/>
          <w:tblCellMar>
            <w:top w:w="0" w:type="dxa"/>
            <w:left w:w="0" w:type="dxa"/>
            <w:bottom w:w="0" w:type="dxa"/>
            <w:right w:w="0" w:type="dxa"/>
          </w:tblCellMar>
        </w:tblPrEx>
        <w:trPr>
          <w:trHeight w:val="642" w:hRule="atLeast"/>
          <w:tblHeader/>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监测指标</w:t>
            </w:r>
          </w:p>
        </w:tc>
        <w:tc>
          <w:tcPr>
            <w:tcW w:w="376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计算方法</w:t>
            </w:r>
          </w:p>
        </w:tc>
        <w:tc>
          <w:tcPr>
            <w:tcW w:w="1283"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default" w:eastAsia="黑体"/>
                <w:color w:val="000000"/>
                <w:sz w:val="24"/>
                <w:szCs w:val="24"/>
                <w:lang w:val="en-US" w:eastAsia="zh-CN"/>
              </w:rPr>
            </w:pPr>
            <w:r>
              <w:rPr>
                <w:rFonts w:hint="eastAsia"/>
                <w:color w:val="000000"/>
                <w:sz w:val="24"/>
                <w:szCs w:val="24"/>
                <w:lang w:val="en-US" w:eastAsia="zh-CN"/>
              </w:rPr>
              <w:t>指标设定</w:t>
            </w:r>
          </w:p>
        </w:tc>
        <w:tc>
          <w:tcPr>
            <w:tcW w:w="717"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分值</w:t>
            </w:r>
          </w:p>
        </w:tc>
        <w:tc>
          <w:tcPr>
            <w:tcW w:w="2409"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default" w:eastAsia="黑体"/>
                <w:color w:val="000000"/>
                <w:sz w:val="24"/>
                <w:szCs w:val="24"/>
                <w:lang w:val="en-US" w:eastAsia="zh-CN"/>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1672"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1.1.1 </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核定床位数</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以《医疗机构执业许可证》副本登记的床位数为准。</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规模类</w:t>
            </w:r>
          </w:p>
          <w:p>
            <w:pPr>
              <w:pStyle w:val="25"/>
              <w:spacing w:line="300" w:lineRule="exact"/>
              <w:ind w:left="105" w:leftChars="50" w:right="105" w:rightChars="5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定量指标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2205"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1.1.2 </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实际开放床位数</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期末可供使用的固定实有床位数，包括消毒和小修理的病床、超过半年的加床，不包括因病房扩建或大修而暂停使用的病床，半年以内的临时加床。</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规模类</w:t>
            </w:r>
          </w:p>
          <w:p>
            <w:pPr>
              <w:pStyle w:val="25"/>
              <w:spacing w:line="300" w:lineRule="exact"/>
              <w:ind w:left="105" w:leftChars="50" w:right="105" w:rightChars="5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定量指标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881"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bookmarkStart w:id="85" w:name="_Toc88136158"/>
            <w:bookmarkStart w:id="86" w:name="_Toc32019"/>
            <w:r>
              <w:rPr>
                <w:rFonts w:hint="eastAsia" w:ascii="仿宋_GB2312" w:hAnsi="仿宋_GB2312" w:eastAsia="仿宋_GB2312" w:cs="仿宋_GB2312"/>
                <w:color w:val="000000"/>
                <w:sz w:val="24"/>
                <w:szCs w:val="24"/>
                <w:lang w:val="en-US" w:eastAsia="zh-CN"/>
              </w:rPr>
              <w:t>1.1.3</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平均</w:t>
            </w:r>
            <w:r>
              <w:rPr>
                <w:rFonts w:hint="eastAsia" w:ascii="仿宋_GB2312" w:hAnsi="仿宋_GB2312" w:eastAsia="仿宋_GB2312" w:cs="仿宋_GB2312"/>
                <w:color w:val="000000"/>
                <w:sz w:val="24"/>
                <w:szCs w:val="24"/>
              </w:rPr>
              <w:t>床位使用率</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实际占用的总床日数/</w:t>
            </w:r>
            <w:r>
              <w:rPr>
                <w:rFonts w:hint="eastAsia" w:ascii="仿宋_GB2312" w:hAnsi="仿宋_GB2312" w:eastAsia="仿宋_GB2312" w:cs="仿宋_GB2312"/>
                <w:color w:val="000000"/>
                <w:sz w:val="24"/>
                <w:szCs w:val="24"/>
                <w:lang w:val="en-US" w:eastAsia="zh-CN"/>
              </w:rPr>
              <w:t>同期</w:t>
            </w:r>
            <w:r>
              <w:rPr>
                <w:rFonts w:hint="eastAsia" w:ascii="仿宋_GB2312" w:hAnsi="仿宋_GB2312" w:eastAsia="仿宋_GB2312" w:cs="仿宋_GB2312"/>
                <w:color w:val="000000"/>
                <w:sz w:val="24"/>
                <w:szCs w:val="24"/>
              </w:rPr>
              <w:t>实际开放的总床日数×100%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规模类</w:t>
            </w:r>
          </w:p>
          <w:p>
            <w:pPr>
              <w:pStyle w:val="25"/>
              <w:spacing w:line="300" w:lineRule="exact"/>
              <w:ind w:left="105" w:leftChars="50" w:right="105" w:rightChars="50"/>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定量指标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监测达标</w:t>
            </w:r>
          </w:p>
        </w:tc>
      </w:tr>
    </w:tbl>
    <w:p>
      <w:pPr>
        <w:pStyle w:val="5"/>
        <w:spacing w:line="560" w:lineRule="exact"/>
        <w:outlineLvl w:val="9"/>
        <w:rPr>
          <w:rFonts w:ascii="Calibri" w:hAnsi="Calibri" w:eastAsia="宋体" w:cs="Times New Roman"/>
          <w:color w:val="000000"/>
        </w:rPr>
      </w:pPr>
    </w:p>
    <w:p>
      <w:pPr>
        <w:rPr>
          <w:rFonts w:ascii="Calibri" w:hAnsi="Calibri" w:eastAsia="宋体" w:cs="Times New Roman"/>
          <w:color w:val="000000"/>
        </w:rPr>
      </w:pPr>
    </w:p>
    <w:p>
      <w:pPr>
        <w:pStyle w:val="2"/>
        <w:rPr>
          <w:rFonts w:ascii="Calibri" w:hAnsi="Calibri" w:eastAsia="宋体" w:cs="Times New Roman"/>
          <w:color w:val="000000"/>
        </w:rPr>
      </w:pPr>
    </w:p>
    <w:p>
      <w:pPr>
        <w:rPr>
          <w:rFonts w:ascii="Calibri" w:hAnsi="Calibri" w:eastAsia="宋体" w:cs="Times New Roman"/>
          <w:color w:val="000000"/>
        </w:rPr>
      </w:pPr>
    </w:p>
    <w:p>
      <w:pPr>
        <w:pStyle w:val="5"/>
        <w:bidi w:val="0"/>
        <w:rPr>
          <w:rFonts w:hint="eastAsia"/>
          <w:color w:val="000000"/>
          <w:lang w:eastAsia="zh-CN"/>
        </w:rPr>
      </w:pPr>
      <w:bookmarkStart w:id="87" w:name="_Toc13216"/>
      <w:r>
        <w:rPr>
          <w:rFonts w:hint="eastAsia"/>
          <w:color w:val="000000"/>
        </w:rPr>
        <w:t>二、卫生技术人员配备</w:t>
      </w:r>
      <w:bookmarkEnd w:id="85"/>
      <w:bookmarkEnd w:id="86"/>
      <w:r>
        <w:rPr>
          <w:rFonts w:hint="eastAsia"/>
          <w:color w:val="000000"/>
          <w:lang w:eastAsia="zh-CN"/>
        </w:rPr>
        <w:t>（</w:t>
      </w:r>
      <w:r>
        <w:rPr>
          <w:rFonts w:hint="eastAsia"/>
          <w:color w:val="000000"/>
          <w:lang w:val="en-US" w:eastAsia="zh-CN"/>
        </w:rPr>
        <w:t>42分</w:t>
      </w:r>
      <w:r>
        <w:rPr>
          <w:rFonts w:hint="eastAsia"/>
          <w:color w:val="000000"/>
          <w:lang w:eastAsia="zh-CN"/>
        </w:rPr>
        <w:t>）</w:t>
      </w:r>
      <w:bookmarkEnd w:id="87"/>
    </w:p>
    <w:p>
      <w:pPr>
        <w:pStyle w:val="21"/>
        <w:ind w:firstLine="0"/>
        <w:rPr>
          <w:rStyle w:val="20"/>
          <w:rFonts w:hint="default" w:ascii="宋体" w:hAnsi="宋体" w:eastAsia="宋体" w:cs="宋体"/>
          <w:color w:val="000000"/>
          <w:sz w:val="28"/>
          <w:szCs w:val="28"/>
          <w:lang w:val="en-US" w:eastAsia="zh-CN"/>
        </w:rPr>
      </w:pPr>
      <w:r>
        <w:rPr>
          <w:rStyle w:val="20"/>
          <w:rFonts w:hint="eastAsia" w:ascii="宋体" w:hAnsi="宋体" w:eastAsia="宋体" w:cs="宋体"/>
          <w:color w:val="000000"/>
          <w:sz w:val="28"/>
          <w:szCs w:val="28"/>
        </w:rPr>
        <w:t>本节评审设</w:t>
      </w:r>
      <w:r>
        <w:rPr>
          <w:rStyle w:val="20"/>
          <w:rFonts w:hint="eastAsia" w:ascii="宋体" w:hAnsi="宋体" w:cs="宋体"/>
          <w:color w:val="000000"/>
          <w:sz w:val="28"/>
          <w:szCs w:val="28"/>
          <w:lang w:val="en-US" w:eastAsia="zh-CN"/>
        </w:rPr>
        <w:t>11</w:t>
      </w:r>
      <w:r>
        <w:rPr>
          <w:rStyle w:val="20"/>
          <w:rFonts w:hint="eastAsia" w:ascii="宋体" w:hAnsi="宋体" w:eastAsia="宋体" w:cs="宋体"/>
          <w:color w:val="000000"/>
          <w:sz w:val="28"/>
          <w:szCs w:val="28"/>
        </w:rPr>
        <w:t>条</w:t>
      </w:r>
      <w:r>
        <w:rPr>
          <w:rStyle w:val="20"/>
          <w:rFonts w:hint="eastAsia" w:ascii="宋体" w:hAnsi="宋体" w:cs="宋体"/>
          <w:color w:val="000000"/>
          <w:sz w:val="28"/>
          <w:szCs w:val="28"/>
          <w:lang w:val="en-US" w:eastAsia="zh-CN"/>
        </w:rPr>
        <w:t>11</w:t>
      </w:r>
      <w:r>
        <w:rPr>
          <w:rStyle w:val="20"/>
          <w:rFonts w:hint="eastAsia" w:ascii="宋体" w:hAnsi="宋体" w:eastAsia="宋体" w:cs="宋体"/>
          <w:color w:val="000000"/>
          <w:sz w:val="28"/>
          <w:szCs w:val="28"/>
        </w:rPr>
        <w:t>个指标，均为数据评审指标，共</w:t>
      </w:r>
      <w:r>
        <w:rPr>
          <w:rStyle w:val="20"/>
          <w:rFonts w:hint="eastAsia" w:ascii="宋体" w:hAnsi="宋体" w:cs="宋体"/>
          <w:color w:val="000000"/>
          <w:sz w:val="28"/>
          <w:szCs w:val="28"/>
          <w:lang w:val="en-US" w:eastAsia="zh-CN"/>
        </w:rPr>
        <w:t>42</w:t>
      </w:r>
      <w:r>
        <w:rPr>
          <w:rStyle w:val="20"/>
          <w:rFonts w:hint="eastAsia" w:ascii="宋体" w:hAnsi="宋体" w:eastAsia="宋体" w:cs="宋体"/>
          <w:color w:val="000000"/>
          <w:sz w:val="28"/>
          <w:szCs w:val="28"/>
        </w:rPr>
        <w:t>分。</w:t>
      </w:r>
      <w:r>
        <w:rPr>
          <w:rStyle w:val="20"/>
          <w:rFonts w:hint="eastAsia" w:ascii="宋体" w:hAnsi="宋体" w:cs="宋体"/>
          <w:color w:val="000000"/>
          <w:sz w:val="28"/>
          <w:szCs w:val="28"/>
          <w:lang w:val="en-US" w:eastAsia="zh-CN"/>
        </w:rPr>
        <w:t>加分项1个，共5分。</w:t>
      </w:r>
    </w:p>
    <w:tbl>
      <w:tblPr>
        <w:tblStyle w:val="14"/>
        <w:tblW w:w="10334" w:type="dxa"/>
        <w:jc w:val="center"/>
        <w:shd w:val="clear" w:color="auto" w:fill="FFFFFF"/>
        <w:tblLayout w:type="fixed"/>
        <w:tblCellMar>
          <w:top w:w="0" w:type="dxa"/>
          <w:left w:w="0" w:type="dxa"/>
          <w:bottom w:w="0" w:type="dxa"/>
          <w:right w:w="0" w:type="dxa"/>
        </w:tblCellMar>
      </w:tblPr>
      <w:tblGrid>
        <w:gridCol w:w="2269"/>
        <w:gridCol w:w="3104"/>
        <w:gridCol w:w="1286"/>
        <w:gridCol w:w="683"/>
        <w:gridCol w:w="2992"/>
      </w:tblGrid>
      <w:tr>
        <w:tblPrEx>
          <w:shd w:val="clear" w:color="auto" w:fill="FFFFFF"/>
          <w:tblCellMar>
            <w:top w:w="0" w:type="dxa"/>
            <w:left w:w="0" w:type="dxa"/>
            <w:bottom w:w="0" w:type="dxa"/>
            <w:right w:w="0" w:type="dxa"/>
          </w:tblCellMar>
        </w:tblPrEx>
        <w:trPr>
          <w:trHeight w:val="610" w:hRule="atLeast"/>
          <w:tblHeader/>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监测指标</w:t>
            </w:r>
          </w:p>
        </w:tc>
        <w:tc>
          <w:tcPr>
            <w:tcW w:w="3104"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计算方法</w:t>
            </w:r>
          </w:p>
        </w:tc>
        <w:tc>
          <w:tcPr>
            <w:tcW w:w="128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color w:val="000000"/>
                <w:sz w:val="24"/>
                <w:szCs w:val="24"/>
                <w:lang w:val="en-US" w:eastAsia="zh-CN"/>
              </w:rPr>
              <w:t>指标设定</w:t>
            </w:r>
          </w:p>
        </w:tc>
        <w:tc>
          <w:tcPr>
            <w:tcW w:w="683"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分值</w:t>
            </w:r>
          </w:p>
        </w:tc>
        <w:tc>
          <w:tcPr>
            <w:tcW w:w="299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1774"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1.2.1</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卫生技术人员数与开放床位数比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医院卫生技术人员数/同期全院实际开放床位数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配比类</w:t>
            </w:r>
          </w:p>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838"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 xml:space="preserve">1.2.2 </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全院护士人数与开放床位数比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医院执业护士人数/同期全院实际开放床位数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配比类</w:t>
            </w:r>
          </w:p>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905"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1.2.3</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住院病区护士人数与开放床位数比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住院病区执业护士人数/同期实际开放床位数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配比类</w:t>
            </w:r>
          </w:p>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875"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1.2.4</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医院感染管理专职人员数与开放床位数比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医院感染管理专职人员数/同期实际开放床位数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配比类</w:t>
            </w:r>
          </w:p>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885"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1.2.5</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药学专业技术人员数与卫生专业技术人员数比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医院药学专业技术人员数/同期卫生专业技术人员数×100%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配比类</w:t>
            </w:r>
          </w:p>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2235"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1.2.6</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皮肤科医师占比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医院皮肤科医师总数/全院医师总数×100%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配比类</w:t>
            </w:r>
          </w:p>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2071"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1.2.7</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医师学历占比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获得硕士及以上学位医师人数/全院医师总数</w:t>
            </w:r>
            <w:r>
              <w:rPr>
                <w:rFonts w:hint="eastAsia" w:ascii="仿宋_GB2312" w:hAnsi="仿宋_GB2312" w:eastAsia="仿宋_GB2312" w:cs="仿宋_GB2312"/>
                <w:color w:val="000000"/>
                <w:kern w:val="2"/>
                <w:sz w:val="24"/>
                <w:szCs w:val="24"/>
                <w:lang w:val="en-US" w:eastAsia="zh-Hans" w:bidi="ar-SA"/>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2022"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1.2.8</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highlight w:val="none"/>
              </w:rPr>
              <w:t>配备正高级卫技人员</w:t>
            </w:r>
            <w:r>
              <w:rPr>
                <w:rFonts w:hint="eastAsia" w:ascii="仿宋_GB2312" w:hAnsi="仿宋_GB2312" w:eastAsia="仿宋_GB2312" w:cs="仿宋_GB2312"/>
                <w:color w:val="000000"/>
                <w:kern w:val="0"/>
                <w:sz w:val="24"/>
                <w:szCs w:val="24"/>
                <w:highlight w:val="none"/>
                <w:lang w:eastAsia="zh-CN"/>
              </w:rPr>
              <w:t>的</w:t>
            </w:r>
            <w:r>
              <w:rPr>
                <w:rFonts w:hint="eastAsia" w:ascii="仿宋_GB2312" w:hAnsi="仿宋_GB2312" w:eastAsia="仿宋_GB2312" w:cs="仿宋_GB2312"/>
                <w:color w:val="000000"/>
                <w:kern w:val="0"/>
                <w:sz w:val="24"/>
                <w:szCs w:val="24"/>
                <w:highlight w:val="none"/>
                <w:lang w:val="en-US" w:eastAsia="zh-CN"/>
              </w:rPr>
              <w:t>临床</w:t>
            </w:r>
            <w:r>
              <w:rPr>
                <w:rFonts w:hint="eastAsia" w:ascii="仿宋_GB2312" w:hAnsi="仿宋_GB2312" w:eastAsia="仿宋_GB2312" w:cs="仿宋_GB2312"/>
                <w:color w:val="000000"/>
                <w:kern w:val="0"/>
                <w:sz w:val="24"/>
                <w:szCs w:val="24"/>
                <w:highlight w:val="none"/>
              </w:rPr>
              <w:t>科室数与</w:t>
            </w:r>
            <w:r>
              <w:rPr>
                <w:rFonts w:hint="eastAsia" w:ascii="仿宋_GB2312" w:hAnsi="仿宋_GB2312" w:eastAsia="仿宋_GB2312" w:cs="仿宋_GB2312"/>
                <w:color w:val="000000"/>
                <w:kern w:val="0"/>
                <w:sz w:val="24"/>
                <w:szCs w:val="24"/>
                <w:highlight w:val="none"/>
                <w:lang w:val="en-US" w:eastAsia="zh-CN"/>
              </w:rPr>
              <w:t>全院</w:t>
            </w:r>
            <w:r>
              <w:rPr>
                <w:rFonts w:hint="eastAsia" w:ascii="仿宋_GB2312" w:hAnsi="仿宋_GB2312" w:eastAsia="仿宋_GB2312" w:cs="仿宋_GB2312"/>
                <w:color w:val="000000"/>
                <w:kern w:val="0"/>
                <w:sz w:val="24"/>
                <w:szCs w:val="24"/>
                <w:highlight w:val="none"/>
              </w:rPr>
              <w:t>临床科室数比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highlight w:val="none"/>
              </w:rPr>
              <w:t>配备</w:t>
            </w:r>
            <w:r>
              <w:rPr>
                <w:rFonts w:hint="eastAsia" w:ascii="仿宋_GB2312" w:hAnsi="仿宋_GB2312" w:eastAsia="仿宋_GB2312" w:cs="仿宋_GB2312"/>
                <w:color w:val="000000"/>
                <w:kern w:val="0"/>
                <w:sz w:val="24"/>
                <w:szCs w:val="24"/>
                <w:highlight w:val="none"/>
                <w:lang w:val="en-US" w:eastAsia="zh-CN"/>
              </w:rPr>
              <w:t>有</w:t>
            </w:r>
            <w:r>
              <w:rPr>
                <w:rFonts w:hint="eastAsia" w:ascii="仿宋_GB2312" w:hAnsi="仿宋_GB2312" w:eastAsia="仿宋_GB2312" w:cs="仿宋_GB2312"/>
                <w:color w:val="000000"/>
                <w:kern w:val="0"/>
                <w:sz w:val="24"/>
                <w:szCs w:val="24"/>
                <w:highlight w:val="none"/>
              </w:rPr>
              <w:t>正高级卫技人员</w:t>
            </w:r>
            <w:r>
              <w:rPr>
                <w:rFonts w:hint="eastAsia" w:ascii="仿宋_GB2312" w:hAnsi="仿宋_GB2312" w:eastAsia="仿宋_GB2312" w:cs="仿宋_GB2312"/>
                <w:color w:val="000000"/>
                <w:kern w:val="0"/>
                <w:sz w:val="24"/>
                <w:szCs w:val="24"/>
                <w:highlight w:val="none"/>
                <w:lang w:val="en-US" w:eastAsia="zh-CN"/>
              </w:rPr>
              <w:t>临床科室</w:t>
            </w:r>
            <w:r>
              <w:rPr>
                <w:rFonts w:hint="eastAsia" w:ascii="仿宋_GB2312" w:hAnsi="仿宋_GB2312" w:eastAsia="仿宋_GB2312" w:cs="仿宋_GB2312"/>
                <w:color w:val="000000"/>
                <w:kern w:val="0"/>
                <w:sz w:val="24"/>
                <w:szCs w:val="24"/>
                <w:highlight w:val="none"/>
              </w:rPr>
              <w:t>数/同期医院设置的临床科室总数</w:t>
            </w:r>
            <w:r>
              <w:rPr>
                <w:rFonts w:hint="eastAsia" w:ascii="仿宋_GB2312" w:hAnsi="仿宋_GB2312" w:eastAsia="仿宋_GB2312" w:cs="仿宋_GB2312"/>
                <w:color w:val="000000"/>
                <w:kern w:val="2"/>
                <w:sz w:val="24"/>
                <w:szCs w:val="24"/>
                <w:lang w:val="en-US" w:eastAsia="zh-Hans" w:bidi="ar-SA"/>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898"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1.2.9 医护比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Hans" w:bidi="ar-SA"/>
              </w:rPr>
            </w:pPr>
            <w:r>
              <w:rPr>
                <w:rFonts w:hint="eastAsia" w:ascii="仿宋_GB2312" w:hAnsi="仿宋_GB2312" w:eastAsia="仿宋_GB2312" w:cs="仿宋_GB2312"/>
                <w:color w:val="000000"/>
                <w:kern w:val="2"/>
                <w:sz w:val="24"/>
                <w:szCs w:val="24"/>
                <w:lang w:val="en-US" w:eastAsia="zh-CN" w:bidi="ar-SA"/>
              </w:rPr>
              <w:t xml:space="preserve">医院注册医师总数/全院同期注册护士总数×100% </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配比类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kern w:val="0"/>
                <w:sz w:val="24"/>
                <w:szCs w:val="24"/>
                <w:highlight w:val="none"/>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highlight w:val="none"/>
                <w:lang w:val="en-US" w:eastAsia="zh-CN"/>
              </w:rPr>
              <w:t>3</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highlight w:val="none"/>
              </w:rPr>
              <w:t>监测达标</w:t>
            </w:r>
          </w:p>
        </w:tc>
      </w:tr>
      <w:tr>
        <w:tblPrEx>
          <w:tblCellMar>
            <w:top w:w="0" w:type="dxa"/>
            <w:left w:w="0" w:type="dxa"/>
            <w:bottom w:w="0" w:type="dxa"/>
            <w:right w:w="0" w:type="dxa"/>
          </w:tblCellMar>
        </w:tblPrEx>
        <w:trPr>
          <w:trHeight w:val="2112"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1.2.10</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卫生技术人员高级职称占比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卫生专业技术人员中具有高级职称的人数/全院卫生专业技术人员总数×100%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2292"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1.2.11</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临床医技科室负责人高级职称占比</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临床医技科室负责人具备高级职称的人数/全院临床医技科室数×100%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2630"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default" w:ascii="仿宋_GB2312" w:hAnsi="仿宋_GB2312" w:eastAsia="仿宋_GB2312" w:cs="仿宋_GB2312"/>
                <w:color w:val="000000"/>
                <w:kern w:val="0"/>
                <w:sz w:val="24"/>
                <w:szCs w:val="24"/>
                <w:highlight w:val="none"/>
                <w:lang w:val="en-US" w:eastAsia="zh-CN"/>
              </w:rPr>
            </w:pPr>
            <w:bookmarkStart w:id="88" w:name="_Toc88136159"/>
            <w:r>
              <w:rPr>
                <w:rFonts w:hint="eastAsia" w:ascii="仿宋_GB2312" w:hAnsi="仿宋_GB2312" w:eastAsia="仿宋_GB2312" w:cs="仿宋_GB2312"/>
                <w:color w:val="000000"/>
                <w:kern w:val="0"/>
                <w:sz w:val="24"/>
                <w:szCs w:val="24"/>
                <w:highlight w:val="none"/>
                <w:lang w:val="en-US" w:eastAsia="zh-CN"/>
              </w:rPr>
              <w:t>1.2.12</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highlight w:val="none"/>
                <w:lang w:val="en-US" w:eastAsia="zh-CN"/>
              </w:rPr>
              <w:t>具有国家级、自治区级高层次人才人数</w:t>
            </w:r>
          </w:p>
        </w:tc>
        <w:tc>
          <w:tcPr>
            <w:tcW w:w="3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highlight w:val="none"/>
                <w:lang w:val="en-US" w:eastAsia="zh-CN"/>
              </w:rPr>
              <w:t>国家级人才每人加1分，累计不超过5分；自治区级人才如：广西优秀专家、广西十百千人才，每人加0.5分，累计不超过3分；国家级人才加自治区级人才总加分不超过5分。</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定量指标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加分项</w:t>
            </w:r>
          </w:p>
        </w:tc>
      </w:tr>
    </w:tbl>
    <w:p>
      <w:pPr>
        <w:pStyle w:val="5"/>
        <w:bidi w:val="0"/>
        <w:rPr>
          <w:rFonts w:hint="eastAsia"/>
          <w:color w:val="000000"/>
          <w:lang w:eastAsia="zh-CN"/>
        </w:rPr>
      </w:pPr>
      <w:bookmarkStart w:id="89" w:name="_Toc23472"/>
      <w:r>
        <w:rPr>
          <w:rFonts w:hint="eastAsia"/>
          <w:color w:val="000000"/>
        </w:rPr>
        <w:t>三、相关科室资源配置</w:t>
      </w:r>
      <w:bookmarkEnd w:id="88"/>
      <w:r>
        <w:rPr>
          <w:rFonts w:hint="eastAsia"/>
          <w:color w:val="000000"/>
          <w:lang w:eastAsia="zh-CN"/>
        </w:rPr>
        <w:t>（</w:t>
      </w:r>
      <w:r>
        <w:rPr>
          <w:rFonts w:hint="eastAsia"/>
          <w:color w:val="000000"/>
          <w:lang w:val="en-US" w:eastAsia="zh-CN"/>
        </w:rPr>
        <w:t>30分</w:t>
      </w:r>
      <w:r>
        <w:rPr>
          <w:rFonts w:hint="eastAsia"/>
          <w:color w:val="000000"/>
          <w:lang w:eastAsia="zh-CN"/>
        </w:rPr>
        <w:t>）</w:t>
      </w:r>
      <w:bookmarkEnd w:id="89"/>
    </w:p>
    <w:p>
      <w:pPr>
        <w:pStyle w:val="21"/>
        <w:ind w:firstLine="0"/>
        <w:rPr>
          <w:rStyle w:val="20"/>
          <w:rFonts w:hint="eastAsia" w:ascii="宋体" w:hAnsi="宋体" w:eastAsia="宋体" w:cs="宋体"/>
          <w:color w:val="000000"/>
          <w:sz w:val="28"/>
          <w:szCs w:val="28"/>
        </w:rPr>
      </w:pPr>
      <w:r>
        <w:rPr>
          <w:rStyle w:val="20"/>
          <w:rFonts w:hint="eastAsia" w:ascii="宋体" w:hAnsi="宋体" w:eastAsia="宋体" w:cs="宋体"/>
          <w:color w:val="000000"/>
          <w:sz w:val="28"/>
          <w:szCs w:val="28"/>
        </w:rPr>
        <w:t>本节评审设</w:t>
      </w:r>
      <w:r>
        <w:rPr>
          <w:rStyle w:val="20"/>
          <w:rFonts w:hint="eastAsia" w:ascii="宋体" w:hAnsi="宋体" w:eastAsia="宋体" w:cs="宋体"/>
          <w:color w:val="000000"/>
          <w:sz w:val="28"/>
          <w:szCs w:val="28"/>
          <w:lang w:val="en-US" w:eastAsia="zh-CN"/>
        </w:rPr>
        <w:t>6</w:t>
      </w:r>
      <w:r>
        <w:rPr>
          <w:rStyle w:val="20"/>
          <w:rFonts w:hint="eastAsia" w:ascii="宋体" w:hAnsi="宋体" w:eastAsia="宋体" w:cs="宋体"/>
          <w:color w:val="000000"/>
          <w:sz w:val="28"/>
          <w:szCs w:val="28"/>
        </w:rPr>
        <w:t>条</w:t>
      </w:r>
      <w:r>
        <w:rPr>
          <w:rStyle w:val="20"/>
          <w:rFonts w:hint="eastAsia" w:ascii="宋体" w:hAnsi="宋体" w:cs="宋体"/>
          <w:color w:val="000000"/>
          <w:sz w:val="28"/>
          <w:szCs w:val="28"/>
          <w:lang w:val="en-US" w:eastAsia="zh-CN"/>
        </w:rPr>
        <w:t>15</w:t>
      </w:r>
      <w:r>
        <w:rPr>
          <w:rStyle w:val="20"/>
          <w:rFonts w:hint="eastAsia" w:ascii="宋体" w:hAnsi="宋体" w:eastAsia="宋体" w:cs="宋体"/>
          <w:color w:val="000000"/>
          <w:sz w:val="28"/>
          <w:szCs w:val="28"/>
        </w:rPr>
        <w:t>个指标，均为数据评审指标，共</w:t>
      </w:r>
      <w:r>
        <w:rPr>
          <w:rStyle w:val="20"/>
          <w:rFonts w:hint="eastAsia" w:ascii="宋体" w:hAnsi="宋体" w:cs="宋体"/>
          <w:color w:val="000000"/>
          <w:sz w:val="28"/>
          <w:szCs w:val="28"/>
          <w:lang w:val="en-US" w:eastAsia="zh-CN"/>
        </w:rPr>
        <w:t>30</w:t>
      </w:r>
      <w:r>
        <w:rPr>
          <w:rStyle w:val="20"/>
          <w:rFonts w:hint="eastAsia" w:ascii="宋体" w:hAnsi="宋体" w:eastAsia="宋体" w:cs="宋体"/>
          <w:color w:val="000000"/>
          <w:sz w:val="28"/>
          <w:szCs w:val="28"/>
        </w:rPr>
        <w:t>分。</w:t>
      </w:r>
    </w:p>
    <w:tbl>
      <w:tblPr>
        <w:tblStyle w:val="14"/>
        <w:tblW w:w="10327" w:type="dxa"/>
        <w:jc w:val="center"/>
        <w:tblLayout w:type="fixed"/>
        <w:tblCellMar>
          <w:top w:w="0" w:type="dxa"/>
          <w:left w:w="0" w:type="dxa"/>
          <w:bottom w:w="0" w:type="dxa"/>
          <w:right w:w="0" w:type="dxa"/>
        </w:tblCellMar>
      </w:tblPr>
      <w:tblGrid>
        <w:gridCol w:w="2803"/>
        <w:gridCol w:w="2786"/>
        <w:gridCol w:w="1217"/>
        <w:gridCol w:w="633"/>
        <w:gridCol w:w="2888"/>
      </w:tblGrid>
      <w:tr>
        <w:tblPrEx>
          <w:tblCellMar>
            <w:top w:w="0" w:type="dxa"/>
            <w:left w:w="0" w:type="dxa"/>
            <w:bottom w:w="0" w:type="dxa"/>
            <w:right w:w="0" w:type="dxa"/>
          </w:tblCellMar>
        </w:tblPrEx>
        <w:trPr>
          <w:trHeight w:val="580" w:hRule="atLeast"/>
          <w:tblHeader/>
          <w:jc w:val="center"/>
        </w:trPr>
        <w:tc>
          <w:tcPr>
            <w:tcW w:w="2803"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监测指标</w:t>
            </w:r>
          </w:p>
        </w:tc>
        <w:tc>
          <w:tcPr>
            <w:tcW w:w="278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计算方法</w:t>
            </w:r>
          </w:p>
        </w:tc>
        <w:tc>
          <w:tcPr>
            <w:tcW w:w="1217"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lang w:val="en-US" w:eastAsia="zh-CN"/>
              </w:rPr>
              <w:t>指标设定</w:t>
            </w:r>
          </w:p>
        </w:tc>
        <w:tc>
          <w:tcPr>
            <w:tcW w:w="633"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分值</w:t>
            </w:r>
          </w:p>
        </w:tc>
        <w:tc>
          <w:tcPr>
            <w:tcW w:w="2888"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417" w:hRule="atLeast"/>
          <w:jc w:val="center"/>
        </w:trPr>
        <w:tc>
          <w:tcPr>
            <w:tcW w:w="103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1.3.1 皮肤内科</w:t>
            </w:r>
          </w:p>
        </w:tc>
      </w:tr>
      <w:tr>
        <w:tblPrEx>
          <w:tblCellMar>
            <w:top w:w="0" w:type="dxa"/>
            <w:left w:w="0" w:type="dxa"/>
            <w:bottom w:w="0" w:type="dxa"/>
            <w:right w:w="0" w:type="dxa"/>
          </w:tblCellMar>
        </w:tblPrEx>
        <w:trPr>
          <w:trHeight w:val="2054"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1.3.1.1</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皮肤内科开放床位数占医院开放床位数的比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皮肤内科</w:t>
            </w:r>
            <w:r>
              <w:rPr>
                <w:rFonts w:hint="eastAsia" w:ascii="仿宋_GB2312" w:hAnsi="仿宋_GB2312" w:eastAsia="仿宋_GB2312" w:cs="仿宋_GB2312"/>
                <w:color w:val="000000"/>
                <w:sz w:val="24"/>
                <w:szCs w:val="24"/>
              </w:rPr>
              <w:t>开放床位数/同期医院开放床位数×100%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9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1.3.1.2</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皮肤内科医师人数与开放床位数比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医院注册的</w:t>
            </w:r>
            <w:r>
              <w:rPr>
                <w:rFonts w:hint="eastAsia" w:ascii="仿宋_GB2312" w:hAnsi="仿宋_GB2312" w:eastAsia="仿宋_GB2312" w:cs="仿宋_GB2312"/>
                <w:color w:val="000000"/>
                <w:sz w:val="24"/>
                <w:szCs w:val="24"/>
                <w:lang w:eastAsia="zh-CN"/>
              </w:rPr>
              <w:t>皮肤内科</w:t>
            </w:r>
            <w:r>
              <w:rPr>
                <w:rFonts w:hint="eastAsia" w:ascii="仿宋_GB2312" w:hAnsi="仿宋_GB2312" w:eastAsia="仿宋_GB2312" w:cs="仿宋_GB2312"/>
                <w:color w:val="000000"/>
                <w:sz w:val="24"/>
                <w:szCs w:val="24"/>
              </w:rPr>
              <w:t>在岗医师人数/同期</w:t>
            </w:r>
            <w:r>
              <w:rPr>
                <w:rFonts w:hint="eastAsia" w:ascii="仿宋_GB2312" w:hAnsi="仿宋_GB2312" w:eastAsia="仿宋_GB2312" w:cs="仿宋_GB2312"/>
                <w:color w:val="000000"/>
                <w:sz w:val="24"/>
                <w:szCs w:val="24"/>
                <w:lang w:eastAsia="zh-CN"/>
              </w:rPr>
              <w:t>皮肤内科</w:t>
            </w:r>
            <w:r>
              <w:rPr>
                <w:rFonts w:hint="eastAsia" w:ascii="仿宋_GB2312" w:hAnsi="仿宋_GB2312" w:eastAsia="仿宋_GB2312" w:cs="仿宋_GB2312"/>
                <w:color w:val="000000"/>
                <w:sz w:val="24"/>
                <w:szCs w:val="24"/>
              </w:rPr>
              <w:t>实际开放床位数</w:t>
            </w:r>
            <w:r>
              <w:rPr>
                <w:rFonts w:hint="eastAsia" w:ascii="仿宋_GB2312" w:hAnsi="仿宋_GB2312" w:eastAsia="仿宋_GB2312" w:cs="仿宋_GB2312"/>
                <w:color w:val="000000"/>
                <w:kern w:val="2"/>
                <w:sz w:val="24"/>
                <w:szCs w:val="24"/>
                <w:lang w:val="en-US" w:eastAsia="zh-CN" w:bidi="ar-SA"/>
              </w:rPr>
              <w:t>×100%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965"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1.3.1.3</w:t>
            </w:r>
          </w:p>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皮肤内科护士人数与开放床位数比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皮肤内科</w:t>
            </w:r>
            <w:r>
              <w:rPr>
                <w:rFonts w:hint="eastAsia" w:ascii="仿宋_GB2312" w:hAnsi="仿宋_GB2312" w:eastAsia="仿宋_GB2312" w:cs="仿宋_GB2312"/>
                <w:color w:val="000000"/>
                <w:sz w:val="24"/>
                <w:szCs w:val="24"/>
              </w:rPr>
              <w:t>执业护士人数/同期</w:t>
            </w:r>
            <w:r>
              <w:rPr>
                <w:rFonts w:hint="eastAsia" w:ascii="仿宋_GB2312" w:hAnsi="仿宋_GB2312" w:eastAsia="仿宋_GB2312" w:cs="仿宋_GB2312"/>
                <w:color w:val="000000"/>
                <w:sz w:val="24"/>
                <w:szCs w:val="24"/>
                <w:lang w:eastAsia="zh-CN"/>
              </w:rPr>
              <w:t>皮肤内科</w:t>
            </w:r>
            <w:r>
              <w:rPr>
                <w:rFonts w:hint="eastAsia" w:ascii="仿宋_GB2312" w:hAnsi="仿宋_GB2312" w:eastAsia="仿宋_GB2312" w:cs="仿宋_GB2312"/>
                <w:color w:val="000000"/>
                <w:sz w:val="24"/>
                <w:szCs w:val="24"/>
              </w:rPr>
              <w:t>实际开放床位数</w:t>
            </w:r>
            <w:r>
              <w:rPr>
                <w:rFonts w:hint="eastAsia" w:ascii="仿宋_GB2312" w:hAnsi="仿宋_GB2312" w:eastAsia="仿宋_GB2312" w:cs="仿宋_GB2312"/>
                <w:color w:val="000000"/>
                <w:kern w:val="2"/>
                <w:sz w:val="24"/>
                <w:szCs w:val="24"/>
                <w:lang w:val="en-US" w:eastAsia="zh-CN" w:bidi="ar-SA"/>
              </w:rPr>
              <w:t>×100%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监测达标</w:t>
            </w:r>
          </w:p>
        </w:tc>
      </w:tr>
      <w:tr>
        <w:tblPrEx>
          <w:tblCellMar>
            <w:top w:w="0" w:type="dxa"/>
            <w:left w:w="0" w:type="dxa"/>
            <w:bottom w:w="0" w:type="dxa"/>
            <w:right w:w="0" w:type="dxa"/>
          </w:tblCellMar>
        </w:tblPrEx>
        <w:trPr>
          <w:trHeight w:val="1648"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1.3.1.4</w:t>
            </w:r>
          </w:p>
          <w:p>
            <w:pPr>
              <w:spacing w:line="32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皮肤内科高级职称医师人数占比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皮肤内科</w:t>
            </w:r>
            <w:r>
              <w:rPr>
                <w:rFonts w:hint="eastAsia" w:ascii="仿宋_GB2312" w:hAnsi="仿宋_GB2312" w:eastAsia="仿宋_GB2312" w:cs="仿宋_GB2312"/>
                <w:color w:val="000000"/>
                <w:sz w:val="24"/>
                <w:szCs w:val="24"/>
              </w:rPr>
              <w:t>高级职称医师人数/</w:t>
            </w:r>
            <w:r>
              <w:rPr>
                <w:rFonts w:hint="eastAsia" w:ascii="仿宋_GB2312" w:hAnsi="仿宋_GB2312" w:eastAsia="仿宋_GB2312" w:cs="仿宋_GB2312"/>
                <w:color w:val="000000"/>
                <w:sz w:val="24"/>
                <w:szCs w:val="24"/>
                <w:lang w:val="en-US" w:eastAsia="zh-CN"/>
              </w:rPr>
              <w:t>皮肤内科</w:t>
            </w:r>
            <w:r>
              <w:rPr>
                <w:rFonts w:hint="eastAsia" w:ascii="仿宋_GB2312" w:hAnsi="仿宋_GB2312" w:eastAsia="仿宋_GB2312" w:cs="仿宋_GB2312"/>
                <w:color w:val="000000"/>
                <w:sz w:val="24"/>
                <w:szCs w:val="24"/>
              </w:rPr>
              <w:t>医师总人数</w:t>
            </w:r>
            <w:r>
              <w:rPr>
                <w:rFonts w:hint="eastAsia" w:ascii="仿宋_GB2312" w:hAnsi="仿宋_GB2312" w:eastAsia="仿宋_GB2312" w:cs="仿宋_GB2312"/>
                <w:color w:val="000000"/>
                <w:kern w:val="2"/>
                <w:sz w:val="24"/>
                <w:szCs w:val="24"/>
                <w:lang w:val="en-US" w:eastAsia="zh-CN" w:bidi="ar-SA"/>
              </w:rPr>
              <w:t>×100%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监测达标</w:t>
            </w:r>
          </w:p>
        </w:tc>
      </w:tr>
      <w:tr>
        <w:tblPrEx>
          <w:tblCellMar>
            <w:top w:w="0" w:type="dxa"/>
            <w:left w:w="0" w:type="dxa"/>
            <w:bottom w:w="0" w:type="dxa"/>
            <w:right w:w="0" w:type="dxa"/>
          </w:tblCellMar>
        </w:tblPrEx>
        <w:trPr>
          <w:trHeight w:val="420" w:hRule="atLeast"/>
          <w:jc w:val="center"/>
        </w:trPr>
        <w:tc>
          <w:tcPr>
            <w:tcW w:w="103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1.3.2 </w:t>
            </w:r>
            <w:r>
              <w:rPr>
                <w:rFonts w:hint="eastAsia" w:ascii="仿宋_GB2312" w:hAnsi="仿宋_GB2312" w:eastAsia="仿宋_GB2312" w:cs="仿宋_GB2312"/>
                <w:color w:val="000000"/>
                <w:sz w:val="24"/>
                <w:szCs w:val="24"/>
                <w:lang w:val="en-US" w:eastAsia="zh-CN"/>
              </w:rPr>
              <w:t>性病科</w:t>
            </w:r>
          </w:p>
        </w:tc>
      </w:tr>
      <w:tr>
        <w:tblPrEx>
          <w:tblCellMar>
            <w:top w:w="0" w:type="dxa"/>
            <w:left w:w="0" w:type="dxa"/>
            <w:bottom w:w="0" w:type="dxa"/>
            <w:right w:w="0" w:type="dxa"/>
          </w:tblCellMar>
        </w:tblPrEx>
        <w:trPr>
          <w:trHeight w:val="1520"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1.3.2.1</w:t>
            </w:r>
          </w:p>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性病科固定医护人员配备</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性病科固定医护人员数</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 w:hAnsi="仿宋" w:eastAsia="仿宋" w:cs="仿宋"/>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1890"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1.3.2.2</w:t>
            </w:r>
          </w:p>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性病科医师高级职称占比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性病科高级职称医师人数/性病科医师总数</w:t>
            </w:r>
            <w:r>
              <w:rPr>
                <w:rFonts w:hint="eastAsia" w:ascii="仿宋_GB2312" w:hAnsi="仿宋_GB2312" w:eastAsia="仿宋_GB2312" w:cs="仿宋_GB2312"/>
                <w:color w:val="000000"/>
                <w:sz w:val="24"/>
                <w:szCs w:val="24"/>
                <w:lang w:val="en-US" w:eastAsia="zh-Hans"/>
              </w:rPr>
              <w:t>×100%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 w:hAnsi="仿宋" w:eastAsia="仿宋" w:cs="仿宋"/>
                <w:color w:val="000000"/>
                <w:kern w:val="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560" w:hRule="atLeast"/>
          <w:jc w:val="center"/>
        </w:trPr>
        <w:tc>
          <w:tcPr>
            <w:tcW w:w="103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1.3.3美容皮肤科</w:t>
            </w:r>
          </w:p>
        </w:tc>
      </w:tr>
      <w:tr>
        <w:tblPrEx>
          <w:tblCellMar>
            <w:top w:w="0" w:type="dxa"/>
            <w:left w:w="0" w:type="dxa"/>
            <w:bottom w:w="0" w:type="dxa"/>
            <w:right w:w="0" w:type="dxa"/>
          </w:tblCellMar>
        </w:tblPrEx>
        <w:trPr>
          <w:trHeight w:val="1803"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1.3.3.1</w:t>
            </w:r>
          </w:p>
          <w:p>
            <w:pPr>
              <w:pStyle w:val="25"/>
              <w:spacing w:line="320" w:lineRule="exact"/>
              <w:ind w:left="105" w:leftChars="50" w:right="105" w:rightChars="50"/>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高级职称医师人数占比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美容皮肤科高级职称医师人数/美容皮肤科医师总人数×100%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keepNext w:val="0"/>
              <w:keepLines w:val="0"/>
              <w:widowControl/>
              <w:suppressLineNumbers w:val="0"/>
              <w:spacing w:line="300" w:lineRule="exact"/>
              <w:ind w:left="105" w:leftChars="50" w:right="105" w:rightChars="50"/>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keepNext w:val="0"/>
              <w:keepLines w:val="0"/>
              <w:widowControl/>
              <w:suppressLineNumbers w:val="0"/>
              <w:spacing w:line="300" w:lineRule="exact"/>
              <w:ind w:left="105" w:leftChars="50" w:right="105" w:rightChars="5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2025"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bookmarkStart w:id="90" w:name="_Toc23431"/>
            <w:r>
              <w:rPr>
                <w:rFonts w:hint="eastAsia" w:ascii="仿宋_GB2312" w:hAnsi="仿宋_GB2312" w:eastAsia="仿宋_GB2312" w:cs="仿宋_GB2312"/>
                <w:color w:val="000000"/>
                <w:sz w:val="24"/>
                <w:szCs w:val="24"/>
                <w:lang w:val="en-US" w:eastAsia="zh-CN"/>
              </w:rPr>
              <w:t>1.3.3.2</w:t>
            </w:r>
          </w:p>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美容皮肤科主诊医师</w:t>
            </w:r>
          </w:p>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执业资质占比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美容皮肤科主诊医师/美容皮肤科医师总人数×100%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500" w:hRule="atLeast"/>
          <w:jc w:val="center"/>
        </w:trPr>
        <w:tc>
          <w:tcPr>
            <w:tcW w:w="103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1.3.4外科</w:t>
            </w:r>
          </w:p>
        </w:tc>
      </w:tr>
      <w:tr>
        <w:tblPrEx>
          <w:tblCellMar>
            <w:top w:w="0" w:type="dxa"/>
            <w:left w:w="0" w:type="dxa"/>
            <w:bottom w:w="0" w:type="dxa"/>
            <w:right w:w="0" w:type="dxa"/>
          </w:tblCellMar>
        </w:tblPrEx>
        <w:trPr>
          <w:trHeight w:val="2350"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1.3.4.1</w:t>
            </w:r>
          </w:p>
          <w:p>
            <w:pPr>
              <w:spacing w:line="32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医师高级职称占比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外科高级职称医师人数/外科医师总数</w:t>
            </w:r>
            <w:r>
              <w:rPr>
                <w:rFonts w:hint="eastAsia" w:ascii="仿宋_GB2312" w:hAnsi="仿宋_GB2312" w:eastAsia="仿宋_GB2312" w:cs="仿宋_GB2312"/>
                <w:color w:val="000000"/>
                <w:kern w:val="2"/>
                <w:sz w:val="24"/>
                <w:szCs w:val="24"/>
                <w:lang w:val="en-US" w:eastAsia="zh-Hans" w:bidi="ar-SA"/>
              </w:rPr>
              <w:t>×100%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2335"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1.3.4.2</w:t>
            </w:r>
          </w:p>
          <w:p>
            <w:pPr>
              <w:spacing w:line="32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highlight w:val="none"/>
              </w:rPr>
              <w:t>外科</w:t>
            </w:r>
            <w:r>
              <w:rPr>
                <w:rFonts w:hint="eastAsia" w:ascii="仿宋_GB2312" w:hAnsi="仿宋_GB2312" w:eastAsia="仿宋_GB2312" w:cs="仿宋_GB2312"/>
                <w:sz w:val="24"/>
                <w:highlight w:val="none"/>
                <w:lang w:val="en-US" w:eastAsia="zh-CN"/>
              </w:rPr>
              <w:t>医护比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highlight w:val="none"/>
                <w:lang w:val="en-US" w:eastAsia="zh-CN"/>
              </w:rPr>
              <w:t>外科固定在岗执业</w:t>
            </w:r>
            <w:r>
              <w:rPr>
                <w:rFonts w:hint="eastAsia" w:ascii="仿宋_GB2312" w:hAnsi="仿宋_GB2312" w:eastAsia="仿宋_GB2312" w:cs="仿宋_GB2312"/>
                <w:sz w:val="24"/>
                <w:highlight w:val="none"/>
              </w:rPr>
              <w:t>医师</w:t>
            </w:r>
            <w:r>
              <w:rPr>
                <w:rFonts w:hint="eastAsia" w:ascii="仿宋_GB2312" w:hAnsi="仿宋_GB2312" w:eastAsia="仿宋_GB2312" w:cs="仿宋_GB2312"/>
                <w:sz w:val="24"/>
                <w:highlight w:val="none"/>
                <w:lang w:val="en-US" w:eastAsia="zh-CN"/>
              </w:rPr>
              <w:t>人数</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外科固定在岗执业护士人数</w:t>
            </w:r>
            <w:r>
              <w:rPr>
                <w:rFonts w:hint="eastAsia" w:ascii="仿宋_GB2312" w:hAnsi="仿宋_GB2312" w:eastAsia="仿宋_GB2312" w:cs="仿宋_GB2312"/>
                <w:sz w:val="24"/>
                <w:highlight w:val="none"/>
                <w:lang w:eastAsia="zh-Hans"/>
              </w:rPr>
              <w:t>×100%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配比类</w:t>
            </w:r>
          </w:p>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szCs w:val="24"/>
                <w:highlight w:val="none"/>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highlight w:val="none"/>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highlight w:val="none"/>
              </w:rPr>
              <w:t>监测达标</w:t>
            </w:r>
          </w:p>
        </w:tc>
      </w:tr>
      <w:tr>
        <w:tblPrEx>
          <w:tblCellMar>
            <w:top w:w="0" w:type="dxa"/>
            <w:left w:w="0" w:type="dxa"/>
            <w:bottom w:w="0" w:type="dxa"/>
            <w:right w:w="0" w:type="dxa"/>
          </w:tblCellMar>
        </w:tblPrEx>
        <w:trPr>
          <w:trHeight w:val="540" w:hRule="atLeast"/>
          <w:jc w:val="center"/>
        </w:trPr>
        <w:tc>
          <w:tcPr>
            <w:tcW w:w="103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1.3.5 中西医结合科</w:t>
            </w:r>
          </w:p>
        </w:tc>
      </w:tr>
      <w:tr>
        <w:tblPrEx>
          <w:tblCellMar>
            <w:top w:w="0" w:type="dxa"/>
            <w:left w:w="0" w:type="dxa"/>
            <w:bottom w:w="0" w:type="dxa"/>
            <w:right w:w="0" w:type="dxa"/>
          </w:tblCellMar>
        </w:tblPrEx>
        <w:trPr>
          <w:trHeight w:val="2564"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1.3.5.1</w:t>
            </w:r>
          </w:p>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高级职称医师人数占比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中西医结合科高级职称医师人数/中西医结合科医师总人数×100%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0" w:leftChars="0" w:right="0" w:rightChars="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00" w:lineRule="exact"/>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540" w:hRule="atLeast"/>
          <w:jc w:val="center"/>
        </w:trPr>
        <w:tc>
          <w:tcPr>
            <w:tcW w:w="103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1.3.6 病理科</w:t>
            </w:r>
          </w:p>
        </w:tc>
      </w:tr>
      <w:tr>
        <w:tblPrEx>
          <w:tblCellMar>
            <w:top w:w="0" w:type="dxa"/>
            <w:left w:w="0" w:type="dxa"/>
            <w:bottom w:w="0" w:type="dxa"/>
            <w:right w:w="0" w:type="dxa"/>
          </w:tblCellMar>
        </w:tblPrEx>
        <w:trPr>
          <w:trHeight w:val="2268"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1.3.6.1</w:t>
            </w:r>
          </w:p>
          <w:p>
            <w:pPr>
              <w:pStyle w:val="25"/>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病理科高级职称医师人数占比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病理科高级职称医师人数/病理科医师总人数×100%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2268"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bookmarkStart w:id="91" w:name="_Toc88136160"/>
            <w:r>
              <w:rPr>
                <w:rFonts w:hint="eastAsia" w:ascii="仿宋_GB2312" w:hAnsi="仿宋_GB2312" w:eastAsia="仿宋_GB2312" w:cs="仿宋_GB2312"/>
                <w:color w:val="000000"/>
                <w:kern w:val="2"/>
                <w:sz w:val="24"/>
                <w:szCs w:val="24"/>
                <w:lang w:val="en-US" w:eastAsia="zh-CN" w:bidi="ar-SA"/>
              </w:rPr>
              <w:t>1.3.6.2</w:t>
            </w:r>
          </w:p>
          <w:p>
            <w:pPr>
              <w:pStyle w:val="25"/>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病理技术人员与病理医师比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病理技术人员数/病理医师数×100%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2268"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1.3.6.3</w:t>
            </w:r>
          </w:p>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病理医师人数与全院日均病理检查数比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病理医师人数/全院日均病理检查数×100%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rPr>
              <w:t>监测达标</w:t>
            </w:r>
          </w:p>
        </w:tc>
      </w:tr>
      <w:tr>
        <w:tblPrEx>
          <w:tblCellMar>
            <w:top w:w="0" w:type="dxa"/>
            <w:left w:w="0" w:type="dxa"/>
            <w:bottom w:w="0" w:type="dxa"/>
            <w:right w:w="0" w:type="dxa"/>
          </w:tblCellMar>
        </w:tblPrEx>
        <w:trPr>
          <w:trHeight w:val="2268"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1.3.6.4</w:t>
            </w:r>
          </w:p>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病理医师人数与全院日均皮肤RCM检查数比</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病理医师人数/全院日均皮肤RCM检查数×100%</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配比类</w:t>
            </w:r>
          </w:p>
          <w:p>
            <w:pPr>
              <w:pStyle w:val="25"/>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定量指标</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rPr>
              <w:t>监测达标</w:t>
            </w:r>
          </w:p>
        </w:tc>
      </w:tr>
    </w:tbl>
    <w:p>
      <w:pPr>
        <w:pStyle w:val="5"/>
        <w:spacing w:line="560" w:lineRule="exact"/>
        <w:outlineLvl w:val="9"/>
        <w:rPr>
          <w:rFonts w:hint="eastAsia" w:cs="黑体"/>
          <w:color w:val="000000"/>
          <w:sz w:val="28"/>
          <w:szCs w:val="28"/>
        </w:rPr>
      </w:pPr>
    </w:p>
    <w:p>
      <w:pPr>
        <w:pStyle w:val="5"/>
        <w:bidi w:val="0"/>
        <w:rPr>
          <w:rFonts w:hint="eastAsia"/>
          <w:color w:val="000000"/>
        </w:rPr>
      </w:pPr>
    </w:p>
    <w:p>
      <w:pPr>
        <w:pStyle w:val="5"/>
        <w:bidi w:val="0"/>
        <w:rPr>
          <w:rFonts w:hint="eastAsia"/>
          <w:color w:val="000000"/>
        </w:rPr>
      </w:pPr>
    </w:p>
    <w:p>
      <w:pPr>
        <w:pStyle w:val="5"/>
        <w:bidi w:val="0"/>
        <w:rPr>
          <w:rFonts w:hint="eastAsia"/>
          <w:color w:val="000000"/>
        </w:rPr>
      </w:pPr>
    </w:p>
    <w:p>
      <w:pPr>
        <w:pStyle w:val="5"/>
        <w:bidi w:val="0"/>
        <w:rPr>
          <w:rFonts w:hint="eastAsia"/>
          <w:color w:val="000000"/>
        </w:rPr>
      </w:pPr>
    </w:p>
    <w:p>
      <w:pPr>
        <w:pStyle w:val="2"/>
        <w:jc w:val="both"/>
        <w:rPr>
          <w:rFonts w:hint="eastAsia"/>
          <w:color w:val="000000"/>
        </w:rPr>
      </w:pPr>
    </w:p>
    <w:p>
      <w:pPr>
        <w:pStyle w:val="5"/>
        <w:bidi w:val="0"/>
        <w:rPr>
          <w:rFonts w:hint="eastAsia"/>
          <w:color w:val="000000"/>
          <w:lang w:eastAsia="zh-CN"/>
        </w:rPr>
      </w:pPr>
      <w:bookmarkStart w:id="92" w:name="_Toc27256"/>
      <w:r>
        <w:rPr>
          <w:rFonts w:hint="eastAsia"/>
          <w:color w:val="000000"/>
        </w:rPr>
        <w:t>四、运行指标</w:t>
      </w:r>
      <w:bookmarkEnd w:id="90"/>
      <w:bookmarkEnd w:id="91"/>
      <w:r>
        <w:rPr>
          <w:rFonts w:hint="eastAsia"/>
          <w:color w:val="000000"/>
          <w:lang w:eastAsia="zh-CN"/>
        </w:rPr>
        <w:t>（</w:t>
      </w:r>
      <w:r>
        <w:rPr>
          <w:rFonts w:hint="eastAsia"/>
          <w:color w:val="000000"/>
          <w:lang w:val="en-US" w:eastAsia="zh-CN"/>
        </w:rPr>
        <w:t>20分</w:t>
      </w:r>
      <w:r>
        <w:rPr>
          <w:rFonts w:hint="eastAsia"/>
          <w:color w:val="000000"/>
          <w:lang w:eastAsia="zh-CN"/>
        </w:rPr>
        <w:t>）</w:t>
      </w:r>
      <w:bookmarkEnd w:id="92"/>
    </w:p>
    <w:p>
      <w:pPr>
        <w:pStyle w:val="21"/>
        <w:ind w:firstLine="0"/>
        <w:rPr>
          <w:rStyle w:val="20"/>
          <w:rFonts w:hint="eastAsia" w:ascii="宋体" w:hAnsi="宋体" w:eastAsia="宋体" w:cs="宋体"/>
          <w:color w:val="000000"/>
          <w:sz w:val="28"/>
          <w:szCs w:val="28"/>
        </w:rPr>
      </w:pPr>
      <w:r>
        <w:rPr>
          <w:rStyle w:val="20"/>
          <w:rFonts w:hint="eastAsia" w:ascii="宋体" w:hAnsi="宋体" w:eastAsia="宋体" w:cs="宋体"/>
          <w:color w:val="000000"/>
          <w:sz w:val="28"/>
          <w:szCs w:val="28"/>
        </w:rPr>
        <w:t>本节评审设</w:t>
      </w:r>
      <w:r>
        <w:rPr>
          <w:rStyle w:val="20"/>
          <w:rFonts w:hint="eastAsia" w:ascii="宋体" w:hAnsi="宋体" w:cs="宋体"/>
          <w:color w:val="000000"/>
          <w:sz w:val="28"/>
          <w:szCs w:val="28"/>
          <w:lang w:val="en-US" w:eastAsia="zh-CN"/>
        </w:rPr>
        <w:t>5</w:t>
      </w:r>
      <w:r>
        <w:rPr>
          <w:rStyle w:val="20"/>
          <w:rFonts w:hint="eastAsia" w:ascii="宋体" w:hAnsi="宋体" w:eastAsia="宋体" w:cs="宋体"/>
          <w:color w:val="000000"/>
          <w:sz w:val="28"/>
          <w:szCs w:val="28"/>
        </w:rPr>
        <w:t>条</w:t>
      </w:r>
      <w:r>
        <w:rPr>
          <w:rStyle w:val="20"/>
          <w:rFonts w:hint="eastAsia" w:ascii="宋体" w:hAnsi="宋体" w:cs="宋体"/>
          <w:color w:val="000000"/>
          <w:sz w:val="28"/>
          <w:szCs w:val="28"/>
          <w:lang w:val="en-US" w:eastAsia="zh-CN"/>
        </w:rPr>
        <w:t>5</w:t>
      </w:r>
      <w:r>
        <w:rPr>
          <w:rStyle w:val="20"/>
          <w:rFonts w:hint="eastAsia" w:ascii="宋体" w:hAnsi="宋体" w:eastAsia="宋体" w:cs="宋体"/>
          <w:color w:val="000000"/>
          <w:sz w:val="28"/>
          <w:szCs w:val="28"/>
        </w:rPr>
        <w:t>个指标，均为数据评审指标，共</w:t>
      </w:r>
      <w:r>
        <w:rPr>
          <w:rStyle w:val="20"/>
          <w:rFonts w:hint="eastAsia" w:ascii="宋体" w:hAnsi="宋体" w:cs="宋体"/>
          <w:color w:val="000000"/>
          <w:sz w:val="28"/>
          <w:szCs w:val="28"/>
          <w:lang w:val="en-US" w:eastAsia="zh-CN"/>
        </w:rPr>
        <w:t>20</w:t>
      </w:r>
      <w:r>
        <w:rPr>
          <w:rStyle w:val="20"/>
          <w:rFonts w:hint="eastAsia" w:ascii="宋体" w:hAnsi="宋体" w:eastAsia="宋体" w:cs="宋体"/>
          <w:color w:val="000000"/>
          <w:sz w:val="28"/>
          <w:szCs w:val="28"/>
        </w:rPr>
        <w:t>分。</w:t>
      </w:r>
    </w:p>
    <w:tbl>
      <w:tblPr>
        <w:tblStyle w:val="14"/>
        <w:tblW w:w="10339" w:type="dxa"/>
        <w:jc w:val="center"/>
        <w:tblLayout w:type="fixed"/>
        <w:tblCellMar>
          <w:top w:w="0" w:type="dxa"/>
          <w:left w:w="0" w:type="dxa"/>
          <w:bottom w:w="0" w:type="dxa"/>
          <w:right w:w="0" w:type="dxa"/>
        </w:tblCellMar>
      </w:tblPr>
      <w:tblGrid>
        <w:gridCol w:w="2559"/>
        <w:gridCol w:w="3524"/>
        <w:gridCol w:w="992"/>
        <w:gridCol w:w="709"/>
        <w:gridCol w:w="2555"/>
      </w:tblGrid>
      <w:tr>
        <w:tblPrEx>
          <w:tblCellMar>
            <w:top w:w="0" w:type="dxa"/>
            <w:left w:w="0" w:type="dxa"/>
            <w:bottom w:w="0" w:type="dxa"/>
            <w:right w:w="0" w:type="dxa"/>
          </w:tblCellMar>
        </w:tblPrEx>
        <w:trPr>
          <w:trHeight w:val="540" w:hRule="atLeast"/>
          <w:tblHeader/>
          <w:jc w:val="center"/>
        </w:trPr>
        <w:tc>
          <w:tcPr>
            <w:tcW w:w="2559"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监测指标</w:t>
            </w:r>
          </w:p>
        </w:tc>
        <w:tc>
          <w:tcPr>
            <w:tcW w:w="3524"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计算方法</w:t>
            </w:r>
          </w:p>
        </w:tc>
        <w:tc>
          <w:tcPr>
            <w:tcW w:w="99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lang w:val="en-US" w:eastAsia="zh-CN"/>
              </w:rPr>
              <w:t>指标设定</w:t>
            </w:r>
          </w:p>
        </w:tc>
        <w:tc>
          <w:tcPr>
            <w:tcW w:w="709"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分值</w:t>
            </w:r>
          </w:p>
        </w:tc>
        <w:tc>
          <w:tcPr>
            <w:tcW w:w="2555"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jc w:val="center"/>
              <w:rPr>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5021" w:hRule="atLeast"/>
          <w:jc w:val="center"/>
        </w:trPr>
        <w:tc>
          <w:tcPr>
            <w:tcW w:w="2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1.4.1</w:t>
            </w:r>
          </w:p>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人员支出占业务支出的比重</w:t>
            </w:r>
          </w:p>
        </w:tc>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人员经费/医疗活动费用×100%</w:t>
            </w:r>
          </w:p>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分子：人员经费包括医院全部人员发生的费用。（2）分母：医疗活动费用包括业务活动费用（不含财政项目拨款经费和科教经费）、单位管理费用（不含财政项目拨款经费和科教经费）、经营费用、资产处置费用、上缴上级费用、对附属单位补助费用、所得税费用、其他费用。（3）财政项目拨款经费和科教项目经费支付的人员劳务费、专家咨询费等人员经费不在本指标。</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定量</w:t>
            </w:r>
          </w:p>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0" w:type="dxa"/>
            <w:bottom w:w="0" w:type="dxa"/>
            <w:right w:w="0" w:type="dxa"/>
          </w:tblCellMar>
        </w:tblPrEx>
        <w:trPr>
          <w:trHeight w:val="1718" w:hRule="atLeast"/>
          <w:jc w:val="center"/>
        </w:trPr>
        <w:tc>
          <w:tcPr>
            <w:tcW w:w="2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bookmarkStart w:id="93" w:name="_Toc2595"/>
            <w:bookmarkStart w:id="94" w:name="_Toc19762"/>
            <w:bookmarkStart w:id="95" w:name="_Toc25972"/>
            <w:r>
              <w:rPr>
                <w:rFonts w:hint="eastAsia" w:ascii="仿宋_GB2312" w:hAnsi="仿宋_GB2312" w:eastAsia="仿宋_GB2312" w:cs="仿宋_GB2312"/>
                <w:color w:val="000000"/>
                <w:kern w:val="2"/>
                <w:sz w:val="24"/>
                <w:szCs w:val="24"/>
                <w:lang w:val="en-US" w:eastAsia="zh-CN" w:bidi="ar-SA"/>
              </w:rPr>
              <w:t>1.4.2</w:t>
            </w:r>
          </w:p>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医疗服务收入（不含药品、耗材、检查检验收入）占医疗收入的比例</w:t>
            </w:r>
          </w:p>
        </w:tc>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医疗服务收入（不含药品、耗材、检查检验收入）/医疗收入×100%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定量</w:t>
            </w:r>
          </w:p>
          <w:p>
            <w:pPr>
              <w:pStyle w:val="9"/>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0" w:type="dxa"/>
            <w:bottom w:w="0" w:type="dxa"/>
            <w:right w:w="0" w:type="dxa"/>
          </w:tblCellMar>
        </w:tblPrEx>
        <w:trPr>
          <w:trHeight w:val="1702" w:hRule="atLeast"/>
          <w:jc w:val="center"/>
        </w:trPr>
        <w:tc>
          <w:tcPr>
            <w:tcW w:w="2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1.4.3</w:t>
            </w:r>
          </w:p>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万元收入能耗支出占比</w:t>
            </w:r>
          </w:p>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p>
        </w:tc>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年总能耗/年总收入×10000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定量</w:t>
            </w:r>
          </w:p>
          <w:p>
            <w:pPr>
              <w:pStyle w:val="9"/>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pacing w:val="0"/>
                <w:sz w:val="24"/>
                <w:szCs w:val="24"/>
              </w:rPr>
              <w:t>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逐步降低</w:t>
            </w:r>
          </w:p>
        </w:tc>
      </w:tr>
      <w:tr>
        <w:tblPrEx>
          <w:tblCellMar>
            <w:top w:w="0" w:type="dxa"/>
            <w:left w:w="0" w:type="dxa"/>
            <w:bottom w:w="0" w:type="dxa"/>
            <w:right w:w="0" w:type="dxa"/>
          </w:tblCellMar>
        </w:tblPrEx>
        <w:trPr>
          <w:trHeight w:val="1349" w:hRule="atLeast"/>
          <w:jc w:val="center"/>
        </w:trPr>
        <w:tc>
          <w:tcPr>
            <w:tcW w:w="2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1.4.4</w:t>
            </w:r>
          </w:p>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收支结余（医疗盈余率）</w:t>
            </w:r>
          </w:p>
        </w:tc>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医疗盈余/医疗活动收入×100%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定量</w:t>
            </w:r>
          </w:p>
          <w:p>
            <w:pPr>
              <w:pStyle w:val="2"/>
              <w:jc w:val="center"/>
              <w:rPr>
                <w:rFonts w:hint="default"/>
                <w:color w:val="000000"/>
                <w:sz w:val="24"/>
                <w:szCs w:val="24"/>
                <w:lang w:val="en-US" w:eastAsia="zh-CN"/>
              </w:rPr>
            </w:pPr>
            <w:r>
              <w:rPr>
                <w:rFonts w:hint="eastAsia" w:ascii="仿宋_GB2312" w:hAnsi="仿宋_GB2312" w:eastAsia="仿宋_GB2312" w:cs="仿宋_GB2312"/>
                <w:color w:val="000000"/>
                <w:spacing w:val="0"/>
                <w:sz w:val="24"/>
                <w:szCs w:val="24"/>
              </w:rPr>
              <w:t>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0" w:type="dxa"/>
            <w:bottom w:w="0" w:type="dxa"/>
            <w:right w:w="0" w:type="dxa"/>
          </w:tblCellMar>
        </w:tblPrEx>
        <w:trPr>
          <w:trHeight w:val="1331" w:hRule="atLeast"/>
          <w:jc w:val="center"/>
        </w:trPr>
        <w:tc>
          <w:tcPr>
            <w:tcW w:w="2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1.4.5资产负债率</w:t>
            </w:r>
          </w:p>
        </w:tc>
        <w:tc>
          <w:tcPr>
            <w:tcW w:w="3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负债合计/资产合计×100%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w:t>
            </w:r>
          </w:p>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bl>
    <w:p>
      <w:pPr>
        <w:rPr>
          <w:rFonts w:hint="default"/>
          <w:color w:val="000000"/>
          <w:sz w:val="28"/>
          <w:szCs w:val="28"/>
        </w:rPr>
      </w:pPr>
    </w:p>
    <w:p>
      <w:pPr>
        <w:pStyle w:val="5"/>
        <w:bidi w:val="0"/>
        <w:rPr>
          <w:rFonts w:hint="eastAsia"/>
          <w:color w:val="000000"/>
        </w:rPr>
      </w:pPr>
      <w:bookmarkStart w:id="96" w:name="_Toc30814"/>
      <w:bookmarkStart w:id="97" w:name="_Toc19110"/>
      <w:r>
        <w:rPr>
          <w:rFonts w:hint="eastAsia"/>
          <w:color w:val="000000"/>
        </w:rPr>
        <w:t>五、科研指标（</w:t>
      </w:r>
      <w:r>
        <w:rPr>
          <w:rFonts w:hint="eastAsia"/>
          <w:color w:val="000000"/>
          <w:lang w:val="en-US" w:eastAsia="zh-CN"/>
        </w:rPr>
        <w:t>6</w:t>
      </w:r>
      <w:r>
        <w:rPr>
          <w:rFonts w:hint="eastAsia"/>
          <w:color w:val="000000"/>
        </w:rPr>
        <w:t>分）</w:t>
      </w:r>
      <w:bookmarkEnd w:id="96"/>
      <w:bookmarkEnd w:id="97"/>
    </w:p>
    <w:p>
      <w:pPr>
        <w:widowControl/>
        <w:spacing w:line="46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本节评审设</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条</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个指标，均为数据评审指标，共</w:t>
      </w:r>
      <w:r>
        <w:rPr>
          <w:rFonts w:hint="eastAsia" w:ascii="宋体" w:hAnsi="宋体" w:cs="宋体"/>
          <w:color w:val="000000"/>
          <w:kern w:val="0"/>
          <w:sz w:val="28"/>
          <w:szCs w:val="28"/>
          <w:lang w:val="en-US" w:eastAsia="zh-CN"/>
        </w:rPr>
        <w:t>6</w:t>
      </w:r>
      <w:r>
        <w:rPr>
          <w:rFonts w:hint="eastAsia" w:ascii="宋体" w:hAnsi="宋体" w:eastAsia="宋体" w:cs="宋体"/>
          <w:color w:val="000000"/>
          <w:kern w:val="0"/>
          <w:sz w:val="28"/>
          <w:szCs w:val="28"/>
        </w:rPr>
        <w:t>分。</w:t>
      </w:r>
      <w:r>
        <w:rPr>
          <w:rFonts w:hint="eastAsia" w:ascii="宋体" w:hAnsi="宋体" w:cs="宋体"/>
          <w:color w:val="000000"/>
          <w:kern w:val="0"/>
          <w:sz w:val="28"/>
          <w:szCs w:val="28"/>
          <w:lang w:val="en-US" w:eastAsia="zh-CN"/>
        </w:rPr>
        <w:t>加分项1个，共5分</w:t>
      </w:r>
      <w:r>
        <w:rPr>
          <w:rFonts w:hint="eastAsia" w:ascii="宋体" w:hAnsi="宋体" w:eastAsia="宋体" w:cs="宋体"/>
          <w:color w:val="000000"/>
          <w:kern w:val="0"/>
          <w:sz w:val="28"/>
          <w:szCs w:val="28"/>
        </w:rPr>
        <w:t>。</w:t>
      </w:r>
    </w:p>
    <w:tbl>
      <w:tblPr>
        <w:tblStyle w:val="14"/>
        <w:tblW w:w="9627" w:type="dxa"/>
        <w:tblInd w:w="-590" w:type="dxa"/>
        <w:tblLayout w:type="fixed"/>
        <w:tblCellMar>
          <w:top w:w="0" w:type="dxa"/>
          <w:left w:w="108" w:type="dxa"/>
          <w:bottom w:w="0" w:type="dxa"/>
          <w:right w:w="108" w:type="dxa"/>
        </w:tblCellMar>
      </w:tblPr>
      <w:tblGrid>
        <w:gridCol w:w="2855"/>
        <w:gridCol w:w="2400"/>
        <w:gridCol w:w="1284"/>
        <w:gridCol w:w="840"/>
        <w:gridCol w:w="2248"/>
      </w:tblGrid>
      <w:tr>
        <w:tblPrEx>
          <w:tblCellMar>
            <w:top w:w="0" w:type="dxa"/>
            <w:left w:w="108" w:type="dxa"/>
            <w:bottom w:w="0" w:type="dxa"/>
            <w:right w:w="108" w:type="dxa"/>
          </w:tblCellMar>
        </w:tblPrEx>
        <w:trPr>
          <w:trHeight w:val="895" w:hRule="atLeast"/>
        </w:trPr>
        <w:tc>
          <w:tcPr>
            <w:tcW w:w="2855" w:type="dxa"/>
            <w:tcBorders>
              <w:top w:val="single" w:color="000000" w:sz="4" w:space="0"/>
              <w:left w:val="single" w:color="000000" w:sz="4" w:space="0"/>
              <w:bottom w:val="single" w:color="auto" w:sz="4" w:space="0"/>
              <w:right w:val="single" w:color="000000" w:sz="4" w:space="0"/>
            </w:tcBorders>
            <w:shd w:val="clear" w:color="auto" w:fill="EEECE1"/>
            <w:noWrap w:val="0"/>
            <w:vAlign w:val="center"/>
          </w:tcPr>
          <w:p>
            <w:pPr>
              <w:pStyle w:val="24"/>
              <w:spacing w:line="320" w:lineRule="exact"/>
              <w:rPr>
                <w:rFonts w:ascii="黑体" w:hAnsi="黑体" w:eastAsia="黑体" w:cs="黑体"/>
                <w:color w:val="000000"/>
                <w:sz w:val="24"/>
                <w:szCs w:val="24"/>
              </w:rPr>
            </w:pPr>
            <w:r>
              <w:rPr>
                <w:rFonts w:hint="eastAsia"/>
                <w:color w:val="000000"/>
                <w:sz w:val="24"/>
                <w:szCs w:val="24"/>
              </w:rPr>
              <w:t>监测指标</w:t>
            </w:r>
          </w:p>
        </w:tc>
        <w:tc>
          <w:tcPr>
            <w:tcW w:w="2400" w:type="dxa"/>
            <w:tcBorders>
              <w:top w:val="single" w:color="000000" w:sz="4" w:space="0"/>
              <w:left w:val="nil"/>
              <w:bottom w:val="single" w:color="auto" w:sz="4" w:space="0"/>
              <w:right w:val="single" w:color="000000" w:sz="4" w:space="0"/>
            </w:tcBorders>
            <w:shd w:val="clear" w:color="auto" w:fill="EEECE1"/>
            <w:noWrap w:val="0"/>
            <w:vAlign w:val="center"/>
          </w:tcPr>
          <w:p>
            <w:pPr>
              <w:pStyle w:val="24"/>
              <w:spacing w:line="320" w:lineRule="exact"/>
              <w:rPr>
                <w:rFonts w:ascii="黑体" w:hAnsi="黑体" w:eastAsia="黑体" w:cs="黑体"/>
                <w:color w:val="000000"/>
                <w:sz w:val="24"/>
                <w:szCs w:val="24"/>
              </w:rPr>
            </w:pPr>
            <w:r>
              <w:rPr>
                <w:rFonts w:hint="eastAsia"/>
                <w:color w:val="000000"/>
                <w:sz w:val="24"/>
                <w:szCs w:val="24"/>
              </w:rPr>
              <w:t>计算方法</w:t>
            </w:r>
          </w:p>
        </w:tc>
        <w:tc>
          <w:tcPr>
            <w:tcW w:w="1284" w:type="dxa"/>
            <w:tcBorders>
              <w:top w:val="single" w:color="000000" w:sz="4" w:space="0"/>
              <w:left w:val="nil"/>
              <w:bottom w:val="single" w:color="auto" w:sz="4" w:space="0"/>
              <w:right w:val="single" w:color="000000" w:sz="4" w:space="0"/>
            </w:tcBorders>
            <w:shd w:val="clear" w:color="auto" w:fill="EEECE1"/>
            <w:noWrap w:val="0"/>
            <w:vAlign w:val="center"/>
          </w:tcPr>
          <w:p>
            <w:pPr>
              <w:pStyle w:val="24"/>
              <w:spacing w:line="320" w:lineRule="exact"/>
              <w:rPr>
                <w:rFonts w:ascii="黑体" w:hAnsi="黑体" w:eastAsia="黑体" w:cs="黑体"/>
                <w:color w:val="000000"/>
                <w:sz w:val="24"/>
                <w:szCs w:val="24"/>
              </w:rPr>
            </w:pPr>
            <w:r>
              <w:rPr>
                <w:rFonts w:hint="eastAsia"/>
                <w:color w:val="000000"/>
                <w:sz w:val="24"/>
                <w:szCs w:val="24"/>
                <w:lang w:val="en-US" w:eastAsia="zh-CN"/>
              </w:rPr>
              <w:t>指标设定</w:t>
            </w:r>
          </w:p>
        </w:tc>
        <w:tc>
          <w:tcPr>
            <w:tcW w:w="840" w:type="dxa"/>
            <w:tcBorders>
              <w:top w:val="single" w:color="000000" w:sz="4" w:space="0"/>
              <w:left w:val="nil"/>
              <w:bottom w:val="single" w:color="auto" w:sz="4" w:space="0"/>
              <w:right w:val="single" w:color="000000" w:sz="4" w:space="0"/>
            </w:tcBorders>
            <w:shd w:val="clear" w:color="auto" w:fill="EEECE1"/>
            <w:noWrap w:val="0"/>
            <w:vAlign w:val="center"/>
          </w:tcPr>
          <w:p>
            <w:pPr>
              <w:pStyle w:val="24"/>
              <w:spacing w:line="320" w:lineRule="exact"/>
              <w:rPr>
                <w:rFonts w:ascii="黑体" w:hAnsi="黑体" w:eastAsia="黑体" w:cs="黑体"/>
                <w:color w:val="000000"/>
                <w:sz w:val="24"/>
                <w:szCs w:val="24"/>
              </w:rPr>
            </w:pPr>
            <w:r>
              <w:rPr>
                <w:rFonts w:hint="eastAsia"/>
                <w:color w:val="000000"/>
                <w:sz w:val="24"/>
                <w:szCs w:val="24"/>
              </w:rPr>
              <w:t>分值</w:t>
            </w:r>
          </w:p>
        </w:tc>
        <w:tc>
          <w:tcPr>
            <w:tcW w:w="2248" w:type="dxa"/>
            <w:tcBorders>
              <w:top w:val="single" w:color="000000" w:sz="4" w:space="0"/>
              <w:left w:val="nil"/>
              <w:bottom w:val="single" w:color="auto" w:sz="4" w:space="0"/>
              <w:right w:val="single" w:color="000000" w:sz="4" w:space="0"/>
            </w:tcBorders>
            <w:shd w:val="clear" w:color="auto" w:fill="EEECE1"/>
            <w:noWrap w:val="0"/>
            <w:vAlign w:val="center"/>
          </w:tcPr>
          <w:p>
            <w:pPr>
              <w:pStyle w:val="24"/>
              <w:spacing w:line="320" w:lineRule="exact"/>
              <w:rPr>
                <w:rFonts w:ascii="黑体" w:hAnsi="黑体" w:eastAsia="黑体" w:cs="黑体"/>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108" w:type="dxa"/>
            <w:bottom w:w="0" w:type="dxa"/>
            <w:right w:w="108" w:type="dxa"/>
          </w:tblCellMar>
        </w:tblPrEx>
        <w:trPr>
          <w:trHeight w:val="2268" w:hRule="atLeast"/>
        </w:trPr>
        <w:tc>
          <w:tcPr>
            <w:tcW w:w="28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1.5.1</w:t>
            </w:r>
          </w:p>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有财政资助的科研立项数或获得横向课题资金的项目数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评审周期内有财政资助的科研立项数或获得横向课题资金的项目数量</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w:t>
            </w:r>
          </w:p>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指标</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108" w:type="dxa"/>
            <w:bottom w:w="0" w:type="dxa"/>
            <w:right w:w="108" w:type="dxa"/>
          </w:tblCellMar>
        </w:tblPrEx>
        <w:trPr>
          <w:trHeight w:val="2268" w:hRule="atLeast"/>
        </w:trPr>
        <w:tc>
          <w:tcPr>
            <w:tcW w:w="28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1.5.2</w:t>
            </w:r>
          </w:p>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在核心期刊上发表论文数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评审周期内在核心期刊上发表论文数量</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w:t>
            </w:r>
          </w:p>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指标</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108" w:type="dxa"/>
            <w:bottom w:w="0" w:type="dxa"/>
            <w:right w:w="108" w:type="dxa"/>
          </w:tblCellMar>
        </w:tblPrEx>
        <w:trPr>
          <w:trHeight w:val="2268" w:hRule="atLeast"/>
        </w:trPr>
        <w:tc>
          <w:tcPr>
            <w:tcW w:w="28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bookmarkStart w:id="98" w:name="_Toc88136161"/>
            <w:r>
              <w:rPr>
                <w:rFonts w:hint="eastAsia" w:ascii="仿宋_GB2312" w:hAnsi="仿宋_GB2312" w:eastAsia="仿宋_GB2312" w:cs="仿宋_GB2312"/>
                <w:color w:val="000000"/>
                <w:kern w:val="2"/>
                <w:sz w:val="24"/>
                <w:szCs w:val="24"/>
                <w:lang w:val="en-US" w:eastAsia="zh-CN" w:bidi="ar-SA"/>
              </w:rPr>
              <w:t>1.5.3</w:t>
            </w:r>
          </w:p>
          <w:p>
            <w:pPr>
              <w:spacing w:line="320" w:lineRule="exact"/>
              <w:ind w:left="105" w:leftChars="50" w:right="105" w:rightChars="50"/>
              <w:jc w:val="lef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每百名卫生技术人员科研项目经费</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lef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评审周期内科研项目立项经费总金额/同期卫生技术人员总数×100%</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w:t>
            </w:r>
          </w:p>
          <w:p>
            <w:pPr>
              <w:spacing w:line="320" w:lineRule="exact"/>
              <w:ind w:left="105" w:leftChars="50" w:right="105" w:rightChars="50"/>
              <w:jc w:val="center"/>
              <w:rPr>
                <w:rFonts w:hint="eastAsia" w:ascii="仿宋_GB2312" w:hAnsi="仿宋_GB2312" w:eastAsia="仿宋_GB2312" w:cs="仿宋_GB2312"/>
                <w:color w:val="000000"/>
                <w:spacing w:val="12"/>
                <w:sz w:val="23"/>
                <w:szCs w:val="23"/>
              </w:rPr>
            </w:pPr>
            <w:r>
              <w:rPr>
                <w:rFonts w:hint="eastAsia" w:ascii="仿宋_GB2312" w:hAnsi="仿宋_GB2312" w:eastAsia="仿宋_GB2312" w:cs="仿宋_GB2312"/>
                <w:color w:val="000000"/>
                <w:kern w:val="2"/>
                <w:sz w:val="24"/>
                <w:szCs w:val="24"/>
                <w:lang w:val="en-US" w:eastAsia="zh-CN" w:bidi="ar-SA"/>
              </w:rPr>
              <w:t>指标</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108" w:type="dxa"/>
            <w:bottom w:w="0" w:type="dxa"/>
            <w:right w:w="108" w:type="dxa"/>
          </w:tblCellMar>
        </w:tblPrEx>
        <w:trPr>
          <w:trHeight w:val="2268" w:hRule="atLeast"/>
        </w:trPr>
        <w:tc>
          <w:tcPr>
            <w:tcW w:w="28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1.5.4</w:t>
            </w:r>
          </w:p>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科研课题立项数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评审周期内立项自治区级课题每项加1分，总加分不超过5分。</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定量</w:t>
            </w:r>
          </w:p>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指标</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kern w:val="2"/>
                <w:sz w:val="24"/>
                <w:szCs w:val="24"/>
                <w:lang w:val="en-US" w:eastAsia="zh-CN" w:bidi="ar-SA"/>
              </w:rPr>
              <w:t>加分项</w:t>
            </w:r>
          </w:p>
        </w:tc>
      </w:tr>
    </w:tbl>
    <w:p>
      <w:pPr>
        <w:jc w:val="center"/>
        <w:outlineLvl w:val="1"/>
        <w:rPr>
          <w:rFonts w:hint="default" w:ascii="黑体" w:hAnsi="黑体" w:eastAsia="黑体" w:cs="黑体"/>
          <w:color w:val="000000"/>
          <w:sz w:val="28"/>
          <w:szCs w:val="28"/>
          <w:lang w:val="en-US"/>
        </w:rPr>
      </w:pPr>
      <w:r>
        <w:rPr>
          <w:rFonts w:hint="default" w:ascii="Calibri" w:hAnsi="Calibri" w:eastAsia="宋体" w:cs="Times New Roman"/>
          <w:color w:val="000000"/>
        </w:rPr>
        <w:br w:type="page"/>
      </w:r>
      <w:bookmarkStart w:id="99" w:name="_Toc24642"/>
      <w:r>
        <w:rPr>
          <w:rStyle w:val="18"/>
          <w:rFonts w:hint="eastAsia"/>
          <w:color w:val="000000"/>
        </w:rPr>
        <w:t>第二章  医疗服务能力与医院质量安全指标</w:t>
      </w:r>
      <w:bookmarkEnd w:id="93"/>
      <w:bookmarkEnd w:id="94"/>
      <w:bookmarkEnd w:id="95"/>
      <w:bookmarkEnd w:id="98"/>
      <w:r>
        <w:rPr>
          <w:rStyle w:val="18"/>
          <w:rFonts w:hint="eastAsia"/>
          <w:color w:val="000000"/>
          <w:lang w:eastAsia="zh-CN"/>
        </w:rPr>
        <w:t>（</w:t>
      </w:r>
      <w:r>
        <w:rPr>
          <w:rStyle w:val="18"/>
          <w:rFonts w:hint="eastAsia"/>
          <w:color w:val="000000"/>
          <w:lang w:val="en-US" w:eastAsia="zh-CN"/>
        </w:rPr>
        <w:t>226分</w:t>
      </w:r>
      <w:bookmarkStart w:id="100" w:name="_Toc10195"/>
      <w:bookmarkStart w:id="101" w:name="_Toc88136162"/>
      <w:r>
        <w:rPr>
          <w:rStyle w:val="18"/>
          <w:rFonts w:hint="eastAsia"/>
          <w:color w:val="000000"/>
          <w:lang w:val="en-US" w:eastAsia="zh-CN"/>
        </w:rPr>
        <w:t>，加分3分</w:t>
      </w:r>
      <w:r>
        <w:rPr>
          <w:rStyle w:val="18"/>
          <w:rFonts w:hint="eastAsia"/>
          <w:color w:val="000000"/>
          <w:lang w:eastAsia="zh-CN"/>
        </w:rPr>
        <w:t>）</w:t>
      </w:r>
      <w:bookmarkEnd w:id="99"/>
    </w:p>
    <w:p>
      <w:pPr>
        <w:pStyle w:val="5"/>
        <w:spacing w:line="560" w:lineRule="exact"/>
        <w:outlineLvl w:val="9"/>
        <w:rPr>
          <w:rFonts w:hint="eastAsia" w:cs="黑体"/>
          <w:color w:val="000000"/>
          <w:sz w:val="32"/>
          <w:szCs w:val="32"/>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数据来源：</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1.自治区卫生健康统计信息网络直报系统</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2.国家公立医院绩效管理平台</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kern w:val="0"/>
          <w:sz w:val="28"/>
          <w:szCs w:val="28"/>
          <w:lang w:val="en-US" w:bidi="zh-CN"/>
        </w:rPr>
      </w:pPr>
      <w:r>
        <w:rPr>
          <w:rFonts w:hint="eastAsia" w:ascii="仿宋_GB2312" w:hAnsi="仿宋_GB2312" w:eastAsia="仿宋_GB2312" w:cs="仿宋_GB2312"/>
          <w:color w:val="000000"/>
          <w:kern w:val="0"/>
          <w:sz w:val="28"/>
          <w:szCs w:val="28"/>
          <w:lang w:val="zh-CN" w:bidi="zh-CN"/>
        </w:rPr>
        <w:t>3.</w:t>
      </w:r>
      <w:r>
        <w:rPr>
          <w:rFonts w:hint="eastAsia" w:ascii="仿宋_GB2312" w:hAnsi="仿宋_GB2312" w:eastAsia="仿宋_GB2312" w:cs="仿宋_GB2312"/>
          <w:color w:val="000000"/>
          <w:kern w:val="0"/>
          <w:sz w:val="28"/>
          <w:szCs w:val="28"/>
          <w:lang w:val="en-US" w:bidi="zh-CN"/>
        </w:rPr>
        <w:t>全国医院质量监测系统（HQMS）</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4.全国性病防治管理信息系统</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zh-CN" w:bidi="zh-CN"/>
        </w:rPr>
        <w:t>5.全国麻风病防治管理信息系统</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kern w:val="0"/>
          <w:sz w:val="28"/>
          <w:szCs w:val="28"/>
          <w:lang w:val="en-US" w:bidi="zh-CN"/>
        </w:rPr>
      </w:pPr>
      <w:r>
        <w:rPr>
          <w:rFonts w:hint="eastAsia" w:ascii="仿宋_GB2312" w:hAnsi="仿宋_GB2312" w:eastAsia="仿宋_GB2312" w:cs="仿宋_GB2312"/>
          <w:color w:val="000000"/>
          <w:kern w:val="0"/>
          <w:sz w:val="28"/>
          <w:szCs w:val="28"/>
          <w:lang w:val="en-US" w:bidi="zh-CN"/>
        </w:rPr>
        <w:t>6.国家药品不良反应监测系统</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lang w:val="zh-CN" w:bidi="zh-CN"/>
        </w:rPr>
      </w:pPr>
      <w:r>
        <w:rPr>
          <w:rFonts w:hint="eastAsia" w:ascii="仿宋_GB2312" w:hAnsi="仿宋_GB2312" w:eastAsia="仿宋_GB2312" w:cs="仿宋_GB2312"/>
          <w:color w:val="000000"/>
          <w:kern w:val="0"/>
          <w:sz w:val="28"/>
          <w:szCs w:val="28"/>
          <w:lang w:val="en-US" w:bidi="zh-CN"/>
        </w:rPr>
        <w:t>7.</w:t>
      </w:r>
      <w:r>
        <w:rPr>
          <w:rFonts w:hint="eastAsia" w:ascii="仿宋_GB2312" w:hAnsi="仿宋_GB2312" w:eastAsia="仿宋_GB2312" w:cs="仿宋_GB2312"/>
          <w:color w:val="000000"/>
          <w:kern w:val="0"/>
          <w:sz w:val="28"/>
          <w:szCs w:val="28"/>
          <w:lang w:val="zh-CN" w:bidi="zh-CN"/>
        </w:rPr>
        <w:t>医院填报</w:t>
      </w:r>
    </w:p>
    <w:p>
      <w:pPr>
        <w:rPr>
          <w:rFonts w:hint="eastAsia" w:ascii="黑体" w:hAnsi="黑体" w:eastAsia="黑体" w:cs="黑体"/>
          <w:color w:val="000000"/>
          <w:sz w:val="28"/>
          <w:szCs w:val="36"/>
        </w:rPr>
      </w:pPr>
    </w:p>
    <w:p>
      <w:pPr>
        <w:pStyle w:val="5"/>
        <w:bidi w:val="0"/>
        <w:rPr>
          <w:rFonts w:hint="eastAsia"/>
          <w:color w:val="000000"/>
          <w:lang w:eastAsia="zh-CN"/>
        </w:rPr>
      </w:pPr>
      <w:bookmarkStart w:id="102" w:name="_Toc10729"/>
      <w:r>
        <w:rPr>
          <w:rFonts w:hint="eastAsia"/>
          <w:color w:val="000000"/>
        </w:rPr>
        <w:t>一、医疗服务能力</w:t>
      </w:r>
      <w:bookmarkEnd w:id="100"/>
      <w:bookmarkEnd w:id="101"/>
      <w:r>
        <w:rPr>
          <w:rFonts w:hint="eastAsia"/>
          <w:color w:val="000000"/>
          <w:lang w:eastAsia="zh-CN"/>
        </w:rPr>
        <w:t>（</w:t>
      </w:r>
      <w:r>
        <w:rPr>
          <w:rFonts w:hint="eastAsia"/>
          <w:color w:val="000000"/>
          <w:lang w:val="en-US" w:eastAsia="zh-CN"/>
        </w:rPr>
        <w:t>72分</w:t>
      </w:r>
      <w:r>
        <w:rPr>
          <w:rFonts w:hint="eastAsia"/>
          <w:color w:val="000000"/>
          <w:lang w:eastAsia="zh-CN"/>
        </w:rPr>
        <w:t>）</w:t>
      </w:r>
      <w:bookmarkEnd w:id="102"/>
    </w:p>
    <w:p>
      <w:pPr>
        <w:pStyle w:val="21"/>
        <w:ind w:firstLine="0"/>
        <w:rPr>
          <w:rStyle w:val="20"/>
          <w:rFonts w:hint="default" w:ascii="宋体" w:hAnsi="宋体" w:eastAsia="宋体" w:cs="宋体"/>
          <w:color w:val="000000"/>
          <w:sz w:val="28"/>
          <w:szCs w:val="28"/>
          <w:lang w:val="en-US" w:eastAsia="zh-CN"/>
        </w:rPr>
      </w:pPr>
      <w:r>
        <w:rPr>
          <w:rStyle w:val="20"/>
          <w:rFonts w:hint="eastAsia" w:ascii="宋体" w:hAnsi="宋体" w:eastAsia="宋体" w:cs="宋体"/>
          <w:color w:val="000000"/>
          <w:sz w:val="28"/>
          <w:szCs w:val="28"/>
        </w:rPr>
        <w:t>本节评审设</w:t>
      </w:r>
      <w:r>
        <w:rPr>
          <w:rStyle w:val="20"/>
          <w:rFonts w:hint="eastAsia" w:ascii="宋体" w:hAnsi="宋体" w:cs="宋体"/>
          <w:color w:val="000000"/>
          <w:sz w:val="28"/>
          <w:szCs w:val="28"/>
          <w:lang w:val="en-US" w:eastAsia="zh-CN"/>
        </w:rPr>
        <w:t>12</w:t>
      </w:r>
      <w:r>
        <w:rPr>
          <w:rStyle w:val="20"/>
          <w:rFonts w:hint="eastAsia" w:ascii="宋体" w:hAnsi="宋体" w:eastAsia="宋体" w:cs="宋体"/>
          <w:color w:val="000000"/>
          <w:sz w:val="28"/>
          <w:szCs w:val="28"/>
        </w:rPr>
        <w:t>条</w:t>
      </w:r>
      <w:r>
        <w:rPr>
          <w:rStyle w:val="20"/>
          <w:rFonts w:hint="eastAsia" w:ascii="宋体" w:hAnsi="宋体" w:eastAsia="宋体" w:cs="宋体"/>
          <w:color w:val="000000"/>
          <w:sz w:val="28"/>
          <w:szCs w:val="28"/>
          <w:lang w:val="en-US" w:eastAsia="zh-CN"/>
        </w:rPr>
        <w:t>1</w:t>
      </w:r>
      <w:r>
        <w:rPr>
          <w:rStyle w:val="20"/>
          <w:rFonts w:hint="eastAsia" w:ascii="宋体" w:hAnsi="宋体" w:cs="宋体"/>
          <w:color w:val="000000"/>
          <w:sz w:val="28"/>
          <w:szCs w:val="28"/>
          <w:lang w:val="en-US" w:eastAsia="zh-CN"/>
        </w:rPr>
        <w:t>2</w:t>
      </w:r>
      <w:r>
        <w:rPr>
          <w:rStyle w:val="20"/>
          <w:rFonts w:hint="eastAsia" w:ascii="宋体" w:hAnsi="宋体" w:eastAsia="宋体" w:cs="宋体"/>
          <w:color w:val="000000"/>
          <w:sz w:val="28"/>
          <w:szCs w:val="28"/>
        </w:rPr>
        <w:t>个指标，共</w:t>
      </w:r>
      <w:r>
        <w:rPr>
          <w:rStyle w:val="20"/>
          <w:rFonts w:hint="eastAsia" w:ascii="宋体" w:hAnsi="宋体" w:cs="宋体"/>
          <w:color w:val="000000"/>
          <w:sz w:val="28"/>
          <w:szCs w:val="28"/>
          <w:lang w:val="en-US" w:eastAsia="zh-CN"/>
        </w:rPr>
        <w:t>72</w:t>
      </w:r>
      <w:r>
        <w:rPr>
          <w:rStyle w:val="20"/>
          <w:rFonts w:hint="eastAsia" w:ascii="宋体" w:hAnsi="宋体" w:eastAsia="宋体" w:cs="宋体"/>
          <w:color w:val="000000"/>
          <w:sz w:val="28"/>
          <w:szCs w:val="28"/>
        </w:rPr>
        <w:t>分。</w:t>
      </w:r>
      <w:r>
        <w:rPr>
          <w:rStyle w:val="20"/>
          <w:rFonts w:hint="eastAsia" w:ascii="宋体" w:hAnsi="宋体" w:eastAsia="宋体" w:cs="宋体"/>
          <w:color w:val="000000"/>
          <w:sz w:val="28"/>
          <w:szCs w:val="28"/>
          <w:lang w:val="en-US" w:eastAsia="zh-CN"/>
        </w:rPr>
        <w:t>加分项</w:t>
      </w:r>
      <w:r>
        <w:rPr>
          <w:rStyle w:val="20"/>
          <w:rFonts w:hint="eastAsia" w:ascii="宋体" w:hAnsi="宋体" w:cs="宋体"/>
          <w:color w:val="000000"/>
          <w:sz w:val="28"/>
          <w:szCs w:val="28"/>
          <w:lang w:val="en-US" w:eastAsia="zh-CN"/>
        </w:rPr>
        <w:t>1</w:t>
      </w:r>
      <w:r>
        <w:rPr>
          <w:rStyle w:val="20"/>
          <w:rFonts w:hint="eastAsia" w:ascii="宋体" w:hAnsi="宋体" w:eastAsia="宋体" w:cs="宋体"/>
          <w:color w:val="000000"/>
          <w:sz w:val="28"/>
          <w:szCs w:val="28"/>
          <w:lang w:val="en-US" w:eastAsia="zh-CN"/>
        </w:rPr>
        <w:t>个，共</w:t>
      </w:r>
      <w:r>
        <w:rPr>
          <w:rStyle w:val="20"/>
          <w:rFonts w:hint="eastAsia" w:ascii="宋体" w:hAnsi="宋体" w:cs="宋体"/>
          <w:color w:val="000000"/>
          <w:sz w:val="28"/>
          <w:szCs w:val="28"/>
          <w:lang w:val="en-US" w:eastAsia="zh-CN"/>
        </w:rPr>
        <w:t>3</w:t>
      </w:r>
      <w:r>
        <w:rPr>
          <w:rStyle w:val="20"/>
          <w:rFonts w:hint="eastAsia" w:ascii="宋体" w:hAnsi="宋体" w:eastAsia="宋体" w:cs="宋体"/>
          <w:color w:val="000000"/>
          <w:sz w:val="28"/>
          <w:szCs w:val="28"/>
          <w:lang w:val="en-US" w:eastAsia="zh-CN"/>
        </w:rPr>
        <w:t>分。</w:t>
      </w:r>
    </w:p>
    <w:tbl>
      <w:tblPr>
        <w:tblStyle w:val="14"/>
        <w:tblW w:w="10143" w:type="dxa"/>
        <w:jc w:val="center"/>
        <w:tblLayout w:type="fixed"/>
        <w:tblCellMar>
          <w:top w:w="0" w:type="dxa"/>
          <w:left w:w="0" w:type="dxa"/>
          <w:bottom w:w="0" w:type="dxa"/>
          <w:right w:w="0" w:type="dxa"/>
        </w:tblCellMar>
      </w:tblPr>
      <w:tblGrid>
        <w:gridCol w:w="2671"/>
        <w:gridCol w:w="3043"/>
        <w:gridCol w:w="1459"/>
        <w:gridCol w:w="600"/>
        <w:gridCol w:w="2370"/>
      </w:tblGrid>
      <w:tr>
        <w:tblPrEx>
          <w:tblCellMar>
            <w:top w:w="0" w:type="dxa"/>
            <w:left w:w="0" w:type="dxa"/>
            <w:bottom w:w="0" w:type="dxa"/>
            <w:right w:w="0" w:type="dxa"/>
          </w:tblCellMar>
        </w:tblPrEx>
        <w:trPr>
          <w:trHeight w:val="573" w:hRule="atLeast"/>
          <w:tblHeader/>
          <w:jc w:val="center"/>
        </w:trPr>
        <w:tc>
          <w:tcPr>
            <w:tcW w:w="2671"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监测指标</w:t>
            </w:r>
          </w:p>
        </w:tc>
        <w:tc>
          <w:tcPr>
            <w:tcW w:w="3043"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计算方法</w:t>
            </w:r>
          </w:p>
        </w:tc>
        <w:tc>
          <w:tcPr>
            <w:tcW w:w="1459"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lang w:val="en-US" w:eastAsia="zh-CN"/>
              </w:rPr>
              <w:t>指标设定</w:t>
            </w:r>
          </w:p>
        </w:tc>
        <w:tc>
          <w:tcPr>
            <w:tcW w:w="600"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分值</w:t>
            </w:r>
          </w:p>
        </w:tc>
        <w:tc>
          <w:tcPr>
            <w:tcW w:w="2370"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1417"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2.1.1</w:t>
            </w:r>
          </w:p>
          <w:p>
            <w:pPr>
              <w:pStyle w:val="25"/>
              <w:spacing w:line="320" w:lineRule="exact"/>
              <w:ind w:left="105" w:leftChars="50" w:right="105" w:rightChars="50"/>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sz w:val="24"/>
                <w:szCs w:val="24"/>
                <w:highlight w:val="none"/>
              </w:rPr>
              <w:t>收治</w:t>
            </w:r>
            <w:r>
              <w:rPr>
                <w:rFonts w:hint="eastAsia" w:ascii="仿宋_GB2312" w:hAnsi="仿宋_GB2312" w:eastAsia="仿宋_GB2312" w:cs="仿宋_GB2312"/>
                <w:color w:val="000000"/>
                <w:sz w:val="24"/>
                <w:szCs w:val="24"/>
                <w:highlight w:val="none"/>
                <w:lang w:val="en-US" w:eastAsia="zh-CN"/>
              </w:rPr>
              <w:t>皮肤专科</w:t>
            </w:r>
            <w:r>
              <w:rPr>
                <w:rFonts w:hint="eastAsia" w:ascii="仿宋_GB2312" w:hAnsi="仿宋_GB2312" w:eastAsia="仿宋_GB2312" w:cs="仿宋_GB2312"/>
                <w:color w:val="000000"/>
                <w:sz w:val="24"/>
                <w:szCs w:val="24"/>
                <w:highlight w:val="none"/>
              </w:rPr>
              <w:t>病种数量（ICD-10四位</w:t>
            </w:r>
            <w:r>
              <w:rPr>
                <w:rFonts w:hint="eastAsia" w:ascii="仿宋_GB2312" w:hAnsi="仿宋_GB2312" w:eastAsia="仿宋_GB2312" w:cs="仿宋_GB2312"/>
                <w:color w:val="000000"/>
                <w:sz w:val="24"/>
                <w:szCs w:val="24"/>
                <w:highlight w:val="none"/>
                <w:lang w:val="en-US" w:eastAsia="zh-CN"/>
              </w:rPr>
              <w:t>亚</w:t>
            </w:r>
            <w:r>
              <w:rPr>
                <w:rFonts w:hint="eastAsia" w:ascii="仿宋_GB2312" w:hAnsi="仿宋_GB2312" w:eastAsia="仿宋_GB2312" w:cs="仿宋_GB2312"/>
                <w:color w:val="000000"/>
                <w:sz w:val="24"/>
                <w:szCs w:val="24"/>
                <w:highlight w:val="none"/>
              </w:rPr>
              <w:t>目数量）</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根据ICD-10四位亚目，从病案首页中统计主要诊断数量</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0" w:type="dxa"/>
            <w:bottom w:w="0" w:type="dxa"/>
            <w:right w:w="0" w:type="dxa"/>
          </w:tblCellMar>
        </w:tblPrEx>
        <w:trPr>
          <w:trHeight w:val="1417"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2.1.2</w:t>
            </w:r>
          </w:p>
          <w:p>
            <w:pPr>
              <w:pStyle w:val="25"/>
              <w:spacing w:line="320" w:lineRule="exact"/>
              <w:ind w:left="105" w:leftChars="50" w:right="105" w:rightChars="50"/>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sz w:val="24"/>
                <w:szCs w:val="24"/>
                <w:highlight w:val="none"/>
              </w:rPr>
              <w:t>住院</w:t>
            </w:r>
            <w:r>
              <w:rPr>
                <w:rFonts w:hint="eastAsia" w:ascii="仿宋_GB2312" w:hAnsi="仿宋_GB2312" w:eastAsia="仿宋_GB2312" w:cs="仿宋_GB2312"/>
                <w:color w:val="000000"/>
                <w:sz w:val="24"/>
                <w:szCs w:val="24"/>
                <w:highlight w:val="none"/>
                <w:lang w:val="en-US" w:eastAsia="zh-CN"/>
              </w:rPr>
              <w:t>皮肤专科</w:t>
            </w:r>
            <w:r>
              <w:rPr>
                <w:rFonts w:hint="eastAsia" w:ascii="仿宋_GB2312" w:hAnsi="仿宋_GB2312" w:eastAsia="仿宋_GB2312" w:cs="仿宋_GB2312"/>
                <w:color w:val="000000"/>
                <w:sz w:val="24"/>
                <w:szCs w:val="24"/>
                <w:highlight w:val="none"/>
              </w:rPr>
              <w:t>术种数量（ICD-9-CM-3四位细目数量）</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从病案首页中统计手术</w:t>
            </w:r>
            <w:r>
              <w:rPr>
                <w:rFonts w:hint="eastAsia" w:ascii="仿宋_GB2312" w:hAnsi="仿宋_GB2312" w:eastAsia="仿宋_GB2312" w:cs="仿宋_GB2312"/>
                <w:color w:val="000000"/>
                <w:sz w:val="24"/>
                <w:szCs w:val="24"/>
                <w:lang w:val="en-US" w:eastAsia="zh-CN"/>
              </w:rPr>
              <w:t>术中</w:t>
            </w:r>
            <w:r>
              <w:rPr>
                <w:rFonts w:hint="eastAsia" w:ascii="仿宋_GB2312" w:hAnsi="仿宋_GB2312" w:eastAsia="仿宋_GB2312" w:cs="仿宋_GB2312"/>
                <w:color w:val="000000"/>
                <w:sz w:val="24"/>
                <w:szCs w:val="24"/>
              </w:rPr>
              <w:t>数量（ICD-9-CM-3）</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0" w:type="dxa"/>
            <w:bottom w:w="0" w:type="dxa"/>
            <w:right w:w="0" w:type="dxa"/>
          </w:tblCellMar>
        </w:tblPrEx>
        <w:trPr>
          <w:trHeight w:val="1417"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bookmarkStart w:id="103" w:name="_Toc15119"/>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2.1.3</w:t>
            </w:r>
          </w:p>
          <w:p>
            <w:pPr>
              <w:spacing w:line="320" w:lineRule="exact"/>
              <w:ind w:left="105" w:leftChars="50" w:right="105" w:rightChars="50"/>
              <w:rPr>
                <w:rFonts w:hint="eastAsia" w:ascii="仿宋_GB2312" w:hAnsi="仿宋_GB2312" w:eastAsia="仿宋_GB2312" w:cs="仿宋_GB2312"/>
                <w:color w:val="000000"/>
                <w:sz w:val="24"/>
                <w:szCs w:val="24"/>
                <w:highlight w:val="none"/>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医院亚专科设置数</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医院亚专科设置数量（包括但不限于皮肤内科、性病科、外科、美容皮肤科、中西医结合科等）</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0" w:type="dxa"/>
            <w:bottom w:w="0" w:type="dxa"/>
            <w:right w:w="0" w:type="dxa"/>
          </w:tblCellMar>
        </w:tblPrEx>
        <w:trPr>
          <w:trHeight w:val="1417"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2.1.4</w:t>
            </w:r>
          </w:p>
          <w:p>
            <w:pPr>
              <w:spacing w:line="320" w:lineRule="exact"/>
              <w:ind w:left="105" w:leftChars="50" w:right="105" w:rightChars="50"/>
              <w:rPr>
                <w:rFonts w:hint="eastAsia" w:ascii="仿宋_GB2312" w:hAnsi="仿宋_GB2312" w:eastAsia="仿宋_GB2312" w:cs="仿宋_GB2312"/>
                <w:color w:val="000000"/>
                <w:sz w:val="24"/>
                <w:szCs w:val="24"/>
                <w:highlight w:val="none"/>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医技辅助科室设置数</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医技辅助科室设置数量〔包括但不限于药剂科（含制剂室）、检验科、病理科、影像科、康复理疗科、手术室等〕</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kern w:val="2"/>
                <w:sz w:val="24"/>
                <w:szCs w:val="24"/>
                <w:lang w:val="en-US" w:eastAsia="zh-CN" w:bidi="ar-SA"/>
              </w:rPr>
              <w:t>监测达标</w:t>
            </w:r>
          </w:p>
        </w:tc>
      </w:tr>
      <w:tr>
        <w:tblPrEx>
          <w:tblCellMar>
            <w:top w:w="0" w:type="dxa"/>
            <w:left w:w="0" w:type="dxa"/>
            <w:bottom w:w="0" w:type="dxa"/>
            <w:right w:w="0" w:type="dxa"/>
          </w:tblCellMar>
        </w:tblPrEx>
        <w:trPr>
          <w:trHeight w:val="4388"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2.1.5</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皮肤专科疑难危重疾病门诊接诊率</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皮肤专科疑难危重疾病〔①大疱病（天疱疮、类天疱疮）②皮肤恶性肿瘤（皮肤淋巴瘤、鳞状细胞癌、基底细胞癌、黑色素瘤）③结缔组织疾病（红斑狼疮、皮肌炎、硬皮病）④重症药疹 ⑤脓疱/关节型银屑病 ⑥红皮病 ⑦危及生命的特殊感染性皮肤病〕每年门诊接诊人次/皮肤专科年门诊总人次</w:t>
            </w:r>
            <w:r>
              <w:rPr>
                <w:rFonts w:hint="eastAsia" w:ascii="仿宋_GB2312" w:hAnsi="仿宋_GB2312" w:eastAsia="仿宋_GB2312" w:cs="仿宋_GB2312"/>
                <w:color w:val="000000"/>
                <w:sz w:val="24"/>
                <w:szCs w:val="24"/>
                <w:lang w:val="en-US" w:eastAsia="zh-Hans"/>
              </w:rPr>
              <w:t>×100%</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监测比较，</w:t>
            </w:r>
          </w:p>
          <w:p>
            <w:pPr>
              <w:spacing w:line="320" w:lineRule="exact"/>
              <w:ind w:left="105" w:leftChars="50" w:right="105" w:rightChars="50"/>
              <w:jc w:val="center"/>
              <w:rPr>
                <w:rFonts w:hint="default"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2"/>
                <w:sz w:val="24"/>
                <w:szCs w:val="24"/>
                <w:lang w:val="en-US" w:eastAsia="zh-CN" w:bidi="ar-SA"/>
              </w:rPr>
              <w:t>逐步提高。</w:t>
            </w:r>
          </w:p>
        </w:tc>
      </w:tr>
      <w:tr>
        <w:tblPrEx>
          <w:tblCellMar>
            <w:top w:w="0" w:type="dxa"/>
            <w:left w:w="0" w:type="dxa"/>
            <w:bottom w:w="0" w:type="dxa"/>
            <w:right w:w="0" w:type="dxa"/>
          </w:tblCellMar>
        </w:tblPrEx>
        <w:trPr>
          <w:trHeight w:val="5391"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2.1.6</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皮肤专科疑难危重疾病收治率</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Hans"/>
              </w:rPr>
            </w:pPr>
            <w:r>
              <w:rPr>
                <w:rFonts w:hint="eastAsia" w:ascii="仿宋_GB2312" w:hAnsi="仿宋_GB2312" w:eastAsia="仿宋_GB2312" w:cs="仿宋_GB2312"/>
                <w:color w:val="000000"/>
                <w:sz w:val="24"/>
                <w:szCs w:val="24"/>
                <w:lang w:val="en-US" w:eastAsia="zh-CN"/>
              </w:rPr>
              <w:t>皮肤专科疑难危重疾病〔①大疱病（天疱疮、类天疱疮）②皮肤恶性肿瘤（皮肤淋巴瘤、鳞状细胞癌、基底细胞癌、黑色素瘤）③结缔组织疾病（红斑狼疮、皮肌炎、硬皮病）④重症药疹（Steven-Johnson综合征，TEN，红皮病，药物超敏综合征，发疹性药疹合并系统损害）⑤脓疱/关节型银屑病 ⑥红皮病 ⑦危及生命的特殊感染性皮肤病〕每年收治住院人次/皮肤专科年收治住院总人次</w:t>
            </w:r>
            <w:r>
              <w:rPr>
                <w:rFonts w:hint="eastAsia" w:ascii="仿宋_GB2312" w:hAnsi="仿宋_GB2312" w:eastAsia="仿宋_GB2312" w:cs="仿宋_GB2312"/>
                <w:color w:val="000000"/>
                <w:sz w:val="24"/>
                <w:szCs w:val="24"/>
                <w:lang w:val="en-US" w:eastAsia="zh-Hans"/>
              </w:rPr>
              <w:t>×100%</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监测比较，</w:t>
            </w:r>
          </w:p>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2"/>
                <w:sz w:val="24"/>
                <w:szCs w:val="24"/>
                <w:lang w:val="en-US" w:eastAsia="zh-CN" w:bidi="ar-SA"/>
              </w:rPr>
              <w:t>逐步提高。</w:t>
            </w:r>
          </w:p>
        </w:tc>
      </w:tr>
      <w:tr>
        <w:tblPrEx>
          <w:tblCellMar>
            <w:top w:w="0" w:type="dxa"/>
            <w:left w:w="0" w:type="dxa"/>
            <w:bottom w:w="0" w:type="dxa"/>
            <w:right w:w="0" w:type="dxa"/>
          </w:tblCellMar>
        </w:tblPrEx>
        <w:trPr>
          <w:trHeight w:val="2314"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2.1.7</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住院患者重点监测病种覆盖率</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重点监测病种出院人数/同期出院人数×100%</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4160"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2.1.8</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皮肤专科操作技术项目开展数</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皮肤专科操作技术项目开展数量（包括但不限于①疱病清创术 ②表皮移植术 ③皮损内注射 ④液氮冷冻术 ⑤红外线/半导体激光/微波治疗/短波治疗技术 ⑥皮肤病紫外线光疗或光化学疗法（UVB/PUVA） ⑦ 二氧化碳激光治疗技术⑧皮肤病水疗等）</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3352"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2.1.9</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中西医结合科皮肤专科操作技术项目开展数</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中西医结合科皮肤专科操作技术项目开展数量 (包括但不限于①梅花针疗法 ②药线点灸 ③中药熏洗 ④普通针刺 ⑤穴位注射 ⑥火针 ⑦自血疗法 ⑧拔罐疗法等) </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4481"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2.1.10</w:t>
            </w:r>
          </w:p>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外科操作技术项目开展数</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外科操作技术项目开展数量（包括但不限于①皮肤活检术 ②浅表肿物切除术 ③Mohs外科手术 ④皮肤瘢痕畸形矫正术 ⑤皮肤溃疡清创术 ⑥皮片移植术 ⑦皮瓣修复技术⑧腋臭清除术⑨指甲成形术⑩毛发移植等）</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5082"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2.1.11</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美容皮肤科操作技术项目开展数</w:t>
            </w:r>
          </w:p>
        </w:tc>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美容皮肤科操作技术项目开展数量（包括但不限于①无创皮肤检测 ②红蓝光治疗 ③色素性疾病激光治疗技术 ④点阵激光治疗 ⑤血管性皮肤病激光治疗技术 ⑥强脉冲光治疗 ⑦脱毛激光治疗技术 ⑧308nm准分子光（激光）治疗技术 ⑨其他皮肤美容激光技术（射频、超声等）⑩化学剥脱治疗 </w:t>
            </w:r>
            <w:r>
              <w:rPr>
                <w:rFonts w:hint="eastAsia" w:ascii="仿宋_GB2312" w:hAnsi="仿宋_GB2312" w:eastAsia="仿宋_GB2312" w:cs="仿宋_GB2312"/>
                <w:b w:val="0"/>
                <w:bCs w:val="0"/>
                <w:color w:val="000000"/>
                <w:sz w:val="24"/>
                <w:szCs w:val="24"/>
                <w:lang w:val="en-US" w:eastAsia="zh-CN"/>
              </w:rPr>
              <w:t>⑪</w:t>
            </w:r>
            <w:r>
              <w:rPr>
                <w:rFonts w:hint="eastAsia" w:ascii="仿宋_GB2312" w:hAnsi="仿宋_GB2312" w:eastAsia="仿宋_GB2312" w:cs="仿宋_GB2312"/>
                <w:color w:val="000000"/>
                <w:sz w:val="24"/>
                <w:szCs w:val="24"/>
                <w:lang w:val="en-US" w:eastAsia="zh-CN"/>
              </w:rPr>
              <w:t>注射美容治疗等）</w:t>
            </w:r>
          </w:p>
        </w:tc>
        <w:tc>
          <w:tcPr>
            <w:tcW w:w="1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3166" w:hRule="atLeast"/>
          <w:jc w:val="center"/>
        </w:trPr>
        <w:tc>
          <w:tcPr>
            <w:tcW w:w="2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4"/>
              <w:spacing w:line="240" w:lineRule="auto"/>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2.1.12</w:t>
            </w:r>
          </w:p>
          <w:p>
            <w:pPr>
              <w:pStyle w:val="24"/>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性病基本检测项目开展数</w:t>
            </w:r>
          </w:p>
        </w:tc>
        <w:tc>
          <w:tcPr>
            <w:tcW w:w="30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ind w:left="0" w:leftChars="0" w:firstLine="0" w:firstLine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性病基本检测项目开展数量（包括但不限于①梅毒检验 ②尖锐湿疣检验 ③生殖器疱疹检验 ④淋病检验 ⑤衣原体生殖道感染检验 ⑥HIV检测等）</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定量指标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3142" w:hRule="atLeast"/>
          <w:jc w:val="center"/>
        </w:trPr>
        <w:tc>
          <w:tcPr>
            <w:tcW w:w="2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both"/>
              <w:textAlignment w:val="center"/>
              <w:rPr>
                <w:rFonts w:hint="default" w:ascii="仿宋_GB2312" w:eastAsia="仿宋_GB2312" w:cs="仿宋_GB2312"/>
                <w:color w:val="000000"/>
                <w:sz w:val="24"/>
                <w:szCs w:val="24"/>
                <w:lang w:val="en-US" w:eastAsia="zh-CN" w:bidi="ar"/>
              </w:rPr>
            </w:pPr>
            <w:r>
              <w:rPr>
                <w:rFonts w:hint="eastAsia" w:ascii="仿宋_GB2312" w:eastAsia="仿宋_GB2312" w:cs="仿宋_GB2312"/>
                <w:color w:val="000000"/>
                <w:sz w:val="24"/>
                <w:szCs w:val="24"/>
                <w:lang w:bidi="ar"/>
              </w:rPr>
              <w:t>2.1.1</w:t>
            </w:r>
            <w:r>
              <w:rPr>
                <w:rFonts w:hint="eastAsia" w:ascii="仿宋_GB2312" w:eastAsia="仿宋_GB2312" w:cs="仿宋_GB2312"/>
                <w:color w:val="000000"/>
                <w:sz w:val="24"/>
                <w:szCs w:val="24"/>
                <w:lang w:val="en-US" w:eastAsia="zh-CN" w:bidi="ar"/>
              </w:rPr>
              <w:t>3</w:t>
            </w:r>
          </w:p>
          <w:p>
            <w:pPr>
              <w:widowControl/>
              <w:jc w:val="both"/>
              <w:textAlignment w:val="center"/>
              <w:rPr>
                <w:rFonts w:hint="eastAsia" w:ascii="仿宋_GB2312" w:hAnsi="Calibri" w:eastAsia="仿宋_GB2312" w:cs="仿宋_GB2312"/>
                <w:color w:val="000000"/>
                <w:kern w:val="2"/>
                <w:sz w:val="24"/>
                <w:szCs w:val="24"/>
                <w:lang w:val="en-US" w:eastAsia="zh-CN" w:bidi="ar-SA"/>
              </w:rPr>
            </w:pPr>
            <w:r>
              <w:rPr>
                <w:rFonts w:hint="eastAsia" w:ascii="仿宋_GB2312" w:eastAsia="仿宋_GB2312" w:cs="仿宋_GB2312"/>
                <w:color w:val="000000"/>
                <w:sz w:val="24"/>
                <w:szCs w:val="24"/>
                <w:lang w:bidi="ar"/>
              </w:rPr>
              <w:t>获自治区重点专科数量</w:t>
            </w:r>
          </w:p>
        </w:tc>
        <w:tc>
          <w:tcPr>
            <w:tcW w:w="30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Calibri" w:eastAsia="仿宋_GB2312" w:cs="仿宋_GB2312"/>
                <w:color w:val="000000"/>
                <w:kern w:val="2"/>
                <w:sz w:val="24"/>
                <w:szCs w:val="24"/>
                <w:lang w:val="en-US" w:eastAsia="zh-CN" w:bidi="ar-SA"/>
              </w:rPr>
            </w:pPr>
            <w:r>
              <w:rPr>
                <w:rFonts w:hint="eastAsia" w:ascii="仿宋_GB2312" w:eastAsia="仿宋_GB2312" w:cs="仿宋_GB2312"/>
                <w:color w:val="000000"/>
                <w:sz w:val="24"/>
                <w:szCs w:val="24"/>
                <w:lang w:bidi="ar"/>
              </w:rPr>
              <w:t>累计数</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both"/>
              <w:textAlignment w:val="center"/>
              <w:rPr>
                <w:rFonts w:hint="eastAsia" w:ascii="仿宋_GB2312" w:hAnsi="Calibri" w:eastAsia="仿宋_GB2312" w:cs="仿宋_GB2312"/>
                <w:color w:val="000000"/>
                <w:kern w:val="2"/>
                <w:sz w:val="24"/>
                <w:szCs w:val="24"/>
                <w:lang w:val="en-US" w:eastAsia="zh-CN" w:bidi="ar-SA"/>
              </w:rPr>
            </w:pPr>
            <w:r>
              <w:rPr>
                <w:rFonts w:hint="eastAsia" w:ascii="仿宋_GB2312" w:eastAsia="仿宋_GB2312" w:cs="仿宋_GB2312"/>
                <w:color w:val="000000"/>
                <w:sz w:val="24"/>
                <w:szCs w:val="24"/>
                <w:lang w:bidi="ar"/>
              </w:rPr>
              <w:t>每1个加1分，累计不超过3分</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Calibri" w:eastAsia="仿宋_GB2312" w:cs="仿宋_GB2312"/>
                <w:color w:val="000000"/>
                <w:kern w:val="2"/>
                <w:sz w:val="24"/>
                <w:szCs w:val="24"/>
                <w:lang w:val="en-US" w:eastAsia="zh-CN" w:bidi="ar-SA"/>
              </w:rPr>
            </w:pPr>
            <w:r>
              <w:rPr>
                <w:rFonts w:hint="eastAsia" w:ascii="仿宋_GB2312" w:eastAsia="仿宋_GB2312" w:cs="仿宋_GB2312"/>
                <w:color w:val="000000"/>
                <w:sz w:val="24"/>
                <w:szCs w:val="24"/>
                <w:lang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Calibri" w:eastAsia="仿宋_GB2312" w:cs="仿宋_GB2312"/>
                <w:color w:val="000000"/>
                <w:kern w:val="2"/>
                <w:sz w:val="24"/>
                <w:szCs w:val="24"/>
                <w:lang w:val="en-US" w:eastAsia="zh-CN" w:bidi="ar-SA"/>
              </w:rPr>
            </w:pPr>
            <w:r>
              <w:rPr>
                <w:rFonts w:hint="eastAsia" w:ascii="仿宋_GB2312" w:eastAsia="仿宋_GB2312" w:cs="仿宋_GB2312"/>
                <w:color w:val="000000"/>
                <w:sz w:val="24"/>
                <w:szCs w:val="24"/>
                <w:lang w:bidi="ar"/>
              </w:rPr>
              <w:t>加分项</w:t>
            </w:r>
          </w:p>
        </w:tc>
      </w:tr>
    </w:tbl>
    <w:p>
      <w:pPr>
        <w:rPr>
          <w:rFonts w:hint="default"/>
          <w:color w:val="000000"/>
        </w:rPr>
      </w:pPr>
    </w:p>
    <w:p>
      <w:pPr>
        <w:rPr>
          <w:rFonts w:hint="default"/>
          <w:color w:val="000000"/>
        </w:rPr>
      </w:pPr>
    </w:p>
    <w:p>
      <w:pPr>
        <w:pStyle w:val="5"/>
        <w:bidi w:val="0"/>
        <w:rPr>
          <w:rFonts w:hint="eastAsia"/>
          <w:color w:val="000000"/>
          <w:lang w:val="en-US" w:eastAsia="zh-CN"/>
        </w:rPr>
      </w:pPr>
      <w:bookmarkStart w:id="104" w:name="_Toc88136164"/>
    </w:p>
    <w:p>
      <w:pPr>
        <w:rPr>
          <w:rFonts w:hint="eastAsia"/>
          <w:color w:val="000000"/>
          <w:lang w:val="en-US" w:eastAsia="zh-CN"/>
        </w:rPr>
      </w:pPr>
    </w:p>
    <w:p>
      <w:pPr>
        <w:rPr>
          <w:rFonts w:hint="eastAsia"/>
          <w:color w:val="000000"/>
          <w:lang w:val="en-US" w:eastAsia="zh-CN"/>
        </w:rPr>
      </w:pPr>
    </w:p>
    <w:p>
      <w:pPr>
        <w:pStyle w:val="5"/>
        <w:bidi w:val="0"/>
        <w:rPr>
          <w:rFonts w:hint="eastAsia"/>
          <w:color w:val="000000"/>
          <w:lang w:eastAsia="zh-CN"/>
        </w:rPr>
      </w:pPr>
      <w:bookmarkStart w:id="105" w:name="_Toc26286"/>
      <w:r>
        <w:rPr>
          <w:rFonts w:hint="eastAsia"/>
          <w:color w:val="000000"/>
          <w:lang w:val="en-US" w:eastAsia="zh-CN"/>
        </w:rPr>
        <w:t>二</w:t>
      </w:r>
      <w:r>
        <w:rPr>
          <w:rFonts w:hint="eastAsia"/>
          <w:color w:val="000000"/>
        </w:rPr>
        <w:t>、</w:t>
      </w:r>
      <w:r>
        <w:rPr>
          <w:rFonts w:hint="eastAsia"/>
          <w:color w:val="000000"/>
          <w:lang w:val="en-US" w:eastAsia="zh-CN"/>
        </w:rPr>
        <w:t>医院</w:t>
      </w:r>
      <w:r>
        <w:rPr>
          <w:rFonts w:hint="eastAsia"/>
          <w:color w:val="000000"/>
        </w:rPr>
        <w:t>质量指标</w:t>
      </w:r>
      <w:bookmarkEnd w:id="103"/>
      <w:bookmarkEnd w:id="104"/>
      <w:r>
        <w:rPr>
          <w:rFonts w:hint="eastAsia"/>
          <w:color w:val="000000"/>
          <w:lang w:eastAsia="zh-CN"/>
        </w:rPr>
        <w:t>（</w:t>
      </w:r>
      <w:r>
        <w:rPr>
          <w:rFonts w:hint="eastAsia"/>
          <w:color w:val="000000"/>
          <w:lang w:val="en-US" w:eastAsia="zh-CN"/>
        </w:rPr>
        <w:t>52分</w:t>
      </w:r>
      <w:r>
        <w:rPr>
          <w:rFonts w:hint="eastAsia"/>
          <w:color w:val="000000"/>
          <w:lang w:eastAsia="zh-CN"/>
        </w:rPr>
        <w:t>）</w:t>
      </w:r>
      <w:bookmarkEnd w:id="105"/>
    </w:p>
    <w:p>
      <w:pPr>
        <w:pStyle w:val="21"/>
        <w:keepNext w:val="0"/>
        <w:keepLines w:val="0"/>
        <w:pageBreakBefore w:val="0"/>
        <w:widowControl w:val="0"/>
        <w:kinsoku/>
        <w:wordWrap/>
        <w:overflowPunct/>
        <w:topLinePunct w:val="0"/>
        <w:autoSpaceDE/>
        <w:autoSpaceDN/>
        <w:bidi w:val="0"/>
        <w:adjustRightInd/>
        <w:snapToGrid/>
        <w:spacing w:line="500" w:lineRule="exact"/>
        <w:ind w:firstLine="0"/>
        <w:textAlignment w:val="auto"/>
        <w:rPr>
          <w:rStyle w:val="20"/>
          <w:rFonts w:hint="eastAsia" w:ascii="仿宋_GB2312" w:hAnsi="仿宋_GB2312" w:cs="仿宋_GB2312"/>
          <w:color w:val="000000"/>
          <w:sz w:val="28"/>
          <w:szCs w:val="28"/>
        </w:rPr>
      </w:pPr>
      <w:r>
        <w:rPr>
          <w:rStyle w:val="20"/>
          <w:rFonts w:hint="eastAsia" w:ascii="仿宋_GB2312" w:hAnsi="仿宋_GB2312" w:cs="仿宋_GB2312"/>
          <w:color w:val="000000"/>
          <w:sz w:val="28"/>
          <w:szCs w:val="28"/>
        </w:rPr>
        <w:t>本节评审设</w:t>
      </w:r>
      <w:r>
        <w:rPr>
          <w:rStyle w:val="20"/>
          <w:rFonts w:hint="eastAsia" w:ascii="仿宋_GB2312" w:hAnsi="仿宋_GB2312" w:cs="仿宋_GB2312"/>
          <w:color w:val="000000"/>
          <w:sz w:val="28"/>
          <w:szCs w:val="28"/>
          <w:lang w:val="en-US" w:eastAsia="zh-CN"/>
        </w:rPr>
        <w:t>9</w:t>
      </w:r>
      <w:r>
        <w:rPr>
          <w:rStyle w:val="20"/>
          <w:rFonts w:hint="eastAsia" w:ascii="仿宋_GB2312" w:hAnsi="仿宋_GB2312" w:cs="仿宋_GB2312"/>
          <w:color w:val="000000"/>
          <w:sz w:val="28"/>
          <w:szCs w:val="28"/>
        </w:rPr>
        <w:t>条</w:t>
      </w:r>
      <w:r>
        <w:rPr>
          <w:rStyle w:val="20"/>
          <w:rFonts w:hint="eastAsia" w:ascii="仿宋_GB2312" w:hAnsi="仿宋_GB2312" w:cs="仿宋_GB2312"/>
          <w:color w:val="000000"/>
          <w:sz w:val="28"/>
          <w:szCs w:val="28"/>
          <w:lang w:val="en-US" w:eastAsia="zh-CN"/>
        </w:rPr>
        <w:t>9</w:t>
      </w:r>
      <w:r>
        <w:rPr>
          <w:rStyle w:val="20"/>
          <w:rFonts w:hint="eastAsia" w:ascii="仿宋_GB2312" w:hAnsi="仿宋_GB2312" w:cs="仿宋_GB2312"/>
          <w:color w:val="000000"/>
          <w:sz w:val="28"/>
          <w:szCs w:val="28"/>
        </w:rPr>
        <w:t>个指标，均为数据评审指标，共</w:t>
      </w:r>
      <w:r>
        <w:rPr>
          <w:rStyle w:val="20"/>
          <w:rFonts w:hint="eastAsia" w:ascii="仿宋_GB2312" w:hAnsi="仿宋_GB2312" w:cs="仿宋_GB2312"/>
          <w:color w:val="000000"/>
          <w:sz w:val="28"/>
          <w:szCs w:val="28"/>
          <w:lang w:val="en-US" w:eastAsia="zh-CN"/>
        </w:rPr>
        <w:t>52</w:t>
      </w:r>
      <w:r>
        <w:rPr>
          <w:rStyle w:val="20"/>
          <w:rFonts w:hint="eastAsia" w:ascii="仿宋_GB2312" w:hAnsi="仿宋_GB2312" w:cs="仿宋_GB2312"/>
          <w:color w:val="000000"/>
          <w:sz w:val="28"/>
          <w:szCs w:val="28"/>
        </w:rPr>
        <w:t>分。</w:t>
      </w:r>
    </w:p>
    <w:tbl>
      <w:tblPr>
        <w:tblStyle w:val="1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40"/>
        <w:gridCol w:w="3043"/>
        <w:gridCol w:w="1210"/>
        <w:gridCol w:w="70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blHeader/>
          <w:jc w:val="center"/>
        </w:trPr>
        <w:tc>
          <w:tcPr>
            <w:tcW w:w="2740" w:type="dxa"/>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监测指标</w:t>
            </w:r>
          </w:p>
        </w:tc>
        <w:tc>
          <w:tcPr>
            <w:tcW w:w="3043" w:type="dxa"/>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计算方法</w:t>
            </w:r>
          </w:p>
        </w:tc>
        <w:tc>
          <w:tcPr>
            <w:tcW w:w="1210" w:type="dxa"/>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lang w:val="en-US" w:eastAsia="zh-CN"/>
              </w:rPr>
              <w:t>指标设定</w:t>
            </w:r>
          </w:p>
        </w:tc>
        <w:tc>
          <w:tcPr>
            <w:tcW w:w="708" w:type="dxa"/>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分值</w:t>
            </w:r>
          </w:p>
        </w:tc>
        <w:tc>
          <w:tcPr>
            <w:tcW w:w="2379" w:type="dxa"/>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1" w:hRule="atLeast"/>
          <w:jc w:val="center"/>
        </w:trPr>
        <w:tc>
          <w:tcPr>
            <w:tcW w:w="274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color w:val="000000"/>
                <w:kern w:val="0"/>
                <w:sz w:val="24"/>
                <w:szCs w:val="24"/>
                <w:highlight w:val="none"/>
                <w:shd w:val="clear" w:color="auto" w:fill="FFFFFF"/>
              </w:rPr>
              <w:t>2.2.1</w:t>
            </w:r>
            <w:r>
              <w:rPr>
                <w:rFonts w:hint="eastAsia" w:ascii="仿宋_GB2312" w:hAnsi="仿宋_GB2312" w:eastAsia="仿宋_GB2312" w:cs="仿宋_GB2312"/>
                <w:color w:val="000000"/>
                <w:kern w:val="0"/>
                <w:sz w:val="24"/>
                <w:szCs w:val="24"/>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kern w:val="0"/>
                <w:sz w:val="24"/>
                <w:szCs w:val="24"/>
                <w:highlight w:val="none"/>
                <w:shd w:val="clear" w:color="auto" w:fill="FFFFFF"/>
                <w:lang w:val="en-US" w:eastAsia="zh-CN" w:bidi="ar-SA"/>
              </w:rPr>
            </w:pPr>
            <w:r>
              <w:rPr>
                <w:rFonts w:hint="eastAsia" w:ascii="仿宋_GB2312" w:hAnsi="仿宋_GB2312" w:eastAsia="仿宋_GB2312" w:cs="仿宋_GB2312"/>
                <w:color w:val="000000"/>
                <w:kern w:val="0"/>
                <w:sz w:val="24"/>
                <w:szCs w:val="24"/>
                <w:highlight w:val="none"/>
                <w:shd w:val="clear" w:color="auto" w:fill="FFFFFF"/>
              </w:rPr>
              <w:t>年度国家医疗质量安全目标（约每年10个）</w:t>
            </w:r>
          </w:p>
        </w:tc>
        <w:tc>
          <w:tcPr>
            <w:tcW w:w="304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kern w:val="0"/>
                <w:sz w:val="24"/>
                <w:szCs w:val="24"/>
                <w:highlight w:val="none"/>
                <w:shd w:val="clear" w:color="auto" w:fill="FFFFFF"/>
                <w:lang w:val="en-US" w:eastAsia="zh-CN" w:bidi="ar-SA"/>
              </w:rPr>
            </w:pPr>
            <w:r>
              <w:rPr>
                <w:rFonts w:hint="eastAsia" w:ascii="仿宋_GB2312" w:hAnsi="仿宋_GB2312" w:eastAsia="仿宋_GB2312" w:cs="仿宋_GB2312"/>
                <w:color w:val="000000"/>
                <w:kern w:val="0"/>
                <w:sz w:val="24"/>
                <w:szCs w:val="24"/>
                <w:highlight w:val="none"/>
                <w:shd w:val="clear" w:color="auto" w:fill="FFFFFF"/>
              </w:rPr>
              <w:t>按国家下达年度目标规定执行（与本细则已规定的监测指标有重复的及</w:t>
            </w:r>
            <w:r>
              <w:rPr>
                <w:rFonts w:hint="eastAsia" w:ascii="仿宋_GB2312" w:hAnsi="仿宋_GB2312" w:eastAsia="仿宋_GB2312" w:cs="仿宋_GB2312"/>
                <w:color w:val="000000"/>
                <w:kern w:val="0"/>
                <w:sz w:val="24"/>
                <w:szCs w:val="24"/>
                <w:highlight w:val="none"/>
                <w:shd w:val="clear" w:color="auto" w:fill="FFFFFF"/>
                <w:lang w:val="en-US" w:eastAsia="zh-CN"/>
              </w:rPr>
              <w:t>皮肤病</w:t>
            </w:r>
            <w:r>
              <w:rPr>
                <w:rFonts w:hint="eastAsia" w:ascii="仿宋_GB2312" w:hAnsi="仿宋_GB2312" w:eastAsia="仿宋_GB2312" w:cs="仿宋_GB2312"/>
                <w:color w:val="000000"/>
                <w:kern w:val="0"/>
                <w:sz w:val="24"/>
                <w:szCs w:val="24"/>
                <w:highlight w:val="none"/>
                <w:shd w:val="clear" w:color="auto" w:fill="FFFFFF"/>
              </w:rPr>
              <w:t>专科无法监测的专科指向性明确的指标，不纳入计算）</w:t>
            </w:r>
          </w:p>
        </w:tc>
        <w:tc>
          <w:tcPr>
            <w:tcW w:w="121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kern w:val="0"/>
                <w:sz w:val="24"/>
                <w:szCs w:val="24"/>
                <w:highlight w:val="none"/>
                <w:shd w:val="clear" w:color="auto" w:fill="FFFFFF"/>
                <w:lang w:val="en-US" w:eastAsia="zh-CN" w:bidi="ar-SA"/>
              </w:rPr>
            </w:pPr>
            <w:r>
              <w:rPr>
                <w:rFonts w:hint="eastAsia" w:ascii="仿宋_GB2312" w:hAnsi="仿宋_GB2312" w:eastAsia="仿宋_GB2312" w:cs="仿宋_GB2312"/>
                <w:color w:val="000000"/>
                <w:kern w:val="0"/>
                <w:sz w:val="24"/>
                <w:szCs w:val="24"/>
                <w:highlight w:val="none"/>
                <w:shd w:val="clear" w:color="auto" w:fill="FFFFFF"/>
              </w:rPr>
              <w:t>定量指标</w:t>
            </w:r>
          </w:p>
        </w:tc>
        <w:tc>
          <w:tcPr>
            <w:tcW w:w="70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kern w:val="0"/>
                <w:sz w:val="24"/>
                <w:szCs w:val="24"/>
                <w:highlight w:val="none"/>
                <w:shd w:val="clear" w:color="auto" w:fill="FFFFFF"/>
                <w:lang w:val="en-US" w:eastAsia="zh-CN" w:bidi="ar-SA"/>
              </w:rPr>
            </w:pPr>
            <w:r>
              <w:rPr>
                <w:rFonts w:hint="eastAsia" w:ascii="仿宋_GB2312" w:hAnsi="仿宋_GB2312" w:eastAsia="仿宋_GB2312" w:cs="仿宋_GB2312"/>
                <w:color w:val="000000"/>
                <w:kern w:val="0"/>
                <w:sz w:val="24"/>
                <w:szCs w:val="24"/>
                <w:highlight w:val="none"/>
                <w:shd w:val="clear" w:color="auto" w:fill="FFFFFF"/>
              </w:rPr>
              <w:t>20</w:t>
            </w:r>
          </w:p>
        </w:tc>
        <w:tc>
          <w:tcPr>
            <w:tcW w:w="237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kern w:val="0"/>
                <w:sz w:val="24"/>
                <w:szCs w:val="24"/>
                <w:highlight w:val="none"/>
                <w:shd w:val="clear" w:color="auto" w:fill="FFFFFF"/>
                <w:lang w:val="en-US" w:eastAsia="zh-CN" w:bidi="ar-SA"/>
              </w:rPr>
            </w:pPr>
            <w:r>
              <w:rPr>
                <w:rFonts w:hint="eastAsia" w:ascii="仿宋_GB2312" w:hAnsi="仿宋_GB2312" w:eastAsia="仿宋_GB2312" w:cs="仿宋_GB2312"/>
                <w:color w:val="000000"/>
                <w:kern w:val="0"/>
                <w:sz w:val="24"/>
                <w:szCs w:val="24"/>
                <w:highlight w:val="none"/>
                <w:shd w:val="clear" w:color="auto" w:fill="FFFFFF"/>
              </w:rPr>
              <w:t>分年度分目标监测达标。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1" w:hRule="atLeast"/>
          <w:jc w:val="center"/>
        </w:trPr>
        <w:tc>
          <w:tcPr>
            <w:tcW w:w="2740"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strike w:val="0"/>
                <w:dstrike w:val="0"/>
                <w:color w:val="000000"/>
                <w:sz w:val="24"/>
                <w:szCs w:val="24"/>
                <w:lang w:val="en-US" w:eastAsia="zh-CN"/>
              </w:rPr>
            </w:pPr>
            <w:r>
              <w:rPr>
                <w:rFonts w:hint="eastAsia" w:ascii="仿宋_GB2312" w:hAnsi="仿宋_GB2312" w:eastAsia="仿宋_GB2312" w:cs="仿宋_GB2312"/>
                <w:strike w:val="0"/>
                <w:dstrike w:val="0"/>
                <w:color w:val="000000"/>
                <w:sz w:val="24"/>
                <w:szCs w:val="24"/>
              </w:rPr>
              <w:t>2.</w:t>
            </w:r>
            <w:r>
              <w:rPr>
                <w:rFonts w:hint="eastAsia" w:ascii="仿宋_GB2312" w:hAnsi="仿宋_GB2312" w:eastAsia="仿宋_GB2312" w:cs="仿宋_GB2312"/>
                <w:strike w:val="0"/>
                <w:dstrike w:val="0"/>
                <w:color w:val="000000"/>
                <w:sz w:val="24"/>
                <w:szCs w:val="24"/>
                <w:lang w:val="en-US" w:eastAsia="zh-CN"/>
              </w:rPr>
              <w:t>2</w:t>
            </w:r>
            <w:r>
              <w:rPr>
                <w:rFonts w:hint="eastAsia" w:ascii="仿宋_GB2312" w:hAnsi="仿宋_GB2312" w:eastAsia="仿宋_GB2312" w:cs="仿宋_GB2312"/>
                <w:strike w:val="0"/>
                <w:dstrike w:val="0"/>
                <w:color w:val="000000"/>
                <w:sz w:val="24"/>
                <w:szCs w:val="24"/>
              </w:rPr>
              <w:t>.</w:t>
            </w:r>
            <w:r>
              <w:rPr>
                <w:rFonts w:hint="eastAsia" w:ascii="仿宋_GB2312" w:hAnsi="仿宋_GB2312" w:eastAsia="仿宋_GB2312" w:cs="仿宋_GB2312"/>
                <w:strike w:val="0"/>
                <w:dstrike w:val="0"/>
                <w:color w:val="000000"/>
                <w:sz w:val="24"/>
                <w:szCs w:val="24"/>
                <w:lang w:val="en-US" w:eastAsia="zh-CN"/>
              </w:rPr>
              <w:t>2</w:t>
            </w:r>
          </w:p>
          <w:p>
            <w:pPr>
              <w:pStyle w:val="25"/>
              <w:spacing w:line="300" w:lineRule="exact"/>
              <w:ind w:left="105" w:leftChars="50" w:right="105" w:rightChars="50"/>
              <w:rPr>
                <w:rFonts w:hint="eastAsia" w:ascii="仿宋_GB2312" w:hAnsi="仿宋_GB2312" w:eastAsia="仿宋_GB2312" w:cs="仿宋_GB2312"/>
                <w:strike w:val="0"/>
                <w:dstrike w:val="0"/>
                <w:color w:val="000000"/>
                <w:kern w:val="2"/>
                <w:sz w:val="24"/>
                <w:szCs w:val="24"/>
                <w:lang w:val="en-US" w:eastAsia="zh-CN" w:bidi="ar-SA"/>
              </w:rPr>
            </w:pPr>
            <w:r>
              <w:rPr>
                <w:rFonts w:hint="eastAsia" w:ascii="仿宋_GB2312" w:hAnsi="仿宋_GB2312" w:eastAsia="仿宋_GB2312" w:cs="仿宋_GB2312"/>
                <w:strike w:val="0"/>
                <w:dstrike w:val="0"/>
                <w:color w:val="000000"/>
                <w:sz w:val="24"/>
                <w:szCs w:val="24"/>
              </w:rPr>
              <w:t>住院患者抗菌药物治疗前病原学送检率</w:t>
            </w:r>
          </w:p>
        </w:tc>
        <w:tc>
          <w:tcPr>
            <w:tcW w:w="3043"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strike w:val="0"/>
                <w:dstrike w:val="0"/>
                <w:color w:val="000000"/>
                <w:kern w:val="2"/>
                <w:sz w:val="24"/>
                <w:szCs w:val="24"/>
                <w:lang w:val="en-US" w:eastAsia="zh-CN" w:bidi="ar-SA"/>
              </w:rPr>
            </w:pPr>
            <w:r>
              <w:rPr>
                <w:rFonts w:hint="eastAsia" w:ascii="仿宋_GB2312" w:hAnsi="仿宋_GB2312" w:eastAsia="仿宋_GB2312" w:cs="仿宋_GB2312"/>
                <w:strike w:val="0"/>
                <w:dstrike w:val="0"/>
                <w:color w:val="000000"/>
                <w:sz w:val="24"/>
                <w:szCs w:val="24"/>
                <w:lang w:val="en-US" w:eastAsia="zh-CN"/>
              </w:rPr>
              <w:t>住院患者</w:t>
            </w:r>
            <w:r>
              <w:rPr>
                <w:rFonts w:hint="eastAsia" w:ascii="仿宋_GB2312" w:hAnsi="仿宋_GB2312" w:eastAsia="仿宋_GB2312" w:cs="仿宋_GB2312"/>
                <w:strike w:val="0"/>
                <w:dstrike w:val="0"/>
                <w:color w:val="000000"/>
                <w:sz w:val="24"/>
                <w:szCs w:val="24"/>
              </w:rPr>
              <w:t>使用抗菌药物前病原学检验标本送检病例数/同期</w:t>
            </w:r>
            <w:r>
              <w:rPr>
                <w:rFonts w:hint="eastAsia" w:ascii="仿宋_GB2312" w:hAnsi="仿宋_GB2312" w:eastAsia="仿宋_GB2312" w:cs="仿宋_GB2312"/>
                <w:strike w:val="0"/>
                <w:dstrike w:val="0"/>
                <w:color w:val="000000"/>
                <w:sz w:val="24"/>
                <w:szCs w:val="24"/>
                <w:lang w:val="en-US" w:eastAsia="zh-CN"/>
              </w:rPr>
              <w:t>住院患者</w:t>
            </w:r>
            <w:r>
              <w:rPr>
                <w:rFonts w:hint="eastAsia" w:ascii="仿宋_GB2312" w:hAnsi="仿宋_GB2312" w:eastAsia="仿宋_GB2312" w:cs="仿宋_GB2312"/>
                <w:strike w:val="0"/>
                <w:dstrike w:val="0"/>
                <w:color w:val="000000"/>
                <w:sz w:val="24"/>
                <w:szCs w:val="24"/>
              </w:rPr>
              <w:t>使用抗菌药物治疗病例总数×100%</w:t>
            </w:r>
          </w:p>
        </w:tc>
        <w:tc>
          <w:tcPr>
            <w:tcW w:w="1210"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strike w:val="0"/>
                <w:dstrike w:val="0"/>
                <w:color w:val="000000"/>
                <w:kern w:val="2"/>
                <w:sz w:val="24"/>
                <w:szCs w:val="24"/>
                <w:highlight w:val="cyan"/>
                <w:lang w:val="en-US" w:eastAsia="zh-CN" w:bidi="ar-SA"/>
              </w:rPr>
            </w:pPr>
            <w:r>
              <w:rPr>
                <w:rFonts w:hint="eastAsia" w:ascii="仿宋_GB2312" w:hAnsi="仿宋_GB2312" w:eastAsia="仿宋_GB2312" w:cs="仿宋_GB2312"/>
                <w:color w:val="000000"/>
                <w:kern w:val="0"/>
                <w:sz w:val="24"/>
                <w:szCs w:val="24"/>
                <w:highlight w:val="none"/>
                <w:shd w:val="clear" w:color="auto" w:fill="FFFFFF"/>
              </w:rPr>
              <w:t>定量指标</w:t>
            </w:r>
          </w:p>
        </w:tc>
        <w:tc>
          <w:tcPr>
            <w:tcW w:w="708"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strike w:val="0"/>
                <w:dstrike w:val="0"/>
                <w:color w:val="000000"/>
                <w:kern w:val="2"/>
                <w:sz w:val="24"/>
                <w:szCs w:val="24"/>
                <w:lang w:val="en-US" w:eastAsia="zh-CN" w:bidi="ar-SA"/>
              </w:rPr>
            </w:pPr>
            <w:r>
              <w:rPr>
                <w:rFonts w:hint="eastAsia" w:ascii="仿宋_GB2312" w:hAnsi="仿宋_GB2312" w:eastAsia="仿宋_GB2312" w:cs="仿宋_GB2312"/>
                <w:strike w:val="0"/>
                <w:dstrike w:val="0"/>
                <w:color w:val="000000"/>
                <w:sz w:val="24"/>
                <w:szCs w:val="24"/>
                <w:lang w:val="en-US" w:eastAsia="zh-CN"/>
              </w:rPr>
              <w:t>4</w:t>
            </w:r>
          </w:p>
        </w:tc>
        <w:tc>
          <w:tcPr>
            <w:tcW w:w="2379"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strike w:val="0"/>
                <w:dstrike w:val="0"/>
                <w:color w:val="000000"/>
                <w:kern w:val="2"/>
                <w:sz w:val="24"/>
                <w:szCs w:val="24"/>
                <w:lang w:val="en-US" w:eastAsia="zh-CN" w:bidi="ar-SA"/>
              </w:rPr>
            </w:pPr>
            <w:r>
              <w:rPr>
                <w:rFonts w:hint="eastAsia" w:ascii="仿宋_GB2312" w:hAnsi="仿宋_GB2312" w:eastAsia="仿宋_GB2312" w:cs="仿宋_GB2312"/>
                <w:color w:val="000000"/>
                <w:kern w:val="0"/>
                <w:sz w:val="24"/>
                <w:szCs w:val="24"/>
                <w:highlight w:val="none"/>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1" w:hRule="atLeast"/>
          <w:jc w:val="center"/>
        </w:trPr>
        <w:tc>
          <w:tcPr>
            <w:tcW w:w="2740"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3</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患者住院总死亡率</w:t>
            </w:r>
          </w:p>
        </w:tc>
        <w:tc>
          <w:tcPr>
            <w:tcW w:w="3043"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住院总死亡患者人数/同期出院患者总人</w:t>
            </w:r>
            <w:r>
              <w:rPr>
                <w:rFonts w:hint="eastAsia" w:ascii="仿宋_GB2312" w:hAnsi="仿宋_GB2312" w:eastAsia="仿宋_GB2312" w:cs="仿宋_GB2312"/>
                <w:color w:val="000000"/>
                <w:sz w:val="24"/>
                <w:szCs w:val="24"/>
                <w:lang w:val="en-US" w:eastAsia="zh-CN"/>
              </w:rPr>
              <w:t>次</w:t>
            </w:r>
            <w:r>
              <w:rPr>
                <w:rFonts w:hint="eastAsia" w:ascii="仿宋_GB2312" w:hAnsi="仿宋_GB2312" w:eastAsia="仿宋_GB2312" w:cs="仿宋_GB2312"/>
                <w:color w:val="000000"/>
                <w:sz w:val="24"/>
                <w:szCs w:val="24"/>
              </w:rPr>
              <w:t>×100%</w:t>
            </w:r>
          </w:p>
        </w:tc>
        <w:tc>
          <w:tcPr>
            <w:tcW w:w="1210" w:type="dxa"/>
            <w:noWrap w:val="0"/>
            <w:tcMar>
              <w:top w:w="15" w:type="dxa"/>
              <w:left w:w="15" w:type="dxa"/>
              <w:right w:w="15" w:type="dxa"/>
            </w:tcMar>
            <w:vAlign w:val="center"/>
          </w:tcPr>
          <w:p>
            <w:pPr>
              <w:pStyle w:val="25"/>
              <w:spacing w:line="300" w:lineRule="exact"/>
              <w:ind w:right="105" w:rightChars="50"/>
              <w:jc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0"/>
                <w:sz w:val="24"/>
                <w:szCs w:val="24"/>
                <w:highlight w:val="none"/>
                <w:shd w:val="clear" w:color="auto" w:fill="FFFFFF"/>
              </w:rPr>
              <w:t>定量指标</w:t>
            </w:r>
          </w:p>
        </w:tc>
        <w:tc>
          <w:tcPr>
            <w:tcW w:w="708"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4</w:t>
            </w:r>
          </w:p>
        </w:tc>
        <w:tc>
          <w:tcPr>
            <w:tcW w:w="2379"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highlight w:val="none"/>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7" w:hRule="atLeast"/>
          <w:jc w:val="center"/>
        </w:trPr>
        <w:tc>
          <w:tcPr>
            <w:tcW w:w="2740"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4</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手术患者住院死亡率</w:t>
            </w:r>
          </w:p>
        </w:tc>
        <w:tc>
          <w:tcPr>
            <w:tcW w:w="3043"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手术患者住院死亡人数/同期手术患者出院人次×100%</w:t>
            </w:r>
          </w:p>
        </w:tc>
        <w:tc>
          <w:tcPr>
            <w:tcW w:w="1210" w:type="dxa"/>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kern w:val="0"/>
                <w:sz w:val="24"/>
                <w:szCs w:val="24"/>
                <w:highlight w:val="none"/>
                <w:shd w:val="clear" w:color="auto" w:fill="FFFFFF"/>
                <w:lang w:val="en-US"/>
              </w:rPr>
            </w:pPr>
            <w:r>
              <w:rPr>
                <w:rFonts w:hint="eastAsia" w:ascii="仿宋_GB2312" w:hAnsi="仿宋_GB2312" w:eastAsia="仿宋_GB2312" w:cs="仿宋_GB2312"/>
                <w:color w:val="000000"/>
                <w:kern w:val="0"/>
                <w:sz w:val="24"/>
                <w:szCs w:val="24"/>
                <w:highlight w:val="none"/>
                <w:shd w:val="clear" w:color="auto" w:fill="FFFFFF"/>
              </w:rPr>
              <w:t>定量指标</w:t>
            </w:r>
          </w:p>
        </w:tc>
        <w:tc>
          <w:tcPr>
            <w:tcW w:w="708"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379"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highlight w:val="none"/>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9" w:hRule="atLeast"/>
          <w:jc w:val="center"/>
        </w:trPr>
        <w:tc>
          <w:tcPr>
            <w:tcW w:w="2740"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5</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住院患者出院后0-31天非预期再住院率</w:t>
            </w:r>
          </w:p>
        </w:tc>
        <w:tc>
          <w:tcPr>
            <w:tcW w:w="3043"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出院后0</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31天非预期再住院患者人次/同期出院患者总人次（除死亡患者外）×100%</w:t>
            </w:r>
          </w:p>
        </w:tc>
        <w:tc>
          <w:tcPr>
            <w:tcW w:w="1210" w:type="dxa"/>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color w:val="000000"/>
                <w:kern w:val="0"/>
                <w:sz w:val="24"/>
                <w:szCs w:val="24"/>
                <w:highlight w:val="none"/>
                <w:shd w:val="clear" w:color="auto" w:fill="FFFFFF"/>
              </w:rPr>
              <w:t>定量指标</w:t>
            </w:r>
          </w:p>
        </w:tc>
        <w:tc>
          <w:tcPr>
            <w:tcW w:w="708"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379" w:type="dxa"/>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0"/>
                <w:sz w:val="24"/>
                <w:szCs w:val="24"/>
                <w:highlight w:val="none"/>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3" w:hRule="atLeast"/>
          <w:jc w:val="center"/>
        </w:trPr>
        <w:tc>
          <w:tcPr>
            <w:tcW w:w="2740"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2.2.6</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手术患者术后48小时/31天内非预期重返手术室再次手术率</w:t>
            </w:r>
          </w:p>
        </w:tc>
        <w:tc>
          <w:tcPr>
            <w:tcW w:w="3043"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择期手术患者术后48小时内非预期重返手术室手术人次/择期手术总台次×100%</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择期手术患者术后31天内非预期重返手术室手术人次/择期手术总台次×100%</w:t>
            </w:r>
          </w:p>
        </w:tc>
        <w:tc>
          <w:tcPr>
            <w:tcW w:w="1210" w:type="dxa"/>
            <w:noWrap w:val="0"/>
            <w:tcMar>
              <w:top w:w="15" w:type="dxa"/>
              <w:left w:w="15" w:type="dxa"/>
              <w:right w:w="15" w:type="dxa"/>
            </w:tcMar>
            <w:vAlign w:val="center"/>
          </w:tcPr>
          <w:p>
            <w:pPr>
              <w:spacing w:line="300" w:lineRule="exact"/>
              <w:ind w:left="105" w:leftChars="50" w:right="105" w:rightChars="50"/>
              <w:jc w:val="center"/>
              <w:rPr>
                <w:rFonts w:hint="default" w:ascii="仿宋_GB2312" w:hAnsi="仿宋_GB2312" w:eastAsia="仿宋_GB2312" w:cs="仿宋_GB2312"/>
                <w:color w:val="000000"/>
                <w:sz w:val="24"/>
                <w:szCs w:val="24"/>
                <w:highlight w:val="cyan"/>
                <w:lang w:val="en-US" w:eastAsia="zh-CN"/>
              </w:rPr>
            </w:pPr>
            <w:r>
              <w:rPr>
                <w:rFonts w:hint="eastAsia" w:ascii="仿宋_GB2312" w:hAnsi="仿宋_GB2312" w:eastAsia="仿宋_GB2312" w:cs="仿宋_GB2312"/>
                <w:color w:val="000000"/>
                <w:kern w:val="0"/>
                <w:sz w:val="24"/>
                <w:szCs w:val="24"/>
                <w:highlight w:val="none"/>
                <w:shd w:val="clear" w:color="auto" w:fill="FFFFFF"/>
              </w:rPr>
              <w:t>定量指标</w:t>
            </w:r>
          </w:p>
        </w:tc>
        <w:tc>
          <w:tcPr>
            <w:tcW w:w="708" w:type="dxa"/>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2379" w:type="dxa"/>
            <w:noWrap w:val="0"/>
            <w:tcMar>
              <w:top w:w="15" w:type="dxa"/>
              <w:left w:w="15" w:type="dxa"/>
              <w:right w:w="15" w:type="dxa"/>
            </w:tcMar>
            <w:vAlign w:val="center"/>
          </w:tcPr>
          <w:p>
            <w:pPr>
              <w:pStyle w:val="25"/>
              <w:spacing w:line="300" w:lineRule="exact"/>
              <w:ind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highlight w:val="none"/>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0" w:hRule="atLeast"/>
          <w:jc w:val="center"/>
        </w:trPr>
        <w:tc>
          <w:tcPr>
            <w:tcW w:w="2740"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7</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ICD低风险病种患者住院死亡率</w:t>
            </w:r>
          </w:p>
        </w:tc>
        <w:tc>
          <w:tcPr>
            <w:tcW w:w="3043"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ICD低风险病种住院患者死亡病例数/ICD低风险病种出院患者病例总数×100%</w:t>
            </w:r>
          </w:p>
        </w:tc>
        <w:tc>
          <w:tcPr>
            <w:tcW w:w="1210" w:type="dxa"/>
            <w:noWrap w:val="0"/>
            <w:tcMar>
              <w:top w:w="15" w:type="dxa"/>
              <w:left w:w="15" w:type="dxa"/>
              <w:right w:w="15" w:type="dxa"/>
            </w:tcMar>
            <w:vAlign w:val="center"/>
          </w:tcPr>
          <w:p>
            <w:pPr>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highlight w:val="none"/>
                <w:shd w:val="clear" w:color="auto" w:fill="FFFFFF"/>
              </w:rPr>
              <w:t>定量指标</w:t>
            </w:r>
          </w:p>
        </w:tc>
        <w:tc>
          <w:tcPr>
            <w:tcW w:w="708" w:type="dxa"/>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379" w:type="dxa"/>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highlight w:val="none"/>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9" w:hRule="atLeast"/>
          <w:jc w:val="center"/>
        </w:trPr>
        <w:tc>
          <w:tcPr>
            <w:tcW w:w="2740"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8</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DRGs低风险组患者住院死亡率</w:t>
            </w:r>
          </w:p>
        </w:tc>
        <w:tc>
          <w:tcPr>
            <w:tcW w:w="3043"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DRG低风险组死亡病例数/DRG低风险组总病例数×100%</w:t>
            </w:r>
          </w:p>
        </w:tc>
        <w:tc>
          <w:tcPr>
            <w:tcW w:w="1210" w:type="dxa"/>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highlight w:val="none"/>
                <w:shd w:val="clear" w:color="auto" w:fill="FFFFFF"/>
              </w:rPr>
              <w:t>定量指标</w:t>
            </w:r>
          </w:p>
        </w:tc>
        <w:tc>
          <w:tcPr>
            <w:tcW w:w="708" w:type="dxa"/>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379" w:type="dxa"/>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highlight w:val="none"/>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0" w:hRule="atLeast"/>
          <w:jc w:val="center"/>
        </w:trPr>
        <w:tc>
          <w:tcPr>
            <w:tcW w:w="2740" w:type="dxa"/>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bookmarkStart w:id="106" w:name="_Toc88136165"/>
            <w:bookmarkStart w:id="107" w:name="_Toc31536"/>
            <w:r>
              <w:rPr>
                <w:rFonts w:hint="eastAsia" w:ascii="仿宋_GB2312" w:hAnsi="仿宋_GB2312" w:eastAsia="仿宋_GB2312" w:cs="仿宋_GB2312"/>
                <w:color w:val="000000"/>
                <w:sz w:val="24"/>
                <w:szCs w:val="24"/>
                <w:lang w:val="en-US" w:eastAsia="zh-CN"/>
              </w:rPr>
              <w:t>2.2.9</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皮肤专科疑难危重疾病住院</w:t>
            </w:r>
            <w:r>
              <w:rPr>
                <w:rFonts w:hint="default" w:ascii="仿宋_GB2312" w:hAnsi="仿宋_GB2312" w:eastAsia="仿宋_GB2312" w:cs="仿宋_GB2312"/>
                <w:color w:val="000000"/>
                <w:sz w:val="24"/>
                <w:szCs w:val="24"/>
                <w:lang w:val="en-US" w:eastAsia="zh-CN"/>
              </w:rPr>
              <w:t>治愈</w:t>
            </w:r>
            <w:r>
              <w:rPr>
                <w:rFonts w:hint="eastAsia" w:ascii="仿宋_GB2312" w:hAnsi="仿宋_GB2312" w:eastAsia="仿宋_GB2312" w:cs="仿宋_GB2312"/>
                <w:color w:val="000000"/>
                <w:sz w:val="24"/>
                <w:szCs w:val="24"/>
                <w:lang w:val="en-US" w:eastAsia="zh-CN"/>
              </w:rPr>
              <w:t>好转率</w:t>
            </w:r>
          </w:p>
        </w:tc>
        <w:tc>
          <w:tcPr>
            <w:tcW w:w="3043" w:type="dxa"/>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皮肤专科疑难危重疾病〔①大疱病（天疱疮、类天疱疮）②皮肤恶性肿瘤（皮肤淋巴瘤、鳞状细胞癌、基底细胞癌、黑色素瘤）③结缔组织疾病（红斑狼疮、皮肌炎、硬皮病）④重症药疹（Steven-Johnson综合征，TEN，红皮病，药物超敏综合征，发疹性药疹合并系统损害）⑤脓疱/关节型银屑病 ⑥红皮病 ⑦危及生命的特殊感染性皮肤病〕每年住院</w:t>
            </w:r>
            <w:r>
              <w:rPr>
                <w:rFonts w:hint="default" w:ascii="仿宋_GB2312" w:hAnsi="仿宋_GB2312" w:eastAsia="仿宋_GB2312" w:cs="仿宋_GB2312"/>
                <w:color w:val="000000"/>
                <w:sz w:val="24"/>
                <w:szCs w:val="24"/>
                <w:lang w:val="en-US" w:eastAsia="zh-CN"/>
              </w:rPr>
              <w:t>治愈</w:t>
            </w:r>
            <w:r>
              <w:rPr>
                <w:rFonts w:hint="eastAsia" w:ascii="仿宋_GB2312" w:hAnsi="仿宋_GB2312" w:eastAsia="仿宋_GB2312" w:cs="仿宋_GB2312"/>
                <w:color w:val="000000"/>
                <w:sz w:val="24"/>
                <w:szCs w:val="24"/>
                <w:lang w:val="en-US" w:eastAsia="zh-CN"/>
              </w:rPr>
              <w:t>好转人次/住院病区皮肤专科疑难危重疾病年收治总人次</w:t>
            </w:r>
            <w:r>
              <w:rPr>
                <w:rFonts w:hint="eastAsia" w:ascii="仿宋_GB2312" w:hAnsi="仿宋_GB2312" w:eastAsia="仿宋_GB2312" w:cs="仿宋_GB2312"/>
                <w:color w:val="000000"/>
                <w:sz w:val="24"/>
                <w:szCs w:val="24"/>
                <w:lang w:val="en-US" w:eastAsia="zh-Hans"/>
              </w:rPr>
              <w:t>×100%</w:t>
            </w:r>
          </w:p>
        </w:tc>
        <w:tc>
          <w:tcPr>
            <w:tcW w:w="1210" w:type="dxa"/>
            <w:noWrap w:val="0"/>
            <w:tcMar>
              <w:top w:w="15" w:type="dxa"/>
              <w:left w:w="15" w:type="dxa"/>
              <w:right w:w="15" w:type="dxa"/>
            </w:tcMar>
            <w:vAlign w:val="center"/>
          </w:tcPr>
          <w:p>
            <w:pPr>
              <w:pStyle w:val="2"/>
              <w:jc w:val="center"/>
              <w:rPr>
                <w:rFonts w:hint="eastAsia" w:ascii="华文中宋" w:hAnsi="华文中宋" w:eastAsia="华文中宋" w:cs="Arial Unicode MS"/>
                <w:color w:val="000000"/>
                <w:kern w:val="2"/>
                <w:sz w:val="24"/>
                <w:szCs w:val="24"/>
                <w:lang w:val="en-US" w:eastAsia="zh-CN" w:bidi="ar-SA"/>
              </w:rPr>
            </w:pPr>
            <w:r>
              <w:rPr>
                <w:rFonts w:hint="eastAsia" w:ascii="仿宋_GB2312" w:hAnsi="仿宋_GB2312" w:eastAsia="仿宋_GB2312" w:cs="仿宋_GB2312"/>
                <w:color w:val="000000"/>
                <w:spacing w:val="12"/>
                <w:sz w:val="23"/>
                <w:szCs w:val="23"/>
              </w:rPr>
              <w:t>定量指标</w:t>
            </w:r>
          </w:p>
        </w:tc>
        <w:tc>
          <w:tcPr>
            <w:tcW w:w="708" w:type="dxa"/>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4</w:t>
            </w:r>
          </w:p>
        </w:tc>
        <w:tc>
          <w:tcPr>
            <w:tcW w:w="2379" w:type="dxa"/>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监测比较，</w:t>
            </w:r>
          </w:p>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2"/>
                <w:sz w:val="24"/>
                <w:szCs w:val="24"/>
                <w:lang w:val="en-US" w:eastAsia="zh-CN" w:bidi="ar-SA"/>
              </w:rPr>
              <w:t>逐步提高。</w:t>
            </w:r>
          </w:p>
        </w:tc>
      </w:tr>
    </w:tbl>
    <w:p>
      <w:pPr>
        <w:rPr>
          <w:rFonts w:hint="eastAsia"/>
          <w:color w:val="000000"/>
          <w:lang w:val="en-US" w:eastAsia="zh-CN"/>
        </w:rPr>
      </w:pPr>
    </w:p>
    <w:p>
      <w:pPr>
        <w:pStyle w:val="5"/>
        <w:bidi w:val="0"/>
        <w:rPr>
          <w:rFonts w:hint="eastAsia"/>
          <w:color w:val="000000"/>
          <w:lang w:eastAsia="zh-CN"/>
        </w:rPr>
      </w:pPr>
      <w:bookmarkStart w:id="108" w:name="_Toc30624"/>
      <w:r>
        <w:rPr>
          <w:rFonts w:hint="eastAsia"/>
          <w:color w:val="000000"/>
          <w:lang w:val="en-US" w:eastAsia="zh-CN"/>
        </w:rPr>
        <w:t>三</w:t>
      </w:r>
      <w:r>
        <w:rPr>
          <w:rFonts w:hint="eastAsia"/>
          <w:color w:val="000000"/>
        </w:rPr>
        <w:t>、</w:t>
      </w:r>
      <w:r>
        <w:rPr>
          <w:rFonts w:hint="eastAsia"/>
          <w:color w:val="000000"/>
          <w:lang w:val="en-US" w:eastAsia="zh-CN"/>
        </w:rPr>
        <w:t>皮肤病防治服务</w:t>
      </w:r>
      <w:r>
        <w:rPr>
          <w:rFonts w:hint="eastAsia"/>
          <w:color w:val="000000"/>
        </w:rPr>
        <w:t>质量指标</w:t>
      </w:r>
      <w:r>
        <w:rPr>
          <w:rFonts w:hint="eastAsia"/>
          <w:color w:val="000000"/>
          <w:lang w:eastAsia="zh-CN"/>
        </w:rPr>
        <w:t>（</w:t>
      </w:r>
      <w:r>
        <w:rPr>
          <w:rFonts w:hint="eastAsia"/>
          <w:color w:val="000000"/>
          <w:lang w:val="en-US" w:eastAsia="zh-CN"/>
        </w:rPr>
        <w:t>63分</w:t>
      </w:r>
      <w:r>
        <w:rPr>
          <w:rFonts w:hint="eastAsia"/>
          <w:color w:val="000000"/>
          <w:lang w:eastAsia="zh-CN"/>
        </w:rPr>
        <w:t>）</w:t>
      </w:r>
      <w:bookmarkEnd w:id="108"/>
    </w:p>
    <w:p>
      <w:pPr>
        <w:pStyle w:val="21"/>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0"/>
        <w:textAlignment w:val="auto"/>
        <w:rPr>
          <w:rFonts w:ascii="仿宋" w:hAnsi="仿宋" w:eastAsia="仿宋"/>
          <w:color w:val="000000"/>
          <w:sz w:val="28"/>
          <w:szCs w:val="28"/>
        </w:rPr>
      </w:pPr>
      <w:r>
        <w:rPr>
          <w:rStyle w:val="20"/>
          <w:rFonts w:hint="eastAsia" w:ascii="仿宋_GB2312" w:hAnsi="仿宋_GB2312" w:cs="仿宋_GB2312"/>
          <w:color w:val="000000"/>
          <w:sz w:val="28"/>
          <w:szCs w:val="28"/>
        </w:rPr>
        <w:t>本节评审设</w:t>
      </w:r>
      <w:r>
        <w:rPr>
          <w:rStyle w:val="20"/>
          <w:rFonts w:hint="eastAsia" w:ascii="仿宋_GB2312" w:hAnsi="仿宋_GB2312" w:cs="仿宋_GB2312"/>
          <w:color w:val="000000"/>
          <w:sz w:val="28"/>
          <w:szCs w:val="28"/>
          <w:lang w:val="en-US" w:eastAsia="zh-CN"/>
        </w:rPr>
        <w:t>2</w:t>
      </w:r>
      <w:r>
        <w:rPr>
          <w:rStyle w:val="20"/>
          <w:rFonts w:hint="eastAsia" w:ascii="仿宋_GB2312" w:hAnsi="仿宋_GB2312" w:cs="仿宋_GB2312"/>
          <w:color w:val="000000"/>
          <w:sz w:val="28"/>
          <w:szCs w:val="28"/>
        </w:rPr>
        <w:t>条</w:t>
      </w:r>
      <w:r>
        <w:rPr>
          <w:rStyle w:val="20"/>
          <w:rFonts w:hint="eastAsia" w:ascii="仿宋_GB2312" w:hAnsi="仿宋_GB2312" w:cs="仿宋_GB2312"/>
          <w:color w:val="000000"/>
          <w:sz w:val="28"/>
          <w:szCs w:val="28"/>
          <w:lang w:val="en-US" w:eastAsia="zh-CN"/>
        </w:rPr>
        <w:t>21</w:t>
      </w:r>
      <w:r>
        <w:rPr>
          <w:rStyle w:val="20"/>
          <w:rFonts w:hint="eastAsia" w:ascii="仿宋_GB2312" w:hAnsi="仿宋_GB2312" w:cs="仿宋_GB2312"/>
          <w:color w:val="000000"/>
          <w:sz w:val="28"/>
          <w:szCs w:val="28"/>
        </w:rPr>
        <w:t>个指标，均为数据评审指标，共</w:t>
      </w:r>
      <w:r>
        <w:rPr>
          <w:rStyle w:val="20"/>
          <w:rFonts w:hint="eastAsia" w:ascii="仿宋_GB2312" w:hAnsi="仿宋_GB2312" w:cs="仿宋_GB2312"/>
          <w:color w:val="000000"/>
          <w:sz w:val="28"/>
          <w:szCs w:val="28"/>
          <w:lang w:val="en-US" w:eastAsia="zh-CN"/>
        </w:rPr>
        <w:t>63</w:t>
      </w:r>
      <w:r>
        <w:rPr>
          <w:rStyle w:val="20"/>
          <w:rFonts w:hint="eastAsia" w:ascii="仿宋_GB2312" w:hAnsi="仿宋_GB2312" w:cs="仿宋_GB2312"/>
          <w:color w:val="000000"/>
          <w:sz w:val="28"/>
          <w:szCs w:val="28"/>
        </w:rPr>
        <w:t>分。</w:t>
      </w:r>
    </w:p>
    <w:tbl>
      <w:tblPr>
        <w:tblStyle w:val="14"/>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53"/>
        <w:gridCol w:w="3169"/>
        <w:gridCol w:w="1075"/>
        <w:gridCol w:w="609"/>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853" w:type="dxa"/>
            <w:shd w:val="clear" w:color="auto" w:fill="EEECE1"/>
            <w:noWrap w:val="0"/>
            <w:tcMar>
              <w:top w:w="15" w:type="dxa"/>
              <w:left w:w="15" w:type="dxa"/>
              <w:right w:w="15" w:type="dxa"/>
            </w:tcMar>
            <w:vAlign w:val="center"/>
          </w:tcPr>
          <w:p>
            <w:pPr>
              <w:pStyle w:val="24"/>
              <w:spacing w:line="320" w:lineRule="exact"/>
              <w:rPr>
                <w:rFonts w:hint="default" w:ascii="黑体" w:hAnsi="黑体" w:eastAsia="黑体" w:cs="黑体"/>
                <w:color w:val="000000"/>
                <w:kern w:val="0"/>
                <w:sz w:val="24"/>
                <w:szCs w:val="24"/>
                <w:lang w:val="en-US" w:eastAsia="zh-CN" w:bidi="ar"/>
              </w:rPr>
            </w:pPr>
            <w:r>
              <w:rPr>
                <w:rFonts w:hint="eastAsia"/>
                <w:color w:val="000000"/>
                <w:sz w:val="24"/>
                <w:szCs w:val="24"/>
              </w:rPr>
              <w:t>监测指标</w:t>
            </w:r>
          </w:p>
        </w:tc>
        <w:tc>
          <w:tcPr>
            <w:tcW w:w="3169" w:type="dxa"/>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lang w:val="en-US" w:eastAsia="zh-CN" w:bidi="ar"/>
              </w:rPr>
            </w:pPr>
            <w:r>
              <w:rPr>
                <w:rFonts w:hint="eastAsia"/>
                <w:color w:val="000000"/>
                <w:sz w:val="24"/>
                <w:szCs w:val="24"/>
              </w:rPr>
              <w:t>计算方法</w:t>
            </w:r>
          </w:p>
        </w:tc>
        <w:tc>
          <w:tcPr>
            <w:tcW w:w="1075" w:type="dxa"/>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lang w:val="en-US" w:eastAsia="zh-CN" w:bidi="ar"/>
              </w:rPr>
            </w:pPr>
            <w:r>
              <w:rPr>
                <w:rFonts w:hint="eastAsia"/>
                <w:color w:val="000000"/>
                <w:sz w:val="24"/>
                <w:szCs w:val="24"/>
                <w:lang w:val="en-US" w:eastAsia="zh-CN"/>
              </w:rPr>
              <w:t>指标设定</w:t>
            </w:r>
          </w:p>
        </w:tc>
        <w:tc>
          <w:tcPr>
            <w:tcW w:w="609" w:type="dxa"/>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lang w:val="en-US" w:eastAsia="zh-CN" w:bidi="ar"/>
              </w:rPr>
            </w:pPr>
            <w:r>
              <w:rPr>
                <w:rFonts w:hint="eastAsia"/>
                <w:color w:val="000000"/>
                <w:sz w:val="24"/>
                <w:szCs w:val="24"/>
              </w:rPr>
              <w:t>分值</w:t>
            </w:r>
          </w:p>
        </w:tc>
        <w:tc>
          <w:tcPr>
            <w:tcW w:w="2472" w:type="dxa"/>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0178" w:type="dxa"/>
            <w:gridSpan w:val="5"/>
            <w:noWrap w:val="0"/>
            <w:tcMar>
              <w:top w:w="15" w:type="dxa"/>
              <w:left w:w="15" w:type="dxa"/>
              <w:right w:w="15" w:type="dxa"/>
            </w:tcMar>
            <w:vAlign w:val="center"/>
          </w:tcPr>
          <w:p>
            <w:pPr>
              <w:pStyle w:val="25"/>
              <w:shd w:val="clear" w:color="auto" w:fill="FFFFFF"/>
              <w:spacing w:line="30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2.3.1麻风病防治服务质量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1.1</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承担</w:t>
            </w:r>
            <w:r>
              <w:rPr>
                <w:rFonts w:hint="eastAsia" w:ascii="仿宋_GB2312" w:hAnsi="仿宋_GB2312" w:eastAsia="仿宋_GB2312" w:cs="仿宋_GB2312"/>
                <w:color w:val="000000"/>
                <w:sz w:val="24"/>
                <w:szCs w:val="24"/>
                <w:lang w:val="en-US" w:eastAsia="zh-CN"/>
              </w:rPr>
              <w:t>辖区麻风</w:t>
            </w:r>
            <w:r>
              <w:rPr>
                <w:rFonts w:hint="eastAsia" w:ascii="仿宋_GB2312" w:hAnsi="仿宋_GB2312" w:eastAsia="仿宋_GB2312" w:cs="仿宋_GB2312"/>
                <w:color w:val="000000"/>
                <w:sz w:val="24"/>
                <w:szCs w:val="24"/>
              </w:rPr>
              <w:t>病监测</w:t>
            </w:r>
            <w:r>
              <w:rPr>
                <w:rFonts w:hint="eastAsia" w:ascii="仿宋_GB2312" w:hAnsi="仿宋_GB2312" w:eastAsia="仿宋_GB2312" w:cs="仿宋_GB2312"/>
                <w:color w:val="000000"/>
                <w:sz w:val="24"/>
                <w:szCs w:val="24"/>
                <w:lang w:val="en-US" w:eastAsia="zh-CN"/>
              </w:rPr>
              <w:t>项目</w:t>
            </w:r>
            <w:r>
              <w:rPr>
                <w:rFonts w:hint="eastAsia" w:ascii="仿宋_GB2312" w:hAnsi="仿宋_GB2312" w:eastAsia="仿宋_GB2312" w:cs="仿宋_GB2312"/>
                <w:color w:val="000000"/>
                <w:sz w:val="24"/>
                <w:szCs w:val="24"/>
              </w:rPr>
              <w:t>覆盖率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年度内开展</w:t>
            </w:r>
            <w:r>
              <w:rPr>
                <w:rFonts w:hint="eastAsia" w:ascii="仿宋_GB2312" w:hAnsi="仿宋_GB2312" w:eastAsia="仿宋_GB2312" w:cs="仿宋_GB2312"/>
                <w:color w:val="000000"/>
                <w:sz w:val="24"/>
                <w:szCs w:val="24"/>
                <w:lang w:val="en-US" w:eastAsia="zh-CN"/>
              </w:rPr>
              <w:t>麻风病</w:t>
            </w:r>
            <w:r>
              <w:rPr>
                <w:rFonts w:hint="eastAsia" w:ascii="仿宋_GB2312" w:hAnsi="仿宋_GB2312" w:eastAsia="仿宋_GB2312" w:cs="仿宋_GB2312"/>
                <w:color w:val="000000"/>
                <w:sz w:val="24"/>
                <w:szCs w:val="24"/>
              </w:rPr>
              <w:t>监测工作的地市数量/</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当年地市行政区划数量×100%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1.2</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承担</w:t>
            </w:r>
            <w:r>
              <w:rPr>
                <w:rFonts w:hint="eastAsia" w:ascii="仿宋_GB2312" w:hAnsi="仿宋_GB2312" w:eastAsia="仿宋_GB2312" w:cs="仿宋_GB2312"/>
                <w:color w:val="000000"/>
                <w:sz w:val="24"/>
                <w:szCs w:val="24"/>
                <w:lang w:val="en-US" w:eastAsia="zh-CN"/>
              </w:rPr>
              <w:t>辖区麻风</w:t>
            </w:r>
            <w:r>
              <w:rPr>
                <w:rFonts w:hint="eastAsia" w:ascii="仿宋_GB2312" w:hAnsi="仿宋_GB2312" w:eastAsia="仿宋_GB2312" w:cs="仿宋_GB2312"/>
                <w:color w:val="000000"/>
                <w:sz w:val="24"/>
                <w:szCs w:val="24"/>
              </w:rPr>
              <w:t>病防治项目</w:t>
            </w:r>
            <w:r>
              <w:rPr>
                <w:rFonts w:hint="eastAsia" w:ascii="仿宋_GB2312" w:hAnsi="仿宋_GB2312" w:eastAsia="仿宋_GB2312" w:cs="仿宋_GB2312"/>
                <w:color w:val="000000"/>
                <w:sz w:val="24"/>
                <w:szCs w:val="24"/>
                <w:lang w:val="en-US" w:eastAsia="zh-CN"/>
              </w:rPr>
              <w:t>密切接触者检查</w:t>
            </w:r>
            <w:r>
              <w:rPr>
                <w:rFonts w:hint="eastAsia" w:ascii="仿宋_GB2312" w:hAnsi="仿宋_GB2312" w:eastAsia="仿宋_GB2312" w:cs="仿宋_GB2312"/>
                <w:color w:val="000000"/>
                <w:sz w:val="24"/>
                <w:szCs w:val="24"/>
              </w:rPr>
              <w:t>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年度内完成麻风病密切接触者数量/</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当年密切接触者检查总任务量×100%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.3</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承担</w:t>
            </w:r>
            <w:r>
              <w:rPr>
                <w:rFonts w:hint="eastAsia" w:ascii="仿宋_GB2312" w:hAnsi="仿宋_GB2312" w:eastAsia="仿宋_GB2312" w:cs="仿宋_GB2312"/>
                <w:color w:val="000000"/>
                <w:sz w:val="24"/>
                <w:szCs w:val="24"/>
                <w:lang w:val="en-US" w:eastAsia="zh-CN"/>
              </w:rPr>
              <w:t>辖区麻风</w:t>
            </w:r>
            <w:r>
              <w:rPr>
                <w:rFonts w:hint="eastAsia" w:ascii="仿宋_GB2312" w:hAnsi="仿宋_GB2312" w:eastAsia="仿宋_GB2312" w:cs="仿宋_GB2312"/>
                <w:color w:val="000000"/>
                <w:sz w:val="24"/>
                <w:szCs w:val="24"/>
              </w:rPr>
              <w:t>病防治项目</w:t>
            </w:r>
            <w:r>
              <w:rPr>
                <w:rFonts w:hint="eastAsia" w:ascii="仿宋_GB2312" w:hAnsi="仿宋_GB2312" w:eastAsia="仿宋_GB2312" w:cs="仿宋_GB2312"/>
                <w:color w:val="000000"/>
                <w:sz w:val="24"/>
                <w:szCs w:val="24"/>
                <w:lang w:val="en-US" w:eastAsia="zh-CN"/>
              </w:rPr>
              <w:t>现症病例随访到位</w:t>
            </w:r>
            <w:r>
              <w:rPr>
                <w:rFonts w:hint="eastAsia" w:ascii="仿宋_GB2312" w:hAnsi="仿宋_GB2312" w:eastAsia="仿宋_GB2312" w:cs="仿宋_GB2312"/>
                <w:color w:val="000000"/>
                <w:sz w:val="24"/>
                <w:szCs w:val="24"/>
              </w:rPr>
              <w:t>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w:t>
            </w:r>
            <w:r>
              <w:rPr>
                <w:rFonts w:hint="eastAsia" w:ascii="仿宋_GB2312" w:hAnsi="仿宋_GB2312" w:eastAsia="仿宋_GB2312" w:cs="仿宋_GB2312"/>
                <w:color w:val="000000"/>
                <w:sz w:val="24"/>
                <w:szCs w:val="24"/>
                <w:lang w:val="en-US" w:eastAsia="zh-CN"/>
              </w:rPr>
              <w:t>完成麻风病现症病例随访到位</w:t>
            </w:r>
            <w:r>
              <w:rPr>
                <w:rFonts w:hint="eastAsia" w:ascii="仿宋_GB2312" w:hAnsi="仿宋_GB2312" w:eastAsia="仿宋_GB2312" w:cs="仿宋_GB2312"/>
                <w:color w:val="000000"/>
                <w:sz w:val="24"/>
                <w:szCs w:val="24"/>
              </w:rPr>
              <w:t>数量/</w:t>
            </w:r>
            <w:r>
              <w:rPr>
                <w:rFonts w:hint="eastAsia" w:ascii="仿宋_GB2312" w:hAnsi="仿宋_GB2312" w:eastAsia="仿宋_GB2312" w:cs="仿宋_GB2312"/>
                <w:color w:val="000000"/>
                <w:sz w:val="24"/>
                <w:szCs w:val="24"/>
                <w:lang w:val="en-US" w:eastAsia="zh-CN"/>
              </w:rPr>
              <w:t>辖区当年现症病例数</w:t>
            </w:r>
            <w:r>
              <w:rPr>
                <w:rFonts w:hint="eastAsia" w:ascii="仿宋_GB2312" w:hAnsi="仿宋_GB2312" w:eastAsia="仿宋_GB2312" w:cs="仿宋_GB2312"/>
                <w:color w:val="000000"/>
                <w:sz w:val="24"/>
                <w:szCs w:val="24"/>
              </w:rPr>
              <w:t>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.4</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承担</w:t>
            </w:r>
            <w:r>
              <w:rPr>
                <w:rFonts w:hint="eastAsia" w:ascii="仿宋_GB2312" w:hAnsi="仿宋_GB2312" w:eastAsia="仿宋_GB2312" w:cs="仿宋_GB2312"/>
                <w:color w:val="000000"/>
                <w:sz w:val="24"/>
                <w:szCs w:val="24"/>
                <w:lang w:val="en-US" w:eastAsia="zh-CN"/>
              </w:rPr>
              <w:t>辖区麻风</w:t>
            </w:r>
            <w:r>
              <w:rPr>
                <w:rFonts w:hint="eastAsia" w:ascii="仿宋_GB2312" w:hAnsi="仿宋_GB2312" w:eastAsia="仿宋_GB2312" w:cs="仿宋_GB2312"/>
                <w:color w:val="000000"/>
                <w:sz w:val="24"/>
                <w:szCs w:val="24"/>
              </w:rPr>
              <w:t>病防治项目</w:t>
            </w:r>
            <w:r>
              <w:rPr>
                <w:rFonts w:hint="eastAsia" w:ascii="仿宋_GB2312" w:hAnsi="仿宋_GB2312" w:eastAsia="仿宋_GB2312" w:cs="仿宋_GB2312"/>
                <w:color w:val="000000"/>
                <w:sz w:val="24"/>
                <w:szCs w:val="24"/>
                <w:lang w:val="en-US" w:eastAsia="zh-CN"/>
              </w:rPr>
              <w:t>愈后存活者随访到位</w:t>
            </w:r>
            <w:r>
              <w:rPr>
                <w:rFonts w:hint="eastAsia" w:ascii="仿宋_GB2312" w:hAnsi="仿宋_GB2312" w:eastAsia="仿宋_GB2312" w:cs="仿宋_GB2312"/>
                <w:color w:val="000000"/>
                <w:sz w:val="24"/>
                <w:szCs w:val="24"/>
              </w:rPr>
              <w:t>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w:t>
            </w:r>
            <w:r>
              <w:rPr>
                <w:rFonts w:hint="eastAsia" w:ascii="仿宋_GB2312" w:hAnsi="仿宋_GB2312" w:eastAsia="仿宋_GB2312" w:cs="仿宋_GB2312"/>
                <w:color w:val="000000"/>
                <w:sz w:val="24"/>
                <w:szCs w:val="24"/>
                <w:lang w:val="en-US" w:eastAsia="zh-CN"/>
              </w:rPr>
              <w:t>完成麻风病愈后存活者随访到位</w:t>
            </w:r>
            <w:r>
              <w:rPr>
                <w:rFonts w:hint="eastAsia" w:ascii="仿宋_GB2312" w:hAnsi="仿宋_GB2312" w:eastAsia="仿宋_GB2312" w:cs="仿宋_GB2312"/>
                <w:color w:val="000000"/>
                <w:sz w:val="24"/>
                <w:szCs w:val="24"/>
              </w:rPr>
              <w:t>数量/</w:t>
            </w:r>
            <w:r>
              <w:rPr>
                <w:rFonts w:hint="eastAsia" w:ascii="仿宋_GB2312" w:hAnsi="仿宋_GB2312" w:eastAsia="仿宋_GB2312" w:cs="仿宋_GB2312"/>
                <w:color w:val="000000"/>
                <w:sz w:val="24"/>
                <w:szCs w:val="24"/>
                <w:lang w:val="en-US" w:eastAsia="zh-CN"/>
              </w:rPr>
              <w:t>辖区愈后存活者数</w:t>
            </w:r>
            <w:r>
              <w:rPr>
                <w:rFonts w:hint="eastAsia" w:ascii="仿宋_GB2312" w:hAnsi="仿宋_GB2312" w:eastAsia="仿宋_GB2312" w:cs="仿宋_GB2312"/>
                <w:color w:val="000000"/>
                <w:sz w:val="24"/>
                <w:szCs w:val="24"/>
              </w:rPr>
              <w:t>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.5</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承担</w:t>
            </w:r>
            <w:r>
              <w:rPr>
                <w:rFonts w:hint="eastAsia" w:ascii="仿宋_GB2312" w:hAnsi="仿宋_GB2312" w:eastAsia="仿宋_GB2312" w:cs="仿宋_GB2312"/>
                <w:color w:val="000000"/>
                <w:sz w:val="24"/>
                <w:szCs w:val="24"/>
                <w:lang w:val="en-US" w:eastAsia="zh-CN"/>
              </w:rPr>
              <w:t>辖区麻风</w:t>
            </w:r>
            <w:r>
              <w:rPr>
                <w:rFonts w:hint="eastAsia" w:ascii="仿宋_GB2312" w:hAnsi="仿宋_GB2312" w:eastAsia="仿宋_GB2312" w:cs="仿宋_GB2312"/>
                <w:color w:val="000000"/>
                <w:sz w:val="24"/>
                <w:szCs w:val="24"/>
              </w:rPr>
              <w:t>病防治项目</w:t>
            </w:r>
            <w:r>
              <w:rPr>
                <w:rFonts w:hint="eastAsia" w:ascii="仿宋_GB2312" w:hAnsi="仿宋_GB2312" w:eastAsia="仿宋_GB2312" w:cs="仿宋_GB2312"/>
                <w:color w:val="000000"/>
                <w:sz w:val="24"/>
                <w:szCs w:val="24"/>
                <w:lang w:val="en-US" w:eastAsia="zh-CN"/>
              </w:rPr>
              <w:t>疫点调查</w:t>
            </w:r>
            <w:r>
              <w:rPr>
                <w:rFonts w:hint="eastAsia" w:ascii="仿宋_GB2312" w:hAnsi="仿宋_GB2312" w:eastAsia="仿宋_GB2312" w:cs="仿宋_GB2312"/>
                <w:color w:val="000000"/>
                <w:sz w:val="24"/>
                <w:szCs w:val="24"/>
              </w:rPr>
              <w:t>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w:t>
            </w:r>
            <w:r>
              <w:rPr>
                <w:rFonts w:hint="eastAsia" w:ascii="仿宋_GB2312" w:hAnsi="仿宋_GB2312" w:eastAsia="仿宋_GB2312" w:cs="仿宋_GB2312"/>
                <w:color w:val="000000"/>
                <w:sz w:val="24"/>
                <w:szCs w:val="24"/>
                <w:lang w:val="en-US" w:eastAsia="zh-CN"/>
              </w:rPr>
              <w:t>完成麻风病疫点调查</w:t>
            </w:r>
            <w:r>
              <w:rPr>
                <w:rFonts w:hint="eastAsia" w:ascii="仿宋_GB2312" w:hAnsi="仿宋_GB2312" w:eastAsia="仿宋_GB2312" w:cs="仿宋_GB2312"/>
                <w:color w:val="000000"/>
                <w:sz w:val="24"/>
                <w:szCs w:val="24"/>
              </w:rPr>
              <w:t>数量/</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当年</w:t>
            </w:r>
            <w:r>
              <w:rPr>
                <w:rFonts w:hint="eastAsia" w:ascii="仿宋_GB2312" w:hAnsi="仿宋_GB2312" w:eastAsia="仿宋_GB2312" w:cs="仿宋_GB2312"/>
                <w:color w:val="000000"/>
                <w:sz w:val="24"/>
                <w:szCs w:val="24"/>
                <w:lang w:val="en-US" w:eastAsia="zh-CN"/>
              </w:rPr>
              <w:t>疫点调查总任务</w:t>
            </w:r>
            <w:r>
              <w:rPr>
                <w:rFonts w:hint="eastAsia" w:ascii="仿宋_GB2312" w:hAnsi="仿宋_GB2312" w:eastAsia="仿宋_GB2312" w:cs="仿宋_GB2312"/>
                <w:color w:val="000000"/>
                <w:sz w:val="24"/>
                <w:szCs w:val="24"/>
              </w:rPr>
              <w:t>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承担</w:t>
            </w:r>
            <w:r>
              <w:rPr>
                <w:rFonts w:hint="eastAsia" w:ascii="仿宋_GB2312" w:hAnsi="仿宋_GB2312" w:eastAsia="仿宋_GB2312" w:cs="仿宋_GB2312"/>
                <w:color w:val="000000"/>
                <w:sz w:val="24"/>
                <w:szCs w:val="24"/>
                <w:lang w:val="en-US" w:eastAsia="zh-CN"/>
              </w:rPr>
              <w:t>辖区麻风</w:t>
            </w:r>
            <w:r>
              <w:rPr>
                <w:rFonts w:hint="eastAsia" w:ascii="仿宋_GB2312" w:hAnsi="仿宋_GB2312" w:eastAsia="仿宋_GB2312" w:cs="仿宋_GB2312"/>
                <w:color w:val="000000"/>
                <w:sz w:val="24"/>
                <w:szCs w:val="24"/>
              </w:rPr>
              <w:t>病防治项目</w:t>
            </w:r>
            <w:r>
              <w:rPr>
                <w:rFonts w:hint="eastAsia" w:ascii="仿宋_GB2312" w:hAnsi="仿宋_GB2312" w:eastAsia="仿宋_GB2312" w:cs="仿宋_GB2312"/>
                <w:color w:val="000000"/>
                <w:sz w:val="24"/>
                <w:szCs w:val="24"/>
                <w:lang w:val="en-US" w:eastAsia="zh-CN"/>
              </w:rPr>
              <w:t>强化病例发现完成</w:t>
            </w:r>
            <w:r>
              <w:rPr>
                <w:rFonts w:hint="eastAsia" w:ascii="仿宋_GB2312" w:hAnsi="仿宋_GB2312" w:eastAsia="仿宋_GB2312" w:cs="仿宋_GB2312"/>
                <w:color w:val="000000"/>
                <w:sz w:val="24"/>
                <w:szCs w:val="24"/>
              </w:rPr>
              <w:t>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w:t>
            </w:r>
            <w:r>
              <w:rPr>
                <w:rFonts w:hint="eastAsia" w:ascii="仿宋_GB2312" w:hAnsi="仿宋_GB2312" w:eastAsia="仿宋_GB2312" w:cs="仿宋_GB2312"/>
                <w:color w:val="000000"/>
                <w:sz w:val="24"/>
                <w:szCs w:val="24"/>
                <w:lang w:val="en-US" w:eastAsia="zh-CN"/>
              </w:rPr>
              <w:t>完成强化病例发现</w:t>
            </w:r>
            <w:r>
              <w:rPr>
                <w:rFonts w:hint="eastAsia" w:ascii="仿宋_GB2312" w:hAnsi="仿宋_GB2312" w:eastAsia="仿宋_GB2312" w:cs="仿宋_GB2312"/>
                <w:color w:val="000000"/>
                <w:sz w:val="24"/>
                <w:szCs w:val="24"/>
              </w:rPr>
              <w:t>数量/</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当年强化病例发现总任务量×100%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strike w:val="0"/>
                <w:dstrike w:val="0"/>
                <w:color w:val="000000"/>
                <w:sz w:val="24"/>
                <w:szCs w:val="24"/>
                <w:lang w:val="en-US" w:eastAsia="zh-CN"/>
              </w:rPr>
            </w:pPr>
            <w:r>
              <w:rPr>
                <w:rFonts w:hint="eastAsia" w:ascii="仿宋_GB2312" w:hAnsi="仿宋_GB2312" w:eastAsia="仿宋_GB2312" w:cs="仿宋_GB2312"/>
                <w:strike w:val="0"/>
                <w:dstrike w:val="0"/>
                <w:color w:val="000000"/>
                <w:sz w:val="24"/>
                <w:szCs w:val="24"/>
              </w:rPr>
              <w:t>2.</w:t>
            </w:r>
            <w:r>
              <w:rPr>
                <w:rFonts w:hint="eastAsia" w:ascii="仿宋_GB2312" w:hAnsi="仿宋_GB2312" w:eastAsia="仿宋_GB2312" w:cs="仿宋_GB2312"/>
                <w:strike w:val="0"/>
                <w:dstrike w:val="0"/>
                <w:color w:val="000000"/>
                <w:sz w:val="24"/>
                <w:szCs w:val="24"/>
                <w:lang w:val="en-US" w:eastAsia="zh-CN"/>
              </w:rPr>
              <w:t>3</w:t>
            </w:r>
            <w:r>
              <w:rPr>
                <w:rFonts w:hint="eastAsia" w:ascii="仿宋_GB2312" w:hAnsi="仿宋_GB2312" w:eastAsia="仿宋_GB2312" w:cs="仿宋_GB2312"/>
                <w:strike w:val="0"/>
                <w:dstrike w:val="0"/>
                <w:color w:val="000000"/>
                <w:sz w:val="24"/>
                <w:szCs w:val="24"/>
              </w:rPr>
              <w:t>.</w:t>
            </w:r>
            <w:r>
              <w:rPr>
                <w:rFonts w:hint="eastAsia" w:ascii="仿宋_GB2312" w:hAnsi="仿宋_GB2312" w:eastAsia="仿宋_GB2312" w:cs="仿宋_GB2312"/>
                <w:strike w:val="0"/>
                <w:dstrike w:val="0"/>
                <w:color w:val="000000"/>
                <w:sz w:val="24"/>
                <w:szCs w:val="24"/>
                <w:lang w:val="en-US" w:eastAsia="zh-CN"/>
              </w:rPr>
              <w:t>1.7</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trike w:val="0"/>
                <w:dstrike w:val="0"/>
                <w:color w:val="000000"/>
                <w:sz w:val="24"/>
                <w:szCs w:val="24"/>
              </w:rPr>
              <w:t>承担</w:t>
            </w:r>
            <w:r>
              <w:rPr>
                <w:rFonts w:hint="eastAsia" w:ascii="仿宋_GB2312" w:hAnsi="仿宋_GB2312" w:eastAsia="仿宋_GB2312" w:cs="仿宋_GB2312"/>
                <w:strike w:val="0"/>
                <w:dstrike w:val="0"/>
                <w:color w:val="000000"/>
                <w:sz w:val="24"/>
                <w:szCs w:val="24"/>
                <w:lang w:val="en-US" w:eastAsia="zh-CN"/>
              </w:rPr>
              <w:t>辖区</w:t>
            </w:r>
            <w:r>
              <w:rPr>
                <w:rFonts w:hint="eastAsia" w:ascii="仿宋_GB2312" w:hAnsi="仿宋_GB2312" w:eastAsia="仿宋_GB2312" w:cs="仿宋_GB2312"/>
                <w:strike w:val="0"/>
                <w:dstrike w:val="0"/>
                <w:color w:val="000000"/>
                <w:sz w:val="24"/>
                <w:szCs w:val="24"/>
              </w:rPr>
              <w:t>麻风病防治项目麻风病患者规则治疗率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trike w:val="0"/>
                <w:dstrike w:val="0"/>
                <w:color w:val="000000"/>
                <w:sz w:val="24"/>
                <w:szCs w:val="24"/>
                <w:lang w:val="en-US" w:eastAsia="zh-CN"/>
              </w:rPr>
              <w:t>辖区</w:t>
            </w:r>
            <w:r>
              <w:rPr>
                <w:rFonts w:hint="eastAsia" w:ascii="仿宋_GB2312" w:hAnsi="仿宋_GB2312" w:eastAsia="仿宋_GB2312" w:cs="仿宋_GB2312"/>
                <w:strike w:val="0"/>
                <w:dstrike w:val="0"/>
                <w:color w:val="000000"/>
                <w:sz w:val="24"/>
                <w:szCs w:val="24"/>
              </w:rPr>
              <w:t>年度内接受联合化疗规则治疗的病例数量/</w:t>
            </w:r>
            <w:r>
              <w:rPr>
                <w:rFonts w:hint="eastAsia" w:ascii="仿宋_GB2312" w:hAnsi="仿宋_GB2312" w:eastAsia="仿宋_GB2312" w:cs="仿宋_GB2312"/>
                <w:strike w:val="0"/>
                <w:dstrike w:val="0"/>
                <w:color w:val="000000"/>
                <w:sz w:val="24"/>
                <w:szCs w:val="24"/>
                <w:lang w:val="en-US" w:eastAsia="zh-CN"/>
              </w:rPr>
              <w:t>辖区当年</w:t>
            </w:r>
            <w:r>
              <w:rPr>
                <w:rFonts w:hint="eastAsia" w:ascii="仿宋_GB2312" w:hAnsi="仿宋_GB2312" w:eastAsia="仿宋_GB2312" w:cs="仿宋_GB2312"/>
                <w:strike w:val="0"/>
                <w:dstrike w:val="0"/>
                <w:color w:val="000000"/>
                <w:sz w:val="24"/>
                <w:szCs w:val="24"/>
              </w:rPr>
              <w:t>接受联合化疗的病例数×100%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2.3.1.8</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承担辖区麻风病防治项目可疑线索年报告率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辖区年度内完成可疑线索报告数量/辖区</w:t>
            </w:r>
            <w:r>
              <w:rPr>
                <w:rFonts w:hint="eastAsia" w:ascii="仿宋_GB2312" w:hAnsi="仿宋_GB2312" w:eastAsia="仿宋_GB2312" w:cs="仿宋_GB2312"/>
                <w:color w:val="000000"/>
                <w:sz w:val="24"/>
                <w:szCs w:val="24"/>
              </w:rPr>
              <w:t>当年可疑线索总任务量</w:t>
            </w:r>
            <w:r>
              <w:rPr>
                <w:rFonts w:hint="eastAsia" w:ascii="仿宋_GB2312" w:hAnsi="仿宋_GB2312" w:eastAsia="仿宋_GB2312" w:cs="仿宋_GB2312"/>
                <w:color w:val="000000"/>
                <w:sz w:val="24"/>
                <w:szCs w:val="24"/>
                <w:lang w:val="en-US" w:eastAsia="zh-CN"/>
              </w:rPr>
              <w:t>×100%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strike w:val="0"/>
                <w:dstrike w:val="0"/>
                <w:color w:val="000000"/>
                <w:sz w:val="24"/>
                <w:szCs w:val="24"/>
                <w:lang w:val="en-US" w:eastAsia="zh-CN"/>
              </w:rPr>
            </w:pPr>
            <w:r>
              <w:rPr>
                <w:rFonts w:hint="eastAsia" w:ascii="仿宋_GB2312" w:hAnsi="仿宋_GB2312" w:eastAsia="仿宋_GB2312" w:cs="仿宋_GB2312"/>
                <w:strike w:val="0"/>
                <w:dstrike w:val="0"/>
                <w:color w:val="000000"/>
                <w:sz w:val="24"/>
                <w:szCs w:val="24"/>
              </w:rPr>
              <w:t>2.</w:t>
            </w:r>
            <w:r>
              <w:rPr>
                <w:rFonts w:hint="eastAsia" w:ascii="仿宋_GB2312" w:hAnsi="仿宋_GB2312" w:eastAsia="仿宋_GB2312" w:cs="仿宋_GB2312"/>
                <w:strike w:val="0"/>
                <w:dstrike w:val="0"/>
                <w:color w:val="000000"/>
                <w:sz w:val="24"/>
                <w:szCs w:val="24"/>
                <w:lang w:val="en-US" w:eastAsia="zh-CN"/>
              </w:rPr>
              <w:t>3</w:t>
            </w:r>
            <w:r>
              <w:rPr>
                <w:rFonts w:hint="eastAsia" w:ascii="仿宋_GB2312" w:hAnsi="仿宋_GB2312" w:eastAsia="仿宋_GB2312" w:cs="仿宋_GB2312"/>
                <w:strike w:val="0"/>
                <w:dstrike w:val="0"/>
                <w:color w:val="000000"/>
                <w:sz w:val="24"/>
                <w:szCs w:val="24"/>
              </w:rPr>
              <w:t>.</w:t>
            </w:r>
            <w:r>
              <w:rPr>
                <w:rFonts w:hint="eastAsia" w:ascii="仿宋_GB2312" w:hAnsi="仿宋_GB2312" w:eastAsia="仿宋_GB2312" w:cs="仿宋_GB2312"/>
                <w:strike w:val="0"/>
                <w:dstrike w:val="0"/>
                <w:color w:val="000000"/>
                <w:sz w:val="24"/>
                <w:szCs w:val="24"/>
                <w:lang w:val="en-US" w:eastAsia="zh-CN"/>
              </w:rPr>
              <w:t>1.9</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全国麻风病防治管理信息系统中辖区患者随访记录终审通过率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全国麻风病防治管理信息系统中</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年度内随访记录终审通过数/全国麻风病防治管理信息系统中</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当年随访记录总数×100%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2.3.1.10</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辖区新发儿童麻风病患者现场核查率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辖区年度内新发儿童麻风病患者现场核查数/辖区当年新发儿童麻风病患者数×100%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2.3.1.11</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辖区新发麻风病患者开始联合化疗后</w:t>
            </w:r>
            <w:r>
              <w:rPr>
                <w:rFonts w:hint="default"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val="en-US" w:eastAsia="zh-CN"/>
              </w:rPr>
              <w:t>年内新发生2级畸残比</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辖区年度内新发麻风病患者开始联合化疗后2年内发生2级畸残的病例数/辖区当年开始联合化疗的病例数×100%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3.1.12</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麻风病防治技能培训覆盖率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年度内开展麻风病防治技能培训地市数量/</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当年地市行政区划数量×100%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3.1.13</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新（复）发麻风患者皮肤</w:t>
            </w:r>
            <w:r>
              <w:rPr>
                <w:rFonts w:hint="eastAsia" w:ascii="仿宋_GB2312" w:hAnsi="仿宋_GB2312" w:eastAsia="仿宋_GB2312" w:cs="仿宋_GB2312"/>
                <w:color w:val="000000"/>
                <w:sz w:val="24"/>
                <w:szCs w:val="24"/>
                <w:lang w:eastAsia="zh-CN"/>
              </w:rPr>
              <w:t>涂</w:t>
            </w:r>
            <w:r>
              <w:rPr>
                <w:rFonts w:hint="eastAsia" w:ascii="仿宋_GB2312" w:hAnsi="仿宋_GB2312" w:eastAsia="仿宋_GB2312" w:cs="仿宋_GB2312"/>
                <w:color w:val="000000"/>
                <w:sz w:val="24"/>
                <w:szCs w:val="24"/>
              </w:rPr>
              <w:t>片查菌率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辖区年度</w:t>
            </w:r>
            <w:r>
              <w:rPr>
                <w:rFonts w:hint="eastAsia" w:ascii="仿宋_GB2312" w:hAnsi="仿宋_GB2312" w:eastAsia="仿宋_GB2312" w:cs="仿宋_GB2312"/>
                <w:color w:val="000000"/>
                <w:sz w:val="24"/>
                <w:szCs w:val="24"/>
              </w:rPr>
              <w:t>内新（复）发麻风病患者皮肤组织液抗酸杆菌检测人数/</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当年新（复）发麻风病患者总数×100%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3.1.14</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新（复）发麻风患者皮肤</w:t>
            </w:r>
            <w:r>
              <w:rPr>
                <w:rFonts w:hint="eastAsia" w:ascii="仿宋_GB2312" w:hAnsi="仿宋_GB2312" w:eastAsia="仿宋_GB2312" w:cs="仿宋_GB2312"/>
                <w:color w:val="000000"/>
                <w:sz w:val="24"/>
                <w:szCs w:val="24"/>
                <w:lang w:val="en-US" w:eastAsia="zh-CN"/>
              </w:rPr>
              <w:t>组织病理</w:t>
            </w:r>
            <w:r>
              <w:rPr>
                <w:rFonts w:hint="eastAsia" w:ascii="仿宋_GB2312" w:hAnsi="仿宋_GB2312" w:eastAsia="仿宋_GB2312" w:cs="仿宋_GB2312"/>
                <w:color w:val="000000"/>
                <w:sz w:val="24"/>
                <w:szCs w:val="24"/>
              </w:rPr>
              <w:t>检查率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年度内新（复）发麻风病患者皮肤组织病理检查人数/</w:t>
            </w: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当年新（复）发麻风病患者总数×100%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3.1.15</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辖区</w:t>
            </w:r>
            <w:r>
              <w:rPr>
                <w:rFonts w:hint="eastAsia" w:ascii="仿宋_GB2312" w:hAnsi="仿宋_GB2312" w:eastAsia="仿宋_GB2312" w:cs="仿宋_GB2312"/>
                <w:color w:val="000000"/>
                <w:sz w:val="24"/>
                <w:szCs w:val="24"/>
              </w:rPr>
              <w:t>新发麻风</w:t>
            </w:r>
            <w:r>
              <w:rPr>
                <w:rFonts w:hint="eastAsia" w:ascii="仿宋_GB2312" w:hAnsi="仿宋_GB2312" w:eastAsia="仿宋_GB2312" w:cs="仿宋_GB2312"/>
                <w:color w:val="000000"/>
                <w:sz w:val="24"/>
                <w:szCs w:val="24"/>
                <w:lang w:val="en-US" w:eastAsia="zh-CN"/>
              </w:rPr>
              <w:t>病</w:t>
            </w:r>
            <w:r>
              <w:rPr>
                <w:rFonts w:hint="eastAsia" w:ascii="仿宋_GB2312" w:hAnsi="仿宋_GB2312" w:eastAsia="仿宋_GB2312" w:cs="仿宋_GB2312"/>
                <w:color w:val="000000"/>
                <w:sz w:val="24"/>
                <w:szCs w:val="24"/>
              </w:rPr>
              <w:t>患者DDS综合征易感基因检测率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辖</w:t>
            </w:r>
            <w:r>
              <w:rPr>
                <w:rFonts w:hint="eastAsia" w:ascii="仿宋_GB2312" w:hAnsi="仿宋_GB2312" w:eastAsia="仿宋_GB2312" w:cs="仿宋_GB2312"/>
                <w:color w:val="000000"/>
                <w:sz w:val="24"/>
                <w:szCs w:val="24"/>
              </w:rPr>
              <w:t>区年度内新发麻风病患者DDS综合征易感基因检测人数/全区当年新发麻风病人数×100%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10178" w:type="dxa"/>
            <w:gridSpan w:val="5"/>
            <w:noWrap w:val="0"/>
            <w:tcMar>
              <w:top w:w="15" w:type="dxa"/>
              <w:left w:w="15" w:type="dxa"/>
              <w:right w:w="15" w:type="dxa"/>
            </w:tcMar>
            <w:vAlign w:val="center"/>
          </w:tcPr>
          <w:p>
            <w:pPr>
              <w:shd w:val="clear" w:color="auto" w:fill="FFFFFF"/>
              <w:spacing w:line="300" w:lineRule="exact"/>
              <w:ind w:left="105" w:leftChars="50" w:right="105" w:rightChars="50"/>
              <w:jc w:val="left"/>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2.3.2 性病防治服务质量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b w:val="0"/>
                <w:bCs w:val="0"/>
                <w:color w:val="000000"/>
                <w:sz w:val="24"/>
                <w:szCs w:val="24"/>
                <w:highlight w:val="none"/>
                <w:shd w:val="clear" w:color="auto" w:fill="FFFFFF"/>
                <w:lang w:val="en-US" w:eastAsia="zh-CN" w:bidi="ar-SA"/>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2.3.2.1</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辖区梅毒患者诊疗规范情况核查覆盖率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辖区年度内对梅毒患者诊疗规范情况进行核查覆盖的地市数量/辖区当年地市行政区划数量×100%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sz w:val="24"/>
                <w:szCs w:val="24"/>
                <w:lang w:val="en-US" w:eastAsia="zh-CN"/>
              </w:rPr>
              <w:t>3.2.2</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w:t>
            </w:r>
            <w:r>
              <w:rPr>
                <w:rFonts w:hint="eastAsia" w:ascii="仿宋_GB2312" w:hAnsi="黑体" w:eastAsia="仿宋_GB2312" w:cs="黑体"/>
                <w:b w:val="0"/>
                <w:bCs w:val="0"/>
                <w:color w:val="000000"/>
                <w:kern w:val="0"/>
                <w:sz w:val="24"/>
                <w:szCs w:val="24"/>
              </w:rPr>
              <w:t>梅毒母婴阻断工作</w:t>
            </w:r>
            <w:r>
              <w:rPr>
                <w:rFonts w:hint="eastAsia" w:ascii="仿宋_GB2312" w:hAnsi="仿宋_GB2312" w:eastAsia="仿宋_GB2312" w:cs="仿宋_GB2312"/>
                <w:b w:val="0"/>
                <w:bCs w:val="0"/>
                <w:color w:val="000000"/>
                <w:sz w:val="24"/>
                <w:szCs w:val="24"/>
                <w:highlight w:val="none"/>
                <w:shd w:val="clear" w:color="auto" w:fill="FFFFFF"/>
                <w:lang w:val="en-US" w:eastAsia="zh-CN" w:bidi="ar-SA"/>
              </w:rPr>
              <w:t>情况核查覆盖率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辖区年度内对广西</w:t>
            </w:r>
            <w:r>
              <w:rPr>
                <w:rFonts w:hint="eastAsia" w:ascii="仿宋_GB2312" w:hAnsi="黑体" w:eastAsia="仿宋_GB2312" w:cs="黑体"/>
                <w:b w:val="0"/>
                <w:bCs w:val="0"/>
                <w:color w:val="000000"/>
                <w:kern w:val="0"/>
                <w:sz w:val="24"/>
                <w:szCs w:val="24"/>
              </w:rPr>
              <w:t>梅毒母婴阻断工作</w:t>
            </w:r>
            <w:r>
              <w:rPr>
                <w:rFonts w:hint="eastAsia" w:ascii="仿宋_GB2312" w:hAnsi="仿宋_GB2312" w:eastAsia="仿宋_GB2312" w:cs="仿宋_GB2312"/>
                <w:b w:val="0"/>
                <w:bCs w:val="0"/>
                <w:color w:val="000000"/>
                <w:sz w:val="24"/>
                <w:szCs w:val="24"/>
                <w:highlight w:val="none"/>
                <w:shd w:val="clear" w:color="auto" w:fill="FFFFFF"/>
                <w:lang w:val="en-US" w:eastAsia="zh-CN" w:bidi="ar-SA"/>
              </w:rPr>
              <w:t>情况进行核查覆盖的地市数量/辖区当年地市行政区划数量×100%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sz w:val="24"/>
                <w:szCs w:val="24"/>
                <w:lang w:val="en-US" w:eastAsia="zh-CN"/>
              </w:rPr>
              <w:t>3.2.3</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辖区性病诊疗机构主动筛查梅毒情况核查覆盖率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辖区年度内对广西性病诊疗机构主动筛查梅毒情况进行核查覆盖的地市数量/辖区当年地市行政区划数量×100%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sz w:val="24"/>
                <w:szCs w:val="24"/>
                <w:lang w:val="en-US" w:eastAsia="zh-CN"/>
              </w:rPr>
              <w:t>3.2.4</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w:t>
            </w:r>
            <w:r>
              <w:rPr>
                <w:rFonts w:hint="eastAsia" w:ascii="仿宋_GB2312" w:hAnsi="黑体" w:eastAsia="仿宋_GB2312" w:cs="黑体"/>
                <w:b w:val="0"/>
                <w:bCs w:val="0"/>
                <w:color w:val="000000"/>
                <w:kern w:val="0"/>
                <w:sz w:val="24"/>
                <w:szCs w:val="24"/>
              </w:rPr>
              <w:t>艾滋病咨询检测点的受检者和社区药物维持治疗门诊的服药者接受免费梅毒检测</w:t>
            </w:r>
            <w:r>
              <w:rPr>
                <w:rFonts w:hint="eastAsia" w:ascii="仿宋_GB2312" w:hAnsi="仿宋_GB2312" w:eastAsia="仿宋_GB2312" w:cs="仿宋_GB2312"/>
                <w:b w:val="0"/>
                <w:bCs w:val="0"/>
                <w:color w:val="000000"/>
                <w:sz w:val="24"/>
                <w:szCs w:val="24"/>
                <w:highlight w:val="none"/>
                <w:shd w:val="clear" w:color="auto" w:fill="FFFFFF"/>
                <w:lang w:val="en-US" w:eastAsia="zh-CN" w:bidi="ar-SA"/>
              </w:rPr>
              <w:t>情况核查覆盖率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辖区年度内对广西</w:t>
            </w:r>
            <w:r>
              <w:rPr>
                <w:rFonts w:hint="eastAsia" w:ascii="仿宋_GB2312" w:hAnsi="黑体" w:eastAsia="仿宋_GB2312" w:cs="黑体"/>
                <w:b w:val="0"/>
                <w:bCs w:val="0"/>
                <w:color w:val="000000"/>
                <w:kern w:val="0"/>
                <w:sz w:val="24"/>
                <w:szCs w:val="24"/>
              </w:rPr>
              <w:t>艾滋病咨询检测点的受检者和社区药物维持治疗门诊的服药者接受免费梅毒检测</w:t>
            </w:r>
            <w:r>
              <w:rPr>
                <w:rFonts w:hint="eastAsia" w:ascii="仿宋_GB2312" w:hAnsi="仿宋_GB2312" w:eastAsia="仿宋_GB2312" w:cs="仿宋_GB2312"/>
                <w:b w:val="0"/>
                <w:bCs w:val="0"/>
                <w:color w:val="000000"/>
                <w:sz w:val="24"/>
                <w:szCs w:val="24"/>
                <w:highlight w:val="none"/>
                <w:shd w:val="clear" w:color="auto" w:fill="FFFFFF"/>
                <w:lang w:val="en-US" w:eastAsia="zh-CN" w:bidi="ar-SA"/>
              </w:rPr>
              <w:t>情况进行核查覆盖的地市数量/辖区当年地市行政区划数量×100%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sz w:val="24"/>
                <w:szCs w:val="24"/>
                <w:lang w:val="en-US" w:eastAsia="zh-CN"/>
              </w:rPr>
              <w:t>3.2.5</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w:t>
            </w:r>
            <w:r>
              <w:rPr>
                <w:rFonts w:hint="eastAsia" w:ascii="仿宋_GB2312" w:hAnsi="仿宋_GB2312" w:eastAsia="仿宋_GB2312" w:cs="仿宋_GB2312"/>
                <w:b w:val="0"/>
                <w:bCs w:val="0"/>
                <w:color w:val="000000"/>
                <w:sz w:val="24"/>
                <w:szCs w:val="24"/>
                <w:lang w:val="en-US" w:eastAsia="zh-CN"/>
              </w:rPr>
              <w:t>性病</w:t>
            </w:r>
            <w:r>
              <w:rPr>
                <w:rFonts w:hint="eastAsia" w:ascii="仿宋_GB2312" w:hAnsi="仿宋_GB2312" w:eastAsia="仿宋_GB2312" w:cs="仿宋_GB2312"/>
                <w:b w:val="0"/>
                <w:bCs w:val="0"/>
                <w:color w:val="000000"/>
                <w:sz w:val="24"/>
                <w:szCs w:val="24"/>
              </w:rPr>
              <w:t>防治</w:t>
            </w:r>
            <w:r>
              <w:rPr>
                <w:rFonts w:hint="eastAsia" w:ascii="仿宋_GB2312" w:hAnsi="仿宋_GB2312" w:eastAsia="仿宋_GB2312" w:cs="仿宋_GB2312"/>
                <w:b w:val="0"/>
                <w:bCs w:val="0"/>
                <w:color w:val="000000"/>
                <w:sz w:val="24"/>
                <w:szCs w:val="24"/>
                <w:lang w:val="en-US" w:eastAsia="zh-CN"/>
              </w:rPr>
              <w:t>技术</w:t>
            </w:r>
            <w:r>
              <w:rPr>
                <w:rFonts w:hint="eastAsia" w:ascii="仿宋_GB2312" w:hAnsi="仿宋_GB2312" w:eastAsia="仿宋_GB2312" w:cs="仿宋_GB2312"/>
                <w:b w:val="0"/>
                <w:bCs w:val="0"/>
                <w:color w:val="000000"/>
                <w:sz w:val="24"/>
                <w:szCs w:val="24"/>
              </w:rPr>
              <w:t>培训覆盖率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w:t>
            </w:r>
            <w:r>
              <w:rPr>
                <w:rFonts w:hint="eastAsia" w:ascii="仿宋_GB2312" w:hAnsi="仿宋_GB2312" w:eastAsia="仿宋_GB2312" w:cs="仿宋_GB2312"/>
                <w:b w:val="0"/>
                <w:bCs w:val="0"/>
                <w:color w:val="000000"/>
                <w:sz w:val="24"/>
                <w:szCs w:val="24"/>
              </w:rPr>
              <w:t>年度内</w:t>
            </w:r>
            <w:r>
              <w:rPr>
                <w:rFonts w:hint="eastAsia" w:ascii="仿宋_GB2312" w:hAnsi="仿宋_GB2312" w:eastAsia="仿宋_GB2312" w:cs="仿宋_GB2312"/>
                <w:b w:val="0"/>
                <w:bCs w:val="0"/>
                <w:color w:val="000000"/>
                <w:sz w:val="24"/>
                <w:szCs w:val="24"/>
                <w:lang w:val="en-US" w:eastAsia="zh-CN"/>
              </w:rPr>
              <w:t>对医务人员开展性病</w:t>
            </w:r>
            <w:r>
              <w:rPr>
                <w:rFonts w:hint="eastAsia" w:ascii="仿宋_GB2312" w:hAnsi="仿宋_GB2312" w:eastAsia="仿宋_GB2312" w:cs="仿宋_GB2312"/>
                <w:b w:val="0"/>
                <w:bCs w:val="0"/>
                <w:color w:val="000000"/>
                <w:sz w:val="24"/>
                <w:szCs w:val="24"/>
              </w:rPr>
              <w:t>防治</w:t>
            </w:r>
            <w:r>
              <w:rPr>
                <w:rFonts w:hint="eastAsia" w:ascii="仿宋_GB2312" w:hAnsi="仿宋_GB2312" w:eastAsia="仿宋_GB2312" w:cs="仿宋_GB2312"/>
                <w:b w:val="0"/>
                <w:bCs w:val="0"/>
                <w:color w:val="000000"/>
                <w:sz w:val="24"/>
                <w:szCs w:val="24"/>
                <w:lang w:val="en-US" w:eastAsia="zh-CN"/>
              </w:rPr>
              <w:t>技术</w:t>
            </w:r>
            <w:r>
              <w:rPr>
                <w:rFonts w:hint="eastAsia" w:ascii="仿宋_GB2312" w:hAnsi="仿宋_GB2312" w:eastAsia="仿宋_GB2312" w:cs="仿宋_GB2312"/>
                <w:b w:val="0"/>
                <w:bCs w:val="0"/>
                <w:color w:val="000000"/>
                <w:sz w:val="24"/>
                <w:szCs w:val="24"/>
              </w:rPr>
              <w:t>培训</w:t>
            </w:r>
            <w:r>
              <w:rPr>
                <w:rFonts w:hint="eastAsia" w:ascii="仿宋_GB2312" w:hAnsi="仿宋_GB2312" w:eastAsia="仿宋_GB2312" w:cs="仿宋_GB2312"/>
                <w:b w:val="0"/>
                <w:bCs w:val="0"/>
                <w:color w:val="000000"/>
                <w:sz w:val="24"/>
                <w:szCs w:val="24"/>
                <w:lang w:val="en-US" w:eastAsia="zh-CN"/>
              </w:rPr>
              <w:t>覆盖的</w:t>
            </w:r>
            <w:r>
              <w:rPr>
                <w:rFonts w:hint="eastAsia" w:ascii="仿宋_GB2312" w:hAnsi="仿宋_GB2312" w:eastAsia="仿宋_GB2312" w:cs="仿宋_GB2312"/>
                <w:b w:val="0"/>
                <w:bCs w:val="0"/>
                <w:color w:val="000000"/>
                <w:sz w:val="24"/>
                <w:szCs w:val="24"/>
              </w:rPr>
              <w:t>地市</w:t>
            </w:r>
            <w:r>
              <w:rPr>
                <w:rFonts w:hint="eastAsia" w:ascii="仿宋_GB2312" w:hAnsi="仿宋_GB2312" w:eastAsia="仿宋_GB2312" w:cs="仿宋_GB2312"/>
                <w:b w:val="0"/>
                <w:bCs w:val="0"/>
                <w:color w:val="000000"/>
                <w:sz w:val="24"/>
                <w:szCs w:val="24"/>
                <w:lang w:val="en-US" w:eastAsia="zh-CN"/>
              </w:rPr>
              <w:t>数</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辖区当年</w:t>
            </w:r>
            <w:r>
              <w:rPr>
                <w:rFonts w:hint="eastAsia" w:ascii="仿宋_GB2312" w:hAnsi="仿宋_GB2312" w:eastAsia="仿宋_GB2312" w:cs="仿宋_GB2312"/>
                <w:b w:val="0"/>
                <w:bCs w:val="0"/>
                <w:color w:val="000000"/>
                <w:sz w:val="24"/>
                <w:szCs w:val="24"/>
              </w:rPr>
              <w:t>地市行政区划数量×100%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2853"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sz w:val="24"/>
                <w:szCs w:val="24"/>
                <w:lang w:val="en-US" w:eastAsia="zh-CN"/>
              </w:rPr>
              <w:t>3.2.6</w:t>
            </w:r>
          </w:p>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w:t>
            </w:r>
            <w:r>
              <w:rPr>
                <w:rFonts w:hint="eastAsia" w:ascii="仿宋_GB2312" w:hAnsi="黑体" w:eastAsia="仿宋_GB2312" w:cs="黑体"/>
                <w:b w:val="0"/>
                <w:bCs w:val="0"/>
                <w:color w:val="000000"/>
                <w:kern w:val="0"/>
                <w:sz w:val="24"/>
                <w:szCs w:val="24"/>
              </w:rPr>
              <w:t>医疗机构性病病例报告质量</w:t>
            </w:r>
            <w:r>
              <w:rPr>
                <w:rFonts w:hint="eastAsia" w:ascii="仿宋_GB2312" w:hAnsi="仿宋_GB2312" w:eastAsia="仿宋_GB2312" w:cs="仿宋_GB2312"/>
                <w:b w:val="0"/>
                <w:bCs w:val="0"/>
                <w:color w:val="000000"/>
                <w:sz w:val="24"/>
                <w:szCs w:val="24"/>
                <w:highlight w:val="none"/>
                <w:shd w:val="clear" w:color="auto" w:fill="FFFFFF"/>
                <w:lang w:val="en-US" w:eastAsia="zh-CN" w:bidi="ar-SA"/>
              </w:rPr>
              <w:t>情况核查覆盖率</w:t>
            </w:r>
          </w:p>
        </w:tc>
        <w:tc>
          <w:tcPr>
            <w:tcW w:w="3169" w:type="dxa"/>
            <w:noWrap w:val="0"/>
            <w:tcMar>
              <w:top w:w="15" w:type="dxa"/>
              <w:left w:w="15" w:type="dxa"/>
              <w:right w:w="15" w:type="dxa"/>
            </w:tcMar>
            <w:vAlign w:val="center"/>
          </w:tcPr>
          <w:p>
            <w:pPr>
              <w:pStyle w:val="25"/>
              <w:shd w:val="clear" w:color="auto" w:fill="FFFFFF"/>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highlight w:val="none"/>
                <w:shd w:val="clear" w:color="auto" w:fill="FFFFFF"/>
                <w:lang w:val="en-US" w:eastAsia="zh-CN" w:bidi="ar-SA"/>
              </w:rPr>
              <w:t>辖区年度内对广西</w:t>
            </w:r>
            <w:r>
              <w:rPr>
                <w:rFonts w:hint="eastAsia" w:ascii="仿宋_GB2312" w:hAnsi="黑体" w:eastAsia="仿宋_GB2312" w:cs="黑体"/>
                <w:b w:val="0"/>
                <w:bCs w:val="0"/>
                <w:color w:val="000000"/>
                <w:kern w:val="0"/>
                <w:sz w:val="24"/>
                <w:szCs w:val="24"/>
              </w:rPr>
              <w:t>医疗机构性病病例报告质量</w:t>
            </w:r>
            <w:r>
              <w:rPr>
                <w:rFonts w:hint="eastAsia" w:ascii="仿宋_GB2312" w:hAnsi="仿宋_GB2312" w:eastAsia="仿宋_GB2312" w:cs="仿宋_GB2312"/>
                <w:b w:val="0"/>
                <w:bCs w:val="0"/>
                <w:color w:val="000000"/>
                <w:sz w:val="24"/>
                <w:szCs w:val="24"/>
                <w:highlight w:val="none"/>
                <w:shd w:val="clear" w:color="auto" w:fill="FFFFFF"/>
                <w:lang w:val="en-US" w:eastAsia="zh-CN" w:bidi="ar-SA"/>
              </w:rPr>
              <w:t>情况进行核查覆盖的地市数量/辖区当年地市行政区划数量×100%</w:t>
            </w:r>
          </w:p>
        </w:tc>
        <w:tc>
          <w:tcPr>
            <w:tcW w:w="1075"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609" w:type="dxa"/>
            <w:noWrap w:val="0"/>
            <w:tcMar>
              <w:top w:w="15" w:type="dxa"/>
              <w:left w:w="15" w:type="dxa"/>
              <w:right w:w="15" w:type="dxa"/>
            </w:tcMar>
            <w:vAlign w:val="center"/>
          </w:tcPr>
          <w:p>
            <w:pPr>
              <w:pStyle w:val="25"/>
              <w:shd w:val="clear" w:color="auto" w:fill="FFFFFF"/>
              <w:spacing w:line="30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72" w:type="dxa"/>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bl>
    <w:p>
      <w:pPr>
        <w:pStyle w:val="2"/>
        <w:jc w:val="both"/>
        <w:rPr>
          <w:rFonts w:hint="default"/>
          <w:color w:val="000000"/>
          <w:sz w:val="28"/>
          <w:szCs w:val="28"/>
        </w:rPr>
      </w:pPr>
    </w:p>
    <w:p>
      <w:pPr>
        <w:pStyle w:val="5"/>
        <w:bidi w:val="0"/>
        <w:rPr>
          <w:rFonts w:hint="eastAsia"/>
          <w:color w:val="000000"/>
          <w:lang w:eastAsia="zh-CN"/>
        </w:rPr>
      </w:pPr>
      <w:bookmarkStart w:id="109" w:name="_Toc29112"/>
      <w:r>
        <w:rPr>
          <w:rFonts w:hint="eastAsia"/>
          <w:color w:val="000000"/>
          <w:lang w:val="en-US" w:eastAsia="zh-CN"/>
        </w:rPr>
        <w:t>四</w:t>
      </w:r>
      <w:r>
        <w:rPr>
          <w:rFonts w:hint="eastAsia"/>
          <w:color w:val="000000"/>
        </w:rPr>
        <w:t>、医疗安全指标</w:t>
      </w:r>
      <w:bookmarkEnd w:id="106"/>
      <w:bookmarkEnd w:id="107"/>
      <w:r>
        <w:rPr>
          <w:rFonts w:hint="eastAsia"/>
          <w:color w:val="000000"/>
          <w:lang w:eastAsia="zh-CN"/>
        </w:rPr>
        <w:t>（</w:t>
      </w:r>
      <w:r>
        <w:rPr>
          <w:rFonts w:hint="eastAsia"/>
          <w:color w:val="000000"/>
          <w:lang w:val="en-US" w:eastAsia="zh-CN"/>
        </w:rPr>
        <w:t>39分</w:t>
      </w:r>
      <w:r>
        <w:rPr>
          <w:rFonts w:hint="eastAsia"/>
          <w:color w:val="000000"/>
          <w:lang w:eastAsia="zh-CN"/>
        </w:rPr>
        <w:t>）</w:t>
      </w:r>
      <w:bookmarkEnd w:id="109"/>
    </w:p>
    <w:p>
      <w:pPr>
        <w:jc w:val="both"/>
        <w:rPr>
          <w:rFonts w:hint="default"/>
          <w:color w:val="000000"/>
        </w:rPr>
      </w:pPr>
      <w:r>
        <w:rPr>
          <w:rStyle w:val="20"/>
          <w:rFonts w:hint="default" w:hAnsi="仿宋_GB2312"/>
          <w:color w:val="000000"/>
          <w:sz w:val="28"/>
          <w:szCs w:val="28"/>
        </w:rPr>
        <w:t>本节评审设</w:t>
      </w:r>
      <w:r>
        <w:rPr>
          <w:rStyle w:val="20"/>
          <w:rFonts w:hint="eastAsia" w:hAnsi="仿宋_GB2312"/>
          <w:color w:val="000000"/>
          <w:sz w:val="28"/>
          <w:szCs w:val="28"/>
          <w:lang w:val="en-US" w:eastAsia="zh-CN"/>
        </w:rPr>
        <w:t>13</w:t>
      </w:r>
      <w:r>
        <w:rPr>
          <w:rStyle w:val="20"/>
          <w:rFonts w:hint="default" w:hAnsi="仿宋_GB2312"/>
          <w:color w:val="000000"/>
          <w:sz w:val="28"/>
          <w:szCs w:val="28"/>
        </w:rPr>
        <w:t>条</w:t>
      </w:r>
      <w:r>
        <w:rPr>
          <w:rStyle w:val="20"/>
          <w:rFonts w:hint="eastAsia" w:hAnsi="仿宋_GB2312"/>
          <w:color w:val="000000"/>
          <w:sz w:val="28"/>
          <w:szCs w:val="28"/>
          <w:lang w:val="en-US" w:eastAsia="zh-CN"/>
        </w:rPr>
        <w:t>13</w:t>
      </w:r>
      <w:r>
        <w:rPr>
          <w:rStyle w:val="20"/>
          <w:rFonts w:hint="default" w:hAnsi="仿宋_GB2312"/>
          <w:color w:val="000000"/>
          <w:sz w:val="28"/>
          <w:szCs w:val="28"/>
        </w:rPr>
        <w:t>个指标，均为数据评审指标，共</w:t>
      </w:r>
      <w:r>
        <w:rPr>
          <w:rStyle w:val="20"/>
          <w:rFonts w:hint="eastAsia" w:hAnsi="仿宋_GB2312"/>
          <w:color w:val="000000"/>
          <w:sz w:val="28"/>
          <w:szCs w:val="28"/>
          <w:lang w:val="en-US" w:eastAsia="zh-CN"/>
        </w:rPr>
        <w:t>39</w:t>
      </w:r>
      <w:r>
        <w:rPr>
          <w:rStyle w:val="20"/>
          <w:rFonts w:hint="default" w:hAnsi="仿宋_GB2312"/>
          <w:color w:val="000000"/>
          <w:sz w:val="28"/>
          <w:szCs w:val="28"/>
        </w:rPr>
        <w:t>分。</w:t>
      </w:r>
    </w:p>
    <w:tbl>
      <w:tblPr>
        <w:tblStyle w:val="14"/>
        <w:tblW w:w="10252" w:type="dxa"/>
        <w:jc w:val="center"/>
        <w:shd w:val="clear" w:color="auto" w:fill="FFFFFF"/>
        <w:tblLayout w:type="fixed"/>
        <w:tblCellMar>
          <w:top w:w="0" w:type="dxa"/>
          <w:left w:w="0" w:type="dxa"/>
          <w:bottom w:w="0" w:type="dxa"/>
          <w:right w:w="0" w:type="dxa"/>
        </w:tblCellMar>
      </w:tblPr>
      <w:tblGrid>
        <w:gridCol w:w="3052"/>
        <w:gridCol w:w="2888"/>
        <w:gridCol w:w="1012"/>
        <w:gridCol w:w="732"/>
        <w:gridCol w:w="2568"/>
      </w:tblGrid>
      <w:tr>
        <w:tblPrEx>
          <w:tblCellMar>
            <w:top w:w="0" w:type="dxa"/>
            <w:left w:w="0" w:type="dxa"/>
            <w:bottom w:w="0" w:type="dxa"/>
            <w:right w:w="0" w:type="dxa"/>
          </w:tblCellMar>
        </w:tblPrEx>
        <w:trPr>
          <w:trHeight w:val="551" w:hRule="atLeast"/>
          <w:tblHeader/>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监测指标</w:t>
            </w:r>
          </w:p>
        </w:tc>
        <w:tc>
          <w:tcPr>
            <w:tcW w:w="2888"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计算方法</w:t>
            </w:r>
          </w:p>
        </w:tc>
        <w:tc>
          <w:tcPr>
            <w:tcW w:w="101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lang w:val="en-US" w:eastAsia="zh-CN"/>
              </w:rPr>
              <w:t>指标设定</w:t>
            </w:r>
          </w:p>
        </w:tc>
        <w:tc>
          <w:tcPr>
            <w:tcW w:w="73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分值</w:t>
            </w:r>
          </w:p>
        </w:tc>
        <w:tc>
          <w:tcPr>
            <w:tcW w:w="2568"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shd w:val="clear" w:color="auto" w:fill="FFFFFF"/>
          <w:tblCellMar>
            <w:top w:w="0" w:type="dxa"/>
            <w:left w:w="0" w:type="dxa"/>
            <w:bottom w:w="0" w:type="dxa"/>
            <w:right w:w="0" w:type="dxa"/>
          </w:tblCellMar>
        </w:tblPrEx>
        <w:trPr>
          <w:trHeight w:val="113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eastAsia" w:ascii="仿宋_GB2312"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eastAsia="仿宋_GB2312" w:cs="仿宋_GB2312"/>
                <w:b w:val="0"/>
                <w:bCs w:val="0"/>
                <w:i w:val="0"/>
                <w:iCs w:val="0"/>
                <w:color w:val="000000"/>
                <w:spacing w:val="0"/>
                <w:w w:val="100"/>
                <w:kern w:val="2"/>
                <w:sz w:val="24"/>
                <w:szCs w:val="24"/>
                <w:highlight w:val="none"/>
                <w:vertAlign w:val="baseline"/>
                <w:lang w:val="en-US" w:eastAsia="zh-CN" w:bidi="ar-SA"/>
              </w:rPr>
              <w:t>2.4.1</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皮肤病皮损内注射过敏发生率</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皮损内注射实际过敏发生人（次）数/同期接受皮损内注射总人（次）数×100%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13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2.4.2</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神经梅毒腰椎穿刺术术后感染率</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神经梅毒患者腰椎穿刺术术后感染人次/神经梅毒患者腰椎穿刺术总人次×100%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67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4.3</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手术患者手术后深静脉血栓发生例数和发生率</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ICD-10编码：I80.2，I82.8的手术出院患者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手术出院患者手术后深静脉血栓发生例数/同期手术患者出院人次×100%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955"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4.4</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手术患者手术后</w:t>
            </w:r>
            <w:r>
              <w:rPr>
                <w:rFonts w:hint="eastAsia" w:ascii="仿宋_GB2312" w:hAnsi="仿宋_GB2312" w:eastAsia="仿宋_GB2312" w:cs="仿宋_GB2312"/>
                <w:color w:val="000000"/>
                <w:sz w:val="24"/>
                <w:szCs w:val="24"/>
                <w:lang w:val="en-US" w:eastAsia="zh-CN"/>
              </w:rPr>
              <w:t>脓毒</w:t>
            </w:r>
            <w:r>
              <w:rPr>
                <w:rFonts w:hint="eastAsia" w:ascii="仿宋_GB2312" w:hAnsi="仿宋_GB2312" w:eastAsia="仿宋_GB2312" w:cs="仿宋_GB2312"/>
                <w:color w:val="000000"/>
                <w:sz w:val="24"/>
                <w:szCs w:val="24"/>
              </w:rPr>
              <w:t>症发生例数和发生率</w:t>
            </w:r>
          </w:p>
          <w:p>
            <w:pPr>
              <w:pStyle w:val="25"/>
              <w:spacing w:line="300" w:lineRule="exact"/>
              <w:ind w:left="105" w:leftChars="50" w:right="105" w:rightChars="5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ICD-10 编码：A40.0 至 A40.9，A41.0 至A41.9，T81.411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B37.700,</w:t>
            </w:r>
          </w:p>
          <w:p>
            <w:pPr>
              <w:pStyle w:val="25"/>
              <w:spacing w:line="300" w:lineRule="exact"/>
              <w:ind w:left="105" w:leftChars="50" w:right="105" w:rightChars="5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B49.x00x019</w:t>
            </w:r>
            <w:r>
              <w:rPr>
                <w:rFonts w:hint="eastAsia" w:ascii="仿宋_GB2312" w:hAnsi="仿宋_GB2312" w:eastAsia="仿宋_GB2312" w:cs="仿宋_GB2312"/>
                <w:color w:val="000000"/>
                <w:sz w:val="24"/>
                <w:szCs w:val="24"/>
              </w:rPr>
              <w:t>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手术出院患者手术后</w:t>
            </w:r>
            <w:r>
              <w:rPr>
                <w:rFonts w:hint="eastAsia" w:ascii="仿宋_GB2312" w:hAnsi="仿宋_GB2312" w:eastAsia="仿宋_GB2312" w:cs="仿宋_GB2312"/>
                <w:color w:val="000000"/>
                <w:sz w:val="24"/>
                <w:szCs w:val="24"/>
                <w:lang w:val="en-US" w:eastAsia="zh-CN"/>
              </w:rPr>
              <w:t>脓毒</w:t>
            </w:r>
            <w:r>
              <w:rPr>
                <w:rFonts w:hint="eastAsia" w:ascii="仿宋_GB2312" w:hAnsi="仿宋_GB2312" w:eastAsia="仿宋_GB2312" w:cs="仿宋_GB2312"/>
                <w:color w:val="000000"/>
                <w:sz w:val="24"/>
                <w:szCs w:val="24"/>
              </w:rPr>
              <w:t>症发生例数/同期手术患者出院人次×100%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840"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4.5</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手术患者手术后出血或血肿发生例数和发生率</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ICD-10编码：T81.0 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手术出院患者手术后出血或血肿发生例数/同期手术患者出院人次×100%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830"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4.6</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手术患者手术伤口裂开发生例数和发生率</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ICD-10编码：T81.3 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手术出院患者手术伤口裂开发生例数/同期手术患者出院人次×100%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540"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4.7</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手术患者手术后猝死发生例数和发生率</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ICD-10 编码：R96.0，R96.1，I46.1 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手术患者手术后猝死发生例数/同期手术出院人次×100%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98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4.8</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手术患者手术后呼吸衰竭发生例数和发生率</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ICD-10 编码：</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J95.800x004，</w:t>
            </w:r>
            <w:r>
              <w:rPr>
                <w:rFonts w:hint="eastAsia" w:ascii="仿宋_GB2312" w:hAnsi="仿宋_GB2312" w:eastAsia="仿宋_GB2312" w:cs="仿宋_GB2312"/>
                <w:color w:val="000000"/>
                <w:sz w:val="24"/>
                <w:szCs w:val="24"/>
              </w:rPr>
              <w:t>J96.0，J96.1，J96.9 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手术出院患者手术后呼吸衰竭发生例数/同期手术患者出院人次×100%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98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9</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手术患者手术后生理/代谢紊乱发生例数和发生率</w:t>
            </w:r>
          </w:p>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ICD-10 编码：E89.0 至E89.9 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手术出院患者手术后生理（代谢）紊乱发生例数/同期手术患者出院人次×100%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98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10</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与手术/操作相关感染发生例数和发生率</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ICD-10 编码：T81.4 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出院患者与手术（操作）相关感染发生例数</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/同期手术（操作）患者出院人次×100%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98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11</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手术过程中异物遗留发生例数和发生率</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ICD-10 编码：T81.5，T81.6 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手术出院患者手术过程中异物遗留发生例数/同期手术患者出院人次×100%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98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12</w:t>
            </w:r>
          </w:p>
          <w:p>
            <w:pPr>
              <w:pStyle w:val="25"/>
              <w:spacing w:line="30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手术意外穿刺伤或撕裂伤发生例数和发生率</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ICD-10 编码：T81.2 的手术出院患者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手术出院患者手术意外穿刺伤或撕裂伤发生例数/同期手术患者出院人次×100%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r>
        <w:tblPrEx>
          <w:shd w:val="clear" w:color="auto" w:fill="FFFFFF"/>
          <w:tblCellMar>
            <w:top w:w="0" w:type="dxa"/>
            <w:left w:w="0" w:type="dxa"/>
            <w:bottom w:w="0" w:type="dxa"/>
            <w:right w:w="0" w:type="dxa"/>
          </w:tblCellMar>
        </w:tblPrEx>
        <w:trPr>
          <w:trHeight w:val="1984" w:hRule="atLeast"/>
          <w:jc w:val="center"/>
        </w:trPr>
        <w:tc>
          <w:tcPr>
            <w:tcW w:w="30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ind w:left="105" w:leftChars="50" w:right="105" w:rightChars="50"/>
              <w:rPr>
                <w:rFonts w:hint="default" w:ascii="仿宋_GB2312" w:hAnsi="仿宋_GB2312" w:eastAsia="仿宋_GB2312" w:cs="仿宋_GB2312"/>
                <w:color w:val="000000"/>
                <w:kern w:val="0"/>
                <w:sz w:val="24"/>
                <w:szCs w:val="24"/>
                <w:shd w:val="clear" w:color="auto" w:fill="FFFFFF"/>
                <w:lang w:val="en-US" w:eastAsia="zh-CN"/>
              </w:rPr>
            </w:pPr>
            <w:r>
              <w:rPr>
                <w:rFonts w:hint="eastAsia" w:ascii="仿宋_GB2312" w:hAnsi="仿宋_GB2312" w:eastAsia="仿宋_GB2312" w:cs="仿宋_GB2312"/>
                <w:color w:val="000000"/>
                <w:kern w:val="0"/>
                <w:sz w:val="24"/>
                <w:szCs w:val="24"/>
                <w:shd w:val="clear" w:color="auto" w:fill="FFFFFF"/>
              </w:rPr>
              <w:t>2.</w:t>
            </w:r>
            <w:r>
              <w:rPr>
                <w:rFonts w:hint="eastAsia" w:ascii="仿宋_GB2312" w:hAnsi="仿宋_GB2312" w:eastAsia="仿宋_GB2312" w:cs="仿宋_GB2312"/>
                <w:color w:val="000000"/>
                <w:kern w:val="0"/>
                <w:sz w:val="24"/>
                <w:szCs w:val="24"/>
                <w:shd w:val="clear" w:color="auto" w:fill="FFFFFF"/>
                <w:lang w:val="en-US" w:eastAsia="zh-CN"/>
              </w:rPr>
              <w:t>4</w:t>
            </w:r>
            <w:r>
              <w:rPr>
                <w:rFonts w:hint="eastAsia" w:ascii="仿宋_GB2312" w:hAnsi="仿宋_GB2312" w:eastAsia="仿宋_GB2312" w:cs="仿宋_GB2312"/>
                <w:color w:val="000000"/>
                <w:kern w:val="0"/>
                <w:sz w:val="24"/>
                <w:szCs w:val="24"/>
                <w:shd w:val="clear" w:color="auto" w:fill="FFFFFF"/>
              </w:rPr>
              <w:t>.</w:t>
            </w:r>
            <w:r>
              <w:rPr>
                <w:rFonts w:hint="eastAsia" w:ascii="仿宋_GB2312" w:hAnsi="仿宋_GB2312" w:eastAsia="仿宋_GB2312" w:cs="仿宋_GB2312"/>
                <w:color w:val="000000"/>
                <w:kern w:val="0"/>
                <w:sz w:val="24"/>
                <w:szCs w:val="24"/>
                <w:shd w:val="clear" w:color="auto" w:fill="FFFFFF"/>
                <w:lang w:val="en-US" w:eastAsia="zh-CN"/>
              </w:rPr>
              <w:t>13</w:t>
            </w:r>
          </w:p>
          <w:p>
            <w:pPr>
              <w:spacing w:line="320" w:lineRule="exact"/>
              <w:ind w:left="105" w:leftChars="50" w:right="105" w:rightChars="50"/>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rPr>
              <w:t>住院患者医院内跌倒/坠床所致髋部骨折发生例数和发生率 ICD-10 编码：S32.1 至 S32.5，S32.7，S32.8，S71.8， S72.0 的出院患者</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rPr>
              <w:t>住院患者医院内跌倒(坠床)所致髋部骨折发生例数/同期住院患者跌倒(坠床)发生例数×100%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w:t>
            </w:r>
          </w:p>
          <w:p>
            <w:pPr>
              <w:shd w:val="clear" w:color="auto" w:fill="FFFFFF"/>
              <w:spacing w:line="30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sz w:val="24"/>
                <w:szCs w:val="24"/>
                <w:lang w:val="en-US" w:eastAsia="zh-CN"/>
              </w:rPr>
              <w:t>监测比较，逐步</w:t>
            </w:r>
            <w:r>
              <w:rPr>
                <w:rFonts w:hint="eastAsia" w:ascii="仿宋_GB2312" w:hAnsi="仿宋_GB2312" w:eastAsia="仿宋_GB2312" w:cs="仿宋_GB2312"/>
                <w:color w:val="000000"/>
                <w:sz w:val="24"/>
                <w:szCs w:val="24"/>
              </w:rPr>
              <w:t>降低</w:t>
            </w:r>
            <w:r>
              <w:rPr>
                <w:rFonts w:hint="eastAsia" w:ascii="仿宋_GB2312" w:hAnsi="仿宋_GB2312" w:eastAsia="仿宋_GB2312" w:cs="仿宋_GB2312"/>
                <w:color w:val="000000"/>
                <w:sz w:val="24"/>
                <w:szCs w:val="24"/>
                <w:lang w:val="en-US" w:eastAsia="zh-CN"/>
              </w:rPr>
              <w:t>。</w:t>
            </w:r>
          </w:p>
        </w:tc>
      </w:tr>
    </w:tbl>
    <w:p>
      <w:pPr>
        <w:rPr>
          <w:rFonts w:hint="default"/>
          <w:color w:val="000000"/>
        </w:rPr>
      </w:pPr>
      <w:bookmarkStart w:id="110" w:name="_Toc25540"/>
      <w:bookmarkStart w:id="111" w:name="_Toc20403"/>
    </w:p>
    <w:p>
      <w:pPr>
        <w:rPr>
          <w:rFonts w:hint="eastAsia"/>
          <w:color w:val="000000"/>
        </w:rPr>
      </w:pPr>
      <w:bookmarkStart w:id="112" w:name="_Toc88136166"/>
    </w:p>
    <w:p>
      <w:pPr>
        <w:pStyle w:val="4"/>
        <w:bidi w:val="0"/>
        <w:rPr>
          <w:rFonts w:hint="eastAsia"/>
          <w:color w:val="000000"/>
          <w:lang w:eastAsia="zh-CN"/>
        </w:rPr>
      </w:pPr>
      <w:bookmarkStart w:id="113" w:name="_Toc13463"/>
      <w:r>
        <w:rPr>
          <w:rFonts w:hint="eastAsia"/>
          <w:color w:val="000000"/>
        </w:rPr>
        <w:t>第三章  重点专业质量控制指标</w:t>
      </w:r>
      <w:bookmarkEnd w:id="110"/>
      <w:bookmarkEnd w:id="111"/>
      <w:bookmarkEnd w:id="112"/>
      <w:r>
        <w:rPr>
          <w:rFonts w:hint="eastAsia"/>
          <w:color w:val="000000"/>
          <w:lang w:eastAsia="zh-CN"/>
        </w:rPr>
        <w:t>（</w:t>
      </w:r>
      <w:r>
        <w:rPr>
          <w:rFonts w:hint="eastAsia"/>
          <w:color w:val="000000"/>
          <w:lang w:val="en-US" w:eastAsia="zh-CN"/>
        </w:rPr>
        <w:t>200分</w:t>
      </w:r>
      <w:r>
        <w:rPr>
          <w:rFonts w:hint="eastAsia"/>
          <w:color w:val="000000"/>
          <w:lang w:eastAsia="zh-CN"/>
        </w:rPr>
        <w:t>）</w:t>
      </w:r>
      <w:bookmarkEnd w:id="113"/>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000000"/>
          <w:kern w:val="0"/>
          <w:sz w:val="28"/>
          <w:szCs w:val="28"/>
          <w:highlight w:val="none"/>
          <w:lang w:val="zh-CN" w:bidi="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b w:val="0"/>
          <w:bCs w:val="0"/>
          <w:color w:val="000000"/>
          <w:kern w:val="0"/>
          <w:sz w:val="28"/>
          <w:szCs w:val="28"/>
          <w:highlight w:val="none"/>
          <w:lang w:val="zh-CN" w:bidi="zh-CN"/>
        </w:rPr>
      </w:pPr>
      <w:r>
        <w:rPr>
          <w:rFonts w:hint="eastAsia" w:ascii="仿宋_GB2312" w:hAnsi="仿宋_GB2312" w:eastAsia="仿宋_GB2312" w:cs="仿宋_GB2312"/>
          <w:b w:val="0"/>
          <w:bCs w:val="0"/>
          <w:color w:val="000000"/>
          <w:kern w:val="0"/>
          <w:sz w:val="28"/>
          <w:szCs w:val="28"/>
          <w:highlight w:val="none"/>
          <w:lang w:val="zh-CN" w:bidi="zh-CN"/>
        </w:rPr>
        <w:t>数据来源：</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b w:val="0"/>
          <w:bCs w:val="0"/>
          <w:color w:val="000000"/>
          <w:kern w:val="0"/>
          <w:sz w:val="28"/>
          <w:szCs w:val="28"/>
          <w:highlight w:val="none"/>
          <w:lang w:val="zh-CN" w:bidi="zh-CN"/>
        </w:rPr>
      </w:pPr>
      <w:r>
        <w:rPr>
          <w:rFonts w:hint="eastAsia" w:ascii="仿宋_GB2312" w:hAnsi="仿宋_GB2312" w:eastAsia="仿宋_GB2312" w:cs="仿宋_GB2312"/>
          <w:b w:val="0"/>
          <w:bCs w:val="0"/>
          <w:color w:val="000000"/>
          <w:kern w:val="0"/>
          <w:sz w:val="28"/>
          <w:szCs w:val="28"/>
          <w:highlight w:val="none"/>
          <w:lang w:val="zh-CN" w:bidi="zh-CN"/>
        </w:rPr>
        <w:t>1.国家公立医院绩效考核管理平台</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b w:val="0"/>
          <w:bCs w:val="0"/>
          <w:color w:val="000000"/>
          <w:kern w:val="0"/>
          <w:sz w:val="28"/>
          <w:szCs w:val="28"/>
          <w:highlight w:val="none"/>
          <w:lang w:val="zh-CN" w:bidi="zh-CN"/>
        </w:rPr>
      </w:pPr>
      <w:r>
        <w:rPr>
          <w:rFonts w:hint="eastAsia" w:ascii="仿宋_GB2312" w:hAnsi="仿宋_GB2312" w:eastAsia="仿宋_GB2312" w:cs="仿宋_GB2312"/>
          <w:b w:val="0"/>
          <w:bCs w:val="0"/>
          <w:color w:val="000000"/>
          <w:kern w:val="0"/>
          <w:sz w:val="28"/>
          <w:szCs w:val="28"/>
          <w:highlight w:val="none"/>
          <w:lang w:val="en-US" w:bidi="zh-CN"/>
        </w:rPr>
        <w:t>2</w:t>
      </w:r>
      <w:r>
        <w:rPr>
          <w:rFonts w:hint="eastAsia" w:ascii="仿宋_GB2312" w:hAnsi="仿宋_GB2312" w:eastAsia="仿宋_GB2312" w:cs="仿宋_GB2312"/>
          <w:b w:val="0"/>
          <w:bCs w:val="0"/>
          <w:color w:val="000000"/>
          <w:kern w:val="0"/>
          <w:sz w:val="28"/>
          <w:szCs w:val="28"/>
          <w:highlight w:val="none"/>
          <w:lang w:val="zh-CN" w:bidi="zh-CN"/>
        </w:rPr>
        <w:t>.国家临床检验中心质控平台</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b w:val="0"/>
          <w:bCs w:val="0"/>
          <w:color w:val="000000"/>
          <w:kern w:val="0"/>
          <w:sz w:val="28"/>
          <w:szCs w:val="28"/>
          <w:highlight w:val="none"/>
          <w:lang w:val="zh-CN" w:bidi="zh-CN"/>
        </w:rPr>
      </w:pPr>
      <w:r>
        <w:rPr>
          <w:rFonts w:hint="eastAsia" w:ascii="仿宋_GB2312" w:hAnsi="仿宋_GB2312" w:eastAsia="仿宋_GB2312" w:cs="仿宋_GB2312"/>
          <w:b w:val="0"/>
          <w:bCs w:val="0"/>
          <w:color w:val="000000"/>
          <w:kern w:val="0"/>
          <w:sz w:val="28"/>
          <w:szCs w:val="28"/>
          <w:highlight w:val="none"/>
          <w:lang w:val="en-US" w:bidi="zh-CN"/>
        </w:rPr>
        <w:t>3</w:t>
      </w:r>
      <w:r>
        <w:rPr>
          <w:rFonts w:hint="eastAsia" w:ascii="仿宋_GB2312" w:hAnsi="仿宋_GB2312" w:eastAsia="仿宋_GB2312" w:cs="仿宋_GB2312"/>
          <w:b w:val="0"/>
          <w:bCs w:val="0"/>
          <w:color w:val="000000"/>
          <w:kern w:val="0"/>
          <w:sz w:val="28"/>
          <w:szCs w:val="28"/>
          <w:highlight w:val="none"/>
          <w:lang w:val="zh-CN" w:bidi="zh-CN"/>
        </w:rPr>
        <w:t>.全国医院质量监测系统（HQMS）</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b w:val="0"/>
          <w:bCs w:val="0"/>
          <w:color w:val="000000"/>
          <w:kern w:val="0"/>
          <w:sz w:val="28"/>
          <w:szCs w:val="28"/>
          <w:highlight w:val="none"/>
          <w:lang w:val="zh-CN" w:bidi="zh-CN"/>
        </w:rPr>
      </w:pPr>
      <w:r>
        <w:rPr>
          <w:rFonts w:hint="eastAsia" w:ascii="仿宋_GB2312" w:hAnsi="仿宋_GB2312" w:eastAsia="仿宋_GB2312" w:cs="仿宋_GB2312"/>
          <w:b w:val="0"/>
          <w:bCs w:val="0"/>
          <w:color w:val="000000"/>
          <w:kern w:val="0"/>
          <w:sz w:val="28"/>
          <w:szCs w:val="28"/>
          <w:highlight w:val="none"/>
          <w:lang w:val="en-US" w:bidi="zh-CN"/>
        </w:rPr>
        <w:t>4</w:t>
      </w:r>
      <w:r>
        <w:rPr>
          <w:rFonts w:hint="eastAsia" w:ascii="仿宋_GB2312" w:hAnsi="仿宋_GB2312" w:eastAsia="仿宋_GB2312" w:cs="仿宋_GB2312"/>
          <w:b w:val="0"/>
          <w:bCs w:val="0"/>
          <w:color w:val="000000"/>
          <w:kern w:val="0"/>
          <w:sz w:val="28"/>
          <w:szCs w:val="28"/>
          <w:highlight w:val="none"/>
          <w:lang w:val="zh-CN" w:bidi="zh-CN"/>
        </w:rPr>
        <w:t>.自治区卫生健康统计信息网络直报系统</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b w:val="0"/>
          <w:bCs w:val="0"/>
          <w:color w:val="000000"/>
          <w:kern w:val="0"/>
          <w:sz w:val="28"/>
          <w:szCs w:val="28"/>
          <w:highlight w:val="none"/>
          <w:lang w:val="zh-CN" w:bidi="zh-CN"/>
        </w:rPr>
      </w:pPr>
      <w:r>
        <w:rPr>
          <w:rFonts w:hint="eastAsia" w:ascii="仿宋_GB2312" w:hAnsi="仿宋_GB2312" w:eastAsia="仿宋_GB2312" w:cs="仿宋_GB2312"/>
          <w:b w:val="0"/>
          <w:bCs w:val="0"/>
          <w:color w:val="000000"/>
          <w:kern w:val="0"/>
          <w:sz w:val="28"/>
          <w:szCs w:val="28"/>
          <w:highlight w:val="none"/>
          <w:lang w:val="en-US" w:bidi="zh-CN"/>
        </w:rPr>
        <w:t>5</w:t>
      </w:r>
      <w:r>
        <w:rPr>
          <w:rFonts w:hint="eastAsia" w:ascii="仿宋_GB2312" w:hAnsi="仿宋_GB2312" w:eastAsia="仿宋_GB2312" w:cs="仿宋_GB2312"/>
          <w:b w:val="0"/>
          <w:bCs w:val="0"/>
          <w:color w:val="000000"/>
          <w:kern w:val="0"/>
          <w:sz w:val="28"/>
          <w:szCs w:val="28"/>
          <w:highlight w:val="none"/>
          <w:lang w:val="zh-CN" w:bidi="zh-CN"/>
        </w:rPr>
        <w:t>.</w:t>
      </w:r>
      <w:r>
        <w:rPr>
          <w:rFonts w:hint="eastAsia" w:ascii="仿宋_GB2312" w:hAnsi="仿宋_GB2312" w:eastAsia="仿宋_GB2312" w:cs="仿宋_GB2312"/>
          <w:b w:val="0"/>
          <w:bCs w:val="0"/>
          <w:color w:val="000000"/>
          <w:kern w:val="0"/>
          <w:sz w:val="28"/>
          <w:szCs w:val="28"/>
          <w:highlight w:val="none"/>
          <w:lang w:val="en-US" w:bidi="zh-CN"/>
        </w:rPr>
        <w:t>广西</w:t>
      </w:r>
      <w:r>
        <w:rPr>
          <w:rFonts w:hint="eastAsia" w:ascii="仿宋_GB2312" w:hAnsi="仿宋_GB2312" w:eastAsia="仿宋_GB2312" w:cs="仿宋_GB2312"/>
          <w:b w:val="0"/>
          <w:bCs w:val="0"/>
          <w:color w:val="000000"/>
          <w:kern w:val="0"/>
          <w:sz w:val="28"/>
          <w:szCs w:val="28"/>
          <w:highlight w:val="none"/>
          <w:lang w:val="zh-CN" w:bidi="zh-CN"/>
        </w:rPr>
        <w:t>临床检验中心质控平台</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000000"/>
          <w:kern w:val="0"/>
          <w:sz w:val="28"/>
          <w:szCs w:val="28"/>
          <w:highlight w:val="none"/>
          <w:lang w:val="zh-CN" w:bidi="zh-CN"/>
        </w:rPr>
      </w:pPr>
      <w:r>
        <w:rPr>
          <w:rFonts w:hint="eastAsia" w:ascii="仿宋_GB2312" w:hAnsi="仿宋_GB2312" w:eastAsia="仿宋_GB2312" w:cs="仿宋_GB2312"/>
          <w:b w:val="0"/>
          <w:bCs w:val="0"/>
          <w:color w:val="000000"/>
          <w:kern w:val="0"/>
          <w:sz w:val="28"/>
          <w:szCs w:val="28"/>
          <w:highlight w:val="none"/>
          <w:lang w:val="en-US" w:bidi="zh-CN"/>
        </w:rPr>
        <w:t>6</w:t>
      </w:r>
      <w:r>
        <w:rPr>
          <w:rFonts w:hint="eastAsia" w:ascii="仿宋_GB2312" w:hAnsi="仿宋_GB2312" w:eastAsia="仿宋_GB2312" w:cs="仿宋_GB2312"/>
          <w:b w:val="0"/>
          <w:bCs w:val="0"/>
          <w:color w:val="000000"/>
          <w:kern w:val="0"/>
          <w:sz w:val="28"/>
          <w:szCs w:val="28"/>
          <w:highlight w:val="none"/>
          <w:lang w:val="zh-CN" w:bidi="zh-CN"/>
        </w:rPr>
        <w:t>.医院填报</w:t>
      </w:r>
    </w:p>
    <w:p>
      <w:pPr>
        <w:pStyle w:val="5"/>
        <w:bidi w:val="0"/>
        <w:rPr>
          <w:rFonts w:hint="eastAsia" w:eastAsia="宋体"/>
          <w:color w:val="000000"/>
          <w:lang w:eastAsia="zh-CN"/>
        </w:rPr>
      </w:pPr>
      <w:bookmarkStart w:id="114" w:name="_Toc11217"/>
      <w:bookmarkEnd w:id="114"/>
      <w:bookmarkStart w:id="115" w:name="_Toc88136167"/>
      <w:bookmarkStart w:id="116" w:name="_Toc28851"/>
      <w:r>
        <w:rPr>
          <w:rFonts w:hint="eastAsia"/>
          <w:color w:val="000000"/>
        </w:rPr>
        <w:t>一、</w:t>
      </w:r>
      <w:r>
        <w:rPr>
          <w:rFonts w:hint="eastAsia"/>
          <w:color w:val="000000"/>
          <w:lang w:val="en-US" w:eastAsia="zh-CN"/>
        </w:rPr>
        <w:t>皮肤病</w:t>
      </w:r>
      <w:r>
        <w:rPr>
          <w:rFonts w:hint="eastAsia"/>
          <w:color w:val="000000"/>
        </w:rPr>
        <w:t>专业医疗质量控制指标</w:t>
      </w:r>
      <w:bookmarkEnd w:id="115"/>
      <w:r>
        <w:rPr>
          <w:rFonts w:hint="eastAsia"/>
          <w:color w:val="000000"/>
          <w:lang w:eastAsia="zh-CN"/>
        </w:rPr>
        <w:t>（</w:t>
      </w:r>
      <w:r>
        <w:rPr>
          <w:rFonts w:hint="eastAsia"/>
          <w:color w:val="000000"/>
          <w:lang w:val="en-US" w:eastAsia="zh-CN"/>
        </w:rPr>
        <w:t>30分</w:t>
      </w:r>
      <w:r>
        <w:rPr>
          <w:rFonts w:hint="eastAsia"/>
          <w:color w:val="000000"/>
          <w:lang w:eastAsia="zh-CN"/>
        </w:rPr>
        <w:t>）</w:t>
      </w:r>
      <w:bookmarkEnd w:id="116"/>
    </w:p>
    <w:p>
      <w:pPr>
        <w:keepNext w:val="0"/>
        <w:keepLines w:val="0"/>
        <w:pageBreakBefore w:val="0"/>
        <w:kinsoku/>
        <w:wordWrap/>
        <w:overflowPunct/>
        <w:topLinePunct w:val="0"/>
        <w:autoSpaceDE/>
        <w:autoSpaceDN/>
        <w:bidi w:val="0"/>
        <w:adjustRightInd/>
        <w:snapToGrid/>
        <w:spacing w:line="500" w:lineRule="exact"/>
        <w:textAlignment w:val="auto"/>
        <w:rPr>
          <w:rStyle w:val="20"/>
          <w:rFonts w:hint="eastAsia" w:ascii="仿宋_GB2312" w:hAnsi="仿宋_GB2312" w:cs="仿宋_GB2312"/>
          <w:color w:val="000000"/>
          <w:sz w:val="28"/>
          <w:szCs w:val="28"/>
        </w:rPr>
      </w:pPr>
      <w:r>
        <w:rPr>
          <w:rStyle w:val="20"/>
          <w:rFonts w:hint="eastAsia" w:ascii="仿宋_GB2312" w:hAnsi="仿宋_GB2312" w:cs="仿宋_GB2312"/>
          <w:color w:val="000000"/>
          <w:sz w:val="28"/>
          <w:szCs w:val="28"/>
        </w:rPr>
        <w:t>本节评审设</w:t>
      </w:r>
      <w:r>
        <w:rPr>
          <w:rStyle w:val="20"/>
          <w:rFonts w:hint="eastAsia" w:ascii="仿宋_GB2312" w:hAnsi="仿宋_GB2312" w:cs="仿宋_GB2312"/>
          <w:color w:val="000000"/>
          <w:sz w:val="28"/>
          <w:szCs w:val="28"/>
          <w:lang w:val="en-US" w:eastAsia="zh-CN"/>
        </w:rPr>
        <w:t>15</w:t>
      </w:r>
      <w:r>
        <w:rPr>
          <w:rStyle w:val="20"/>
          <w:rFonts w:hint="eastAsia" w:ascii="仿宋_GB2312" w:hAnsi="仿宋_GB2312" w:cs="仿宋_GB2312"/>
          <w:color w:val="000000"/>
          <w:sz w:val="28"/>
          <w:szCs w:val="28"/>
        </w:rPr>
        <w:t>条</w:t>
      </w:r>
      <w:r>
        <w:rPr>
          <w:rStyle w:val="20"/>
          <w:rFonts w:hint="eastAsia" w:ascii="仿宋_GB2312" w:hAnsi="仿宋_GB2312" w:cs="仿宋_GB2312"/>
          <w:color w:val="000000"/>
          <w:sz w:val="28"/>
          <w:szCs w:val="28"/>
          <w:lang w:val="en-US" w:eastAsia="zh-CN"/>
        </w:rPr>
        <w:t>15</w:t>
      </w:r>
      <w:r>
        <w:rPr>
          <w:rStyle w:val="20"/>
          <w:rFonts w:hint="eastAsia" w:ascii="仿宋_GB2312" w:hAnsi="仿宋_GB2312" w:cs="仿宋_GB2312"/>
          <w:color w:val="000000"/>
          <w:sz w:val="28"/>
          <w:szCs w:val="28"/>
        </w:rPr>
        <w:t>个指标，均为数据评审指标，共</w:t>
      </w:r>
      <w:r>
        <w:rPr>
          <w:rStyle w:val="20"/>
          <w:rFonts w:hint="eastAsia" w:ascii="仿宋_GB2312" w:hAnsi="仿宋_GB2312" w:cs="仿宋_GB2312"/>
          <w:color w:val="000000"/>
          <w:sz w:val="28"/>
          <w:szCs w:val="28"/>
          <w:lang w:val="en-US" w:eastAsia="zh-CN"/>
        </w:rPr>
        <w:t>30</w:t>
      </w:r>
      <w:r>
        <w:rPr>
          <w:rStyle w:val="20"/>
          <w:rFonts w:hint="eastAsia" w:ascii="仿宋_GB2312" w:hAnsi="仿宋_GB2312" w:cs="仿宋_GB2312"/>
          <w:color w:val="000000"/>
          <w:sz w:val="28"/>
          <w:szCs w:val="28"/>
        </w:rPr>
        <w:t>分。</w:t>
      </w:r>
      <w:bookmarkStart w:id="117" w:name="_Toc30622"/>
    </w:p>
    <w:tbl>
      <w:tblPr>
        <w:tblStyle w:val="14"/>
        <w:tblW w:w="10283" w:type="dxa"/>
        <w:jc w:val="center"/>
        <w:tblLayout w:type="fixed"/>
        <w:tblCellMar>
          <w:top w:w="0" w:type="dxa"/>
          <w:left w:w="0" w:type="dxa"/>
          <w:bottom w:w="0" w:type="dxa"/>
          <w:right w:w="0" w:type="dxa"/>
        </w:tblCellMar>
      </w:tblPr>
      <w:tblGrid>
        <w:gridCol w:w="3054"/>
        <w:gridCol w:w="2910"/>
        <w:gridCol w:w="1472"/>
        <w:gridCol w:w="750"/>
        <w:gridCol w:w="2097"/>
      </w:tblGrid>
      <w:tr>
        <w:tblPrEx>
          <w:tblCellMar>
            <w:top w:w="0" w:type="dxa"/>
            <w:left w:w="0" w:type="dxa"/>
            <w:bottom w:w="0" w:type="dxa"/>
            <w:right w:w="0" w:type="dxa"/>
          </w:tblCellMar>
        </w:tblPrEx>
        <w:trPr>
          <w:trHeight w:val="480" w:hRule="atLeast"/>
          <w:tblHeader/>
          <w:jc w:val="center"/>
        </w:trPr>
        <w:tc>
          <w:tcPr>
            <w:tcW w:w="3054"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监测指标</w:t>
            </w:r>
          </w:p>
        </w:tc>
        <w:tc>
          <w:tcPr>
            <w:tcW w:w="2910"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计算方法</w:t>
            </w:r>
          </w:p>
        </w:tc>
        <w:tc>
          <w:tcPr>
            <w:tcW w:w="147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default" w:eastAsia="黑体"/>
                <w:color w:val="000000"/>
                <w:sz w:val="24"/>
                <w:szCs w:val="24"/>
                <w:lang w:val="en-US" w:eastAsia="zh-CN"/>
              </w:rPr>
            </w:pPr>
            <w:r>
              <w:rPr>
                <w:rFonts w:hint="eastAsia"/>
                <w:color w:val="000000"/>
                <w:sz w:val="24"/>
                <w:szCs w:val="24"/>
                <w:lang w:val="en-US" w:eastAsia="zh-CN"/>
              </w:rPr>
              <w:t>指标设定</w:t>
            </w:r>
          </w:p>
        </w:tc>
        <w:tc>
          <w:tcPr>
            <w:tcW w:w="750"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color w:val="000000"/>
                <w:sz w:val="24"/>
                <w:szCs w:val="24"/>
              </w:rPr>
            </w:pPr>
            <w:r>
              <w:rPr>
                <w:rFonts w:hint="eastAsia"/>
                <w:color w:val="000000"/>
                <w:sz w:val="24"/>
                <w:szCs w:val="24"/>
              </w:rPr>
              <w:t>分值</w:t>
            </w:r>
          </w:p>
        </w:tc>
        <w:tc>
          <w:tcPr>
            <w:tcW w:w="2097"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default" w:eastAsia="黑体"/>
                <w:color w:val="000000"/>
                <w:sz w:val="24"/>
                <w:szCs w:val="24"/>
                <w:lang w:val="en-US" w:eastAsia="zh-CN"/>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1600"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3.1.1</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皮肤专科基础系统</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用药上柜率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实际上柜的皮肤专科基础系统用药种类数/7〔抗组胺药、抗真菌药、抗病毒药、抗菌药物、维甲酸类、免疫抑制剂、糖皮质激素〕</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621" w:hRule="atLeast"/>
          <w:jc w:val="center"/>
        </w:trPr>
        <w:tc>
          <w:tcPr>
            <w:tcW w:w="30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3.1.2</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皮肤病基本检查检验项目开展率</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实际开展的皮肤病基本检测项目/14（皮肤真菌病相关检查：①皮肤真菌镜检 ②真菌培养和菌种鉴定；与皮肤病有关的自身抗体的检测：③ANA ④ENA系列；皮肤组织病理学相关检查 ⑤普通病理检查 ⑥免疫荧光测定 ⑦免疫组织化学染色检查 ⑧特殊染色项目；过敏原相关检测：⑨血清变应原IgE筛查 ⑩斑贴试验；其他 ：⑪皮肤镜检查 ⑫伍德氏灯检查 ⑬光敏试验⑭皮肤共聚焦激光显微镜检查）</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1417"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bookmarkStart w:id="118" w:name="_Toc88136169"/>
            <w:bookmarkStart w:id="119" w:name="_Toc26485"/>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3.1.3</w:t>
            </w:r>
          </w:p>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rPr>
              <w:t>门诊儿童特应性皮炎患者系统使用糖皮质激素类药物比例</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rPr>
              <w:t>门诊儿童特应性皮炎患者系统使用糖皮质激素类药物人数/同期门诊儿童特应性皮炎患者总人数</w:t>
            </w:r>
            <w:r>
              <w:rPr>
                <w:rFonts w:hint="eastAsia" w:ascii="仿宋_GB2312" w:hAnsi="仿宋_GB2312" w:eastAsia="仿宋_GB2312" w:cs="仿宋_GB2312"/>
                <w:color w:val="000000"/>
                <w:sz w:val="24"/>
                <w:szCs w:val="24"/>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w:t>
            </w:r>
          </w:p>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逐步降低。</w:t>
            </w:r>
          </w:p>
        </w:tc>
      </w:tr>
      <w:tr>
        <w:tblPrEx>
          <w:tblCellMar>
            <w:top w:w="0" w:type="dxa"/>
            <w:left w:w="0" w:type="dxa"/>
            <w:bottom w:w="0" w:type="dxa"/>
            <w:right w:w="0" w:type="dxa"/>
          </w:tblCellMar>
        </w:tblPrEx>
        <w:trPr>
          <w:trHeight w:val="1417"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3.1.4</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银屑病住院患者系统使用维A酸类药物治疗率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银屑病住院患者系统使用维A酸类药物治疗的人数/同期银屑病住院患者总人数×100%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w:t>
            </w:r>
          </w:p>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逐步提高。</w:t>
            </w:r>
          </w:p>
        </w:tc>
      </w:tr>
      <w:tr>
        <w:tblPrEx>
          <w:tblCellMar>
            <w:top w:w="0" w:type="dxa"/>
            <w:left w:w="0" w:type="dxa"/>
            <w:bottom w:w="0" w:type="dxa"/>
            <w:right w:w="0" w:type="dxa"/>
          </w:tblCellMar>
        </w:tblPrEx>
        <w:trPr>
          <w:trHeight w:val="1417"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3.1.5</w:t>
            </w:r>
          </w:p>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银屑病住院患者系统使用维A酸类药物疗前肝功能检查率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银屑病住院患者系统使用维A酸类药物疗前肝功能检查人数/同期银屑病住院患者系统使用维A酸类药物治疗的总人数×100%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w:t>
            </w:r>
          </w:p>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逐步提高。</w:t>
            </w:r>
          </w:p>
        </w:tc>
      </w:tr>
      <w:tr>
        <w:tblPrEx>
          <w:tblCellMar>
            <w:top w:w="0" w:type="dxa"/>
            <w:left w:w="0" w:type="dxa"/>
            <w:bottom w:w="0" w:type="dxa"/>
            <w:right w:w="0" w:type="dxa"/>
          </w:tblCellMar>
        </w:tblPrEx>
        <w:trPr>
          <w:trHeight w:val="1417"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3.1.6</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寻常型银屑病住院患者接受光疗率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寻常型银屑病住院患者接受光疗人数/同期寻常型银屑病住院患者总人数×100%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w:t>
            </w:r>
          </w:p>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逐步提高。</w:t>
            </w:r>
          </w:p>
        </w:tc>
      </w:tr>
      <w:tr>
        <w:tblPrEx>
          <w:tblCellMar>
            <w:top w:w="0" w:type="dxa"/>
            <w:left w:w="0" w:type="dxa"/>
            <w:bottom w:w="0" w:type="dxa"/>
            <w:right w:w="0" w:type="dxa"/>
          </w:tblCellMar>
        </w:tblPrEx>
        <w:trPr>
          <w:trHeight w:val="1856"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3.1.7</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银屑病住院患者系统使用糖皮质激素治疗率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银屑病住院患者系统使用糖皮质激素治疗人数/同期银屑病住院患者总人数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监测比较，</w:t>
            </w:r>
          </w:p>
          <w:p>
            <w:pPr>
              <w:spacing w:line="32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逐步降低。</w:t>
            </w:r>
          </w:p>
        </w:tc>
      </w:tr>
      <w:tr>
        <w:tblPrEx>
          <w:tblCellMar>
            <w:top w:w="0" w:type="dxa"/>
            <w:left w:w="0" w:type="dxa"/>
            <w:bottom w:w="0" w:type="dxa"/>
            <w:right w:w="0" w:type="dxa"/>
          </w:tblCellMar>
        </w:tblPrEx>
        <w:trPr>
          <w:trHeight w:val="1765"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3.1.8</w:t>
            </w:r>
          </w:p>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住院患者系统使用特殊药物（免疫抑制剂类、维A酸类）知情告知率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住院患者系统使用特殊药物（免疫抑制剂类、维A酸类）知情告知人数/同期系统使用特殊药物治疗的住院患者总人数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345"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3.1.9</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住院患者特殊物理治疗（中波紫外线治疗、中药药浴）知情告知率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住院患者使用特殊物理治疗（中波紫外线治疗、中药药浴）知情告知人数/同期住院患者使用特殊物理治疗（中波紫外线治疗、中药药浴）总人数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3.1.10</w:t>
            </w:r>
          </w:p>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住院患者糖皮质激素冲击治疗严重不良反应发生率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住院患者糖皮质激素冲击治疗严重不良反应发生次数/同期住院患者糖皮质激素冲击治疗总人次数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监测比较，</w:t>
            </w:r>
          </w:p>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逐步降低。</w:t>
            </w:r>
          </w:p>
        </w:tc>
      </w:tr>
      <w:tr>
        <w:tblPrEx>
          <w:tblCellMar>
            <w:top w:w="0" w:type="dxa"/>
            <w:left w:w="0" w:type="dxa"/>
            <w:bottom w:w="0" w:type="dxa"/>
            <w:right w:w="0" w:type="dxa"/>
          </w:tblCellMar>
        </w:tblPrEx>
        <w:trPr>
          <w:trHeight w:val="1984"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3.1.11</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住院患者免疫抑制剂治疗严重不良反应发生率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住院患者免疫抑制剂治疗严重不良反应发生次数/同期住院患者免疫抑制剂治疗总人次数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监测比较，</w:t>
            </w:r>
          </w:p>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逐步降低。</w:t>
            </w:r>
          </w:p>
        </w:tc>
      </w:tr>
      <w:tr>
        <w:tblPrEx>
          <w:tblCellMar>
            <w:top w:w="0" w:type="dxa"/>
            <w:left w:w="0" w:type="dxa"/>
            <w:bottom w:w="0" w:type="dxa"/>
            <w:right w:w="0" w:type="dxa"/>
          </w:tblCellMar>
        </w:tblPrEx>
        <w:trPr>
          <w:trHeight w:val="1984"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3.1.12</w:t>
            </w:r>
          </w:p>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银屑病住院患者病理检查完成率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银屑病住院患者完成病理活检人数/同期银屑病住院患者总人数 ×100%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监测比较，</w:t>
            </w:r>
          </w:p>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逐步提高。</w:t>
            </w:r>
          </w:p>
        </w:tc>
      </w:tr>
      <w:tr>
        <w:tblPrEx>
          <w:tblCellMar>
            <w:top w:w="0" w:type="dxa"/>
            <w:left w:w="0" w:type="dxa"/>
            <w:bottom w:w="0" w:type="dxa"/>
            <w:right w:w="0" w:type="dxa"/>
          </w:tblCellMar>
        </w:tblPrEx>
        <w:trPr>
          <w:trHeight w:val="1984"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3.1.13</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大疱类皮肤病住院患者病理检查完成率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大疱类皮肤病住院患者完成病理活检人数/同期大疱类皮肤病住院患者总人数 ×100%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监测比较，</w:t>
            </w:r>
          </w:p>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逐步提高。</w:t>
            </w:r>
          </w:p>
        </w:tc>
      </w:tr>
      <w:tr>
        <w:tblPrEx>
          <w:tblCellMar>
            <w:top w:w="0" w:type="dxa"/>
            <w:left w:w="0" w:type="dxa"/>
            <w:bottom w:w="0" w:type="dxa"/>
            <w:right w:w="0" w:type="dxa"/>
          </w:tblCellMar>
        </w:tblPrEx>
        <w:trPr>
          <w:trHeight w:val="1984"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3.1.14</w:t>
            </w:r>
          </w:p>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结缔组织类皮肤病住院患者自身抗体检测率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结缔组织类皮肤病住院患者自身抗体检测人数/同期结缔组织类皮肤病住院患者总人数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监测比较，</w:t>
            </w:r>
          </w:p>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逐步提高。</w:t>
            </w:r>
          </w:p>
        </w:tc>
      </w:tr>
      <w:tr>
        <w:tblPrEx>
          <w:tblCellMar>
            <w:top w:w="0" w:type="dxa"/>
            <w:left w:w="0" w:type="dxa"/>
            <w:bottom w:w="0" w:type="dxa"/>
            <w:right w:w="0" w:type="dxa"/>
          </w:tblCellMar>
        </w:tblPrEx>
        <w:trPr>
          <w:trHeight w:val="1984" w:hRule="atLeast"/>
          <w:jc w:val="center"/>
        </w:trPr>
        <w:tc>
          <w:tcPr>
            <w:tcW w:w="3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3.1.15</w:t>
            </w:r>
          </w:p>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住院水疗患者巡查率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住院水疗患者开展巡查人次数/同期住院水疗患者总人次数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×100%</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bl>
    <w:p>
      <w:pPr>
        <w:pStyle w:val="5"/>
        <w:bidi w:val="0"/>
        <w:rPr>
          <w:rFonts w:hint="eastAsia"/>
          <w:color w:val="000000"/>
          <w:lang w:val="en-US" w:eastAsia="zh-CN"/>
        </w:rPr>
      </w:pPr>
    </w:p>
    <w:p>
      <w:pPr>
        <w:pStyle w:val="5"/>
        <w:bidi w:val="0"/>
        <w:rPr>
          <w:rFonts w:hint="eastAsia"/>
          <w:color w:val="000000"/>
          <w:lang w:val="en-US" w:eastAsia="zh-CN"/>
        </w:rPr>
      </w:pPr>
    </w:p>
    <w:p>
      <w:pPr>
        <w:pStyle w:val="5"/>
        <w:bidi w:val="0"/>
        <w:rPr>
          <w:rFonts w:hint="eastAsia"/>
          <w:color w:val="000000"/>
          <w:lang w:val="en-US" w:eastAsia="zh-CN"/>
        </w:rPr>
      </w:pPr>
      <w:bookmarkStart w:id="120" w:name="_Toc9640"/>
      <w:r>
        <w:rPr>
          <w:rFonts w:hint="eastAsia"/>
          <w:color w:val="000000"/>
          <w:lang w:val="en-US" w:eastAsia="zh-CN"/>
        </w:rPr>
        <w:t>二、性病专业医疗质量控制指标（16分）</w:t>
      </w:r>
      <w:bookmarkEnd w:id="120"/>
    </w:p>
    <w:p>
      <w:pPr>
        <w:keepNext w:val="0"/>
        <w:keepLines w:val="0"/>
        <w:pageBreakBefore w:val="0"/>
        <w:kinsoku/>
        <w:wordWrap/>
        <w:overflowPunct/>
        <w:topLinePunct w:val="0"/>
        <w:autoSpaceDE/>
        <w:autoSpaceDN/>
        <w:bidi w:val="0"/>
        <w:adjustRightInd/>
        <w:snapToGrid/>
        <w:spacing w:line="500" w:lineRule="exact"/>
        <w:textAlignment w:val="auto"/>
        <w:rPr>
          <w:rStyle w:val="20"/>
          <w:rFonts w:hint="eastAsia" w:ascii="仿宋_GB2312" w:hAnsi="仿宋_GB2312" w:eastAsia="宋体" w:cs="仿宋_GB2312"/>
          <w:color w:val="000000"/>
          <w:sz w:val="28"/>
          <w:szCs w:val="28"/>
        </w:rPr>
      </w:pPr>
      <w:r>
        <w:rPr>
          <w:rStyle w:val="20"/>
          <w:rFonts w:hint="eastAsia" w:ascii="仿宋_GB2312" w:hAnsi="仿宋_GB2312" w:eastAsia="宋体" w:cs="仿宋_GB2312"/>
          <w:color w:val="000000"/>
          <w:sz w:val="28"/>
          <w:szCs w:val="28"/>
        </w:rPr>
        <w:t>本节评审设</w:t>
      </w:r>
      <w:r>
        <w:rPr>
          <w:rStyle w:val="20"/>
          <w:rFonts w:hint="eastAsia" w:ascii="仿宋_GB2312" w:hAnsi="仿宋_GB2312" w:cs="仿宋_GB2312"/>
          <w:color w:val="000000"/>
          <w:sz w:val="28"/>
          <w:szCs w:val="28"/>
          <w:lang w:val="en-US" w:eastAsia="zh-CN"/>
        </w:rPr>
        <w:t>9</w:t>
      </w:r>
      <w:r>
        <w:rPr>
          <w:rStyle w:val="20"/>
          <w:rFonts w:hint="eastAsia" w:ascii="仿宋_GB2312" w:hAnsi="仿宋_GB2312" w:eastAsia="宋体" w:cs="仿宋_GB2312"/>
          <w:color w:val="000000"/>
          <w:sz w:val="28"/>
          <w:szCs w:val="28"/>
        </w:rPr>
        <w:t>条</w:t>
      </w:r>
      <w:r>
        <w:rPr>
          <w:rStyle w:val="20"/>
          <w:rFonts w:hint="eastAsia" w:ascii="仿宋_GB2312" w:hAnsi="仿宋_GB2312" w:cs="仿宋_GB2312"/>
          <w:color w:val="000000"/>
          <w:sz w:val="28"/>
          <w:szCs w:val="28"/>
          <w:lang w:val="en-US" w:eastAsia="zh-CN"/>
        </w:rPr>
        <w:t>9</w:t>
      </w:r>
      <w:r>
        <w:rPr>
          <w:rStyle w:val="20"/>
          <w:rFonts w:hint="eastAsia" w:ascii="仿宋_GB2312" w:hAnsi="仿宋_GB2312" w:eastAsia="宋体" w:cs="仿宋_GB2312"/>
          <w:color w:val="000000"/>
          <w:sz w:val="28"/>
          <w:szCs w:val="28"/>
        </w:rPr>
        <w:t>个指标，均为数据评审指标，共</w:t>
      </w:r>
      <w:r>
        <w:rPr>
          <w:rStyle w:val="20"/>
          <w:rFonts w:hint="eastAsia" w:ascii="仿宋_GB2312" w:hAnsi="仿宋_GB2312" w:cs="仿宋_GB2312"/>
          <w:color w:val="000000"/>
          <w:sz w:val="28"/>
          <w:szCs w:val="28"/>
          <w:lang w:val="en-US" w:eastAsia="zh-CN"/>
        </w:rPr>
        <w:t>16</w:t>
      </w:r>
      <w:r>
        <w:rPr>
          <w:rStyle w:val="20"/>
          <w:rFonts w:hint="eastAsia" w:ascii="仿宋_GB2312" w:hAnsi="仿宋_GB2312" w:eastAsia="宋体" w:cs="仿宋_GB2312"/>
          <w:color w:val="000000"/>
          <w:sz w:val="28"/>
          <w:szCs w:val="28"/>
        </w:rPr>
        <w:t>分。</w:t>
      </w:r>
    </w:p>
    <w:tbl>
      <w:tblPr>
        <w:tblStyle w:val="14"/>
        <w:tblW w:w="10217" w:type="dxa"/>
        <w:jc w:val="center"/>
        <w:tblLayout w:type="fixed"/>
        <w:tblCellMar>
          <w:top w:w="0" w:type="dxa"/>
          <w:left w:w="0" w:type="dxa"/>
          <w:bottom w:w="0" w:type="dxa"/>
          <w:right w:w="0" w:type="dxa"/>
        </w:tblCellMar>
      </w:tblPr>
      <w:tblGrid>
        <w:gridCol w:w="2544"/>
        <w:gridCol w:w="2433"/>
        <w:gridCol w:w="1536"/>
        <w:gridCol w:w="852"/>
        <w:gridCol w:w="2852"/>
      </w:tblGrid>
      <w:tr>
        <w:tblPrEx>
          <w:tblCellMar>
            <w:top w:w="0" w:type="dxa"/>
            <w:left w:w="0" w:type="dxa"/>
            <w:bottom w:w="0" w:type="dxa"/>
            <w:right w:w="0" w:type="dxa"/>
          </w:tblCellMar>
        </w:tblPrEx>
        <w:trPr>
          <w:trHeight w:val="701" w:hRule="atLeast"/>
          <w:jc w:val="center"/>
        </w:trPr>
        <w:tc>
          <w:tcPr>
            <w:tcW w:w="2544" w:type="dxa"/>
            <w:tcBorders>
              <w:top w:val="single" w:color="auto" w:sz="4" w:space="0"/>
              <w:left w:val="single" w:color="auto" w:sz="4" w:space="0"/>
              <w:bottom w:val="single" w:color="auto" w:sz="4" w:space="0"/>
              <w:right w:val="single" w:color="auto"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color w:val="000000"/>
                <w:sz w:val="24"/>
                <w:szCs w:val="24"/>
              </w:rPr>
              <w:t>监测指标</w:t>
            </w:r>
          </w:p>
        </w:tc>
        <w:tc>
          <w:tcPr>
            <w:tcW w:w="2433" w:type="dxa"/>
            <w:tcBorders>
              <w:top w:val="single" w:color="auto" w:sz="4" w:space="0"/>
              <w:left w:val="single" w:color="auto" w:sz="4" w:space="0"/>
              <w:bottom w:val="single" w:color="auto" w:sz="4" w:space="0"/>
              <w:right w:val="single" w:color="auto"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color w:val="000000"/>
                <w:sz w:val="24"/>
                <w:szCs w:val="24"/>
              </w:rPr>
              <w:t>计算方法</w:t>
            </w:r>
          </w:p>
        </w:tc>
        <w:tc>
          <w:tcPr>
            <w:tcW w:w="1536" w:type="dxa"/>
            <w:tcBorders>
              <w:top w:val="single" w:color="auto" w:sz="4" w:space="0"/>
              <w:left w:val="single" w:color="auto" w:sz="4" w:space="0"/>
              <w:bottom w:val="single" w:color="auto" w:sz="4" w:space="0"/>
              <w:right w:val="single" w:color="auto" w:sz="4" w:space="0"/>
            </w:tcBorders>
            <w:shd w:val="clear" w:color="auto" w:fill="EEECE1"/>
            <w:noWrap w:val="0"/>
            <w:tcMar>
              <w:top w:w="15" w:type="dxa"/>
              <w:left w:w="15" w:type="dxa"/>
              <w:right w:w="15" w:type="dxa"/>
            </w:tcMar>
            <w:vAlign w:val="center"/>
          </w:tcPr>
          <w:p>
            <w:pPr>
              <w:pStyle w:val="24"/>
              <w:spacing w:line="320" w:lineRule="exact"/>
              <w:rPr>
                <w:rFonts w:hint="eastAsia"/>
                <w:color w:val="000000"/>
                <w:sz w:val="24"/>
                <w:szCs w:val="24"/>
                <w:lang w:val="en-US" w:eastAsia="zh-CN"/>
              </w:rPr>
            </w:pPr>
            <w:r>
              <w:rPr>
                <w:rFonts w:hint="eastAsia"/>
                <w:color w:val="000000"/>
                <w:sz w:val="24"/>
                <w:szCs w:val="24"/>
                <w:lang w:val="en-US" w:eastAsia="zh-CN"/>
              </w:rPr>
              <w:t>指标</w:t>
            </w:r>
          </w:p>
          <w:p>
            <w:pPr>
              <w:pStyle w:val="24"/>
              <w:spacing w:line="320" w:lineRule="exact"/>
              <w:rPr>
                <w:rFonts w:hint="eastAsia" w:ascii="黑体" w:hAnsi="黑体" w:eastAsia="黑体" w:cs="黑体"/>
                <w:color w:val="000000"/>
                <w:kern w:val="2"/>
                <w:sz w:val="24"/>
                <w:szCs w:val="24"/>
                <w:lang w:val="en-US" w:eastAsia="zh-CN" w:bidi="ar-SA"/>
              </w:rPr>
            </w:pPr>
            <w:r>
              <w:rPr>
                <w:rFonts w:hint="eastAsia"/>
                <w:color w:val="000000"/>
                <w:sz w:val="24"/>
                <w:szCs w:val="24"/>
                <w:lang w:val="en-US" w:eastAsia="zh-CN"/>
              </w:rPr>
              <w:t>参考值</w:t>
            </w:r>
          </w:p>
        </w:tc>
        <w:tc>
          <w:tcPr>
            <w:tcW w:w="852" w:type="dxa"/>
            <w:tcBorders>
              <w:top w:val="single" w:color="auto" w:sz="4" w:space="0"/>
              <w:left w:val="single" w:color="auto" w:sz="4" w:space="0"/>
              <w:bottom w:val="single" w:color="auto" w:sz="4" w:space="0"/>
              <w:right w:val="single" w:color="auto"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color w:val="000000"/>
                <w:sz w:val="24"/>
                <w:szCs w:val="24"/>
              </w:rPr>
              <w:t>分值</w:t>
            </w:r>
          </w:p>
        </w:tc>
        <w:tc>
          <w:tcPr>
            <w:tcW w:w="2852" w:type="dxa"/>
            <w:tcBorders>
              <w:top w:val="single" w:color="000000" w:sz="4" w:space="0"/>
              <w:left w:val="single" w:color="auto"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2"/>
                <w:sz w:val="24"/>
                <w:szCs w:val="24"/>
                <w:lang w:val="en-US" w:eastAsia="zh-CN" w:bidi="ar-SA"/>
              </w:rPr>
            </w:pPr>
            <w:r>
              <w:rPr>
                <w:rFonts w:hint="eastAsia"/>
                <w:color w:val="000000"/>
                <w:sz w:val="24"/>
                <w:szCs w:val="24"/>
                <w:lang w:val="en-US" w:eastAsia="zh-CN"/>
              </w:rPr>
              <w:t>评分细则</w:t>
            </w:r>
          </w:p>
        </w:tc>
      </w:tr>
      <w:tr>
        <w:tblPrEx>
          <w:tblCellMar>
            <w:top w:w="0" w:type="dxa"/>
            <w:left w:w="0" w:type="dxa"/>
            <w:bottom w:w="0" w:type="dxa"/>
            <w:right w:w="0" w:type="dxa"/>
          </w:tblCellMar>
        </w:tblPrEx>
        <w:trPr>
          <w:trHeight w:val="3282" w:hRule="atLeast"/>
          <w:jc w:val="center"/>
        </w:trPr>
        <w:tc>
          <w:tcPr>
            <w:tcW w:w="2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3.2.1</w:t>
            </w:r>
          </w:p>
          <w:p>
            <w:pPr>
              <w:pStyle w:val="25"/>
              <w:spacing w:line="320" w:lineRule="exact"/>
              <w:ind w:left="105" w:leftChars="50" w:right="105" w:rightChars="50"/>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性病门诊初诊性病患者性伴通知率</w:t>
            </w:r>
          </w:p>
        </w:tc>
        <w:tc>
          <w:tcPr>
            <w:tcW w:w="24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性病门诊初诊性病患者接受性伴通知服务的人数/同期性病门诊初诊性病患者人数</w:t>
            </w:r>
            <w:r>
              <w:rPr>
                <w:rFonts w:hint="eastAsia" w:ascii="仿宋_GB2312" w:hAnsi="仿宋_GB2312" w:eastAsia="仿宋_GB2312" w:cs="仿宋_GB2312"/>
                <w:color w:val="000000"/>
                <w:sz w:val="24"/>
                <w:szCs w:val="24"/>
                <w:lang w:val="en-US" w:eastAsia="zh-Hans"/>
              </w:rPr>
              <w:t>×100%</w:t>
            </w:r>
          </w:p>
        </w:tc>
        <w:tc>
          <w:tcPr>
            <w:tcW w:w="15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4"/>
              <w:keepNext w:val="0"/>
              <w:keepLines w:val="0"/>
              <w:pageBreakBefore w:val="0"/>
              <w:kinsoku/>
              <w:wordWrap/>
              <w:overflowPunct/>
              <w:topLinePunct w:val="0"/>
              <w:autoSpaceDE/>
              <w:autoSpaceDN/>
              <w:bidi w:val="0"/>
              <w:adjustRightInd/>
              <w:snapToGrid/>
              <w:spacing w:line="300" w:lineRule="exact"/>
              <w:textAlignment w:val="auto"/>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1.5</w:t>
            </w:r>
          </w:p>
        </w:tc>
        <w:tc>
          <w:tcPr>
            <w:tcW w:w="285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700" w:hRule="atLeast"/>
          <w:jc w:val="center"/>
        </w:trPr>
        <w:tc>
          <w:tcPr>
            <w:tcW w:w="2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3.2.2</w:t>
            </w:r>
          </w:p>
          <w:p>
            <w:pPr>
              <w:pStyle w:val="25"/>
              <w:spacing w:line="320" w:lineRule="exact"/>
              <w:ind w:left="105" w:leftChars="50" w:right="105" w:rightChars="5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性病门诊</w:t>
            </w:r>
            <w:r>
              <w:rPr>
                <w:rFonts w:hint="eastAsia" w:ascii="仿宋_GB2312" w:hAnsi="仿宋_GB2312" w:eastAsia="仿宋_GB2312" w:cs="仿宋_GB2312"/>
                <w:color w:val="000000"/>
                <w:sz w:val="24"/>
                <w:szCs w:val="24"/>
                <w:lang w:val="en-US" w:eastAsia="zh-CN"/>
              </w:rPr>
              <w:t>尖锐湿疣患者激光术后回访率</w:t>
            </w:r>
          </w:p>
        </w:tc>
        <w:tc>
          <w:tcPr>
            <w:tcW w:w="24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性病门诊</w:t>
            </w:r>
            <w:r>
              <w:rPr>
                <w:rFonts w:hint="eastAsia" w:ascii="仿宋_GB2312" w:hAnsi="仿宋_GB2312" w:eastAsia="仿宋_GB2312" w:cs="仿宋_GB2312"/>
                <w:color w:val="000000"/>
                <w:kern w:val="2"/>
                <w:sz w:val="24"/>
                <w:szCs w:val="24"/>
                <w:lang w:val="en-US" w:eastAsia="zh-CN" w:bidi="ar-SA"/>
              </w:rPr>
              <w:t>尖锐湿疣患者激光术后接受回访的人数/同期</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性病门诊</w:t>
            </w:r>
            <w:r>
              <w:rPr>
                <w:rFonts w:hint="eastAsia" w:ascii="仿宋_GB2312" w:hAnsi="仿宋_GB2312" w:eastAsia="仿宋_GB2312" w:cs="仿宋_GB2312"/>
                <w:color w:val="000000"/>
                <w:kern w:val="2"/>
                <w:sz w:val="24"/>
                <w:szCs w:val="24"/>
                <w:lang w:val="en-US" w:eastAsia="zh-CN" w:bidi="ar-SA"/>
              </w:rPr>
              <w:t>尖锐湿疣使用激光术后的人数</w:t>
            </w:r>
            <w:r>
              <w:rPr>
                <w:rFonts w:hint="eastAsia" w:ascii="仿宋_GB2312" w:hAnsi="仿宋_GB2312" w:eastAsia="仿宋_GB2312" w:cs="仿宋_GB2312"/>
                <w:color w:val="000000"/>
                <w:kern w:val="2"/>
                <w:sz w:val="24"/>
                <w:szCs w:val="24"/>
                <w:lang w:val="en-US" w:eastAsia="zh-Hans" w:bidi="ar-SA"/>
              </w:rPr>
              <w:t>×100%</w:t>
            </w:r>
          </w:p>
        </w:tc>
        <w:tc>
          <w:tcPr>
            <w:tcW w:w="15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w:t>
            </w:r>
          </w:p>
        </w:tc>
        <w:tc>
          <w:tcPr>
            <w:tcW w:w="285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941" w:hRule="atLeast"/>
          <w:jc w:val="center"/>
        </w:trPr>
        <w:tc>
          <w:tcPr>
            <w:tcW w:w="2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3.2.3</w:t>
            </w:r>
          </w:p>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性病门诊初诊性病患者健康干预包发放率</w:t>
            </w:r>
          </w:p>
        </w:tc>
        <w:tc>
          <w:tcPr>
            <w:tcW w:w="24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性病门诊初诊性病患者领取健康干预包的人数/</w:t>
            </w:r>
            <w:r>
              <w:rPr>
                <w:rFonts w:hint="eastAsia" w:ascii="仿宋_GB2312" w:hAnsi="仿宋_GB2312" w:eastAsia="仿宋_GB2312" w:cs="仿宋_GB2312"/>
                <w:color w:val="000000"/>
                <w:kern w:val="2"/>
                <w:sz w:val="24"/>
                <w:szCs w:val="24"/>
                <w:lang w:val="en-US" w:eastAsia="zh-CN" w:bidi="ar-SA"/>
              </w:rPr>
              <w:t>同期</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性病门诊</w:t>
            </w:r>
            <w:r>
              <w:rPr>
                <w:rFonts w:hint="eastAsia" w:ascii="仿宋_GB2312" w:hAnsi="仿宋_GB2312" w:eastAsia="仿宋_GB2312" w:cs="仿宋_GB2312"/>
                <w:color w:val="000000"/>
                <w:kern w:val="2"/>
                <w:sz w:val="24"/>
                <w:szCs w:val="24"/>
                <w:lang w:val="en-US" w:eastAsia="zh-CN" w:bidi="ar-SA"/>
              </w:rPr>
              <w:t>初诊性病患者人数</w:t>
            </w:r>
            <w:r>
              <w:rPr>
                <w:rFonts w:hint="eastAsia" w:ascii="仿宋_GB2312" w:hAnsi="仿宋_GB2312" w:eastAsia="仿宋_GB2312" w:cs="仿宋_GB2312"/>
                <w:color w:val="000000"/>
                <w:sz w:val="24"/>
                <w:szCs w:val="24"/>
                <w:lang w:val="en-US" w:eastAsia="zh-Hans"/>
              </w:rPr>
              <w:t>×100%</w:t>
            </w:r>
          </w:p>
        </w:tc>
        <w:tc>
          <w:tcPr>
            <w:tcW w:w="15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4"/>
              <w:keepNext w:val="0"/>
              <w:keepLines w:val="0"/>
              <w:pageBreakBefore w:val="0"/>
              <w:kinsoku/>
              <w:wordWrap/>
              <w:overflowPunct/>
              <w:topLinePunct w:val="0"/>
              <w:autoSpaceDE/>
              <w:autoSpaceDN/>
              <w:bidi w:val="0"/>
              <w:adjustRightInd/>
              <w:snapToGrid/>
              <w:spacing w:line="300" w:lineRule="exact"/>
              <w:textAlignment w:val="auto"/>
              <w:rPr>
                <w:rFonts w:hint="default" w:ascii="仿宋_GB2312" w:hAnsi="Times New Roman" w:eastAsia="仿宋_GB2312" w:cs="仿宋_GB2312"/>
                <w:b w:val="0"/>
                <w:bCs w:val="0"/>
                <w:i w:val="0"/>
                <w:iCs w:val="0"/>
                <w:color w:val="000000"/>
                <w:spacing w:val="0"/>
                <w:w w:val="100"/>
                <w:kern w:val="2"/>
                <w:sz w:val="24"/>
                <w:szCs w:val="24"/>
                <w:u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u w:val="none"/>
                <w:vertAlign w:val="baseline"/>
                <w:lang w:val="en-US" w:eastAsia="zh-CN" w:bidi="ar-SA"/>
              </w:rPr>
              <w:t>1.5</w:t>
            </w:r>
          </w:p>
        </w:tc>
        <w:tc>
          <w:tcPr>
            <w:tcW w:w="285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888" w:hRule="atLeast"/>
          <w:jc w:val="center"/>
        </w:trPr>
        <w:tc>
          <w:tcPr>
            <w:tcW w:w="2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3.2.4</w:t>
            </w:r>
          </w:p>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性病治疗基本药物配备上柜率</w:t>
            </w:r>
          </w:p>
        </w:tc>
        <w:tc>
          <w:tcPr>
            <w:tcW w:w="24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实际上柜的性病治疗用药种类数/8（①苄星青霉素 ②青霉素钠 ③头孢曲松 ④大观霉素 ⑤阿奇霉素 ⑥多西环素 ⑦阿昔洛韦 ⑧咪喹莫特）</w:t>
            </w:r>
            <w:r>
              <w:rPr>
                <w:rFonts w:hint="eastAsia" w:ascii="仿宋_GB2312" w:hAnsi="仿宋_GB2312" w:eastAsia="仿宋_GB2312" w:cs="仿宋_GB2312"/>
                <w:color w:val="000000"/>
                <w:sz w:val="24"/>
                <w:szCs w:val="24"/>
                <w:lang w:val="en-US" w:eastAsia="zh-Hans"/>
              </w:rPr>
              <w:t>×100%</w:t>
            </w:r>
          </w:p>
        </w:tc>
        <w:tc>
          <w:tcPr>
            <w:tcW w:w="15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Times New Roman" w:eastAsia="仿宋_GB2312" w:cs="仿宋_GB2312"/>
                <w:b w:val="0"/>
                <w:bCs w:val="0"/>
                <w:i w:val="0"/>
                <w:iCs w:val="0"/>
                <w:color w:val="000000"/>
                <w:spacing w:val="0"/>
                <w:w w:val="100"/>
                <w:kern w:val="2"/>
                <w:sz w:val="24"/>
                <w:szCs w:val="24"/>
                <w:u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u w:val="none"/>
                <w:vertAlign w:val="baseline"/>
                <w:lang w:val="en-US" w:eastAsia="zh-CN" w:bidi="ar-SA"/>
              </w:rPr>
              <w:t>2</w:t>
            </w:r>
          </w:p>
        </w:tc>
        <w:tc>
          <w:tcPr>
            <w:tcW w:w="285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835" w:hRule="atLeast"/>
          <w:jc w:val="center"/>
        </w:trPr>
        <w:tc>
          <w:tcPr>
            <w:tcW w:w="2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3.2.5</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梅毒正确诊断率</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p>
        </w:tc>
        <w:tc>
          <w:tcPr>
            <w:tcW w:w="24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使用《梅毒诊断》标准（WS 273-2018）进行诊断的梅毒初诊患者人数/同期梅毒初诊患者总人数</w:t>
            </w:r>
            <w:r>
              <w:rPr>
                <w:rFonts w:hint="eastAsia" w:ascii="仿宋_GB2312" w:hAnsi="仿宋_GB2312" w:eastAsia="仿宋_GB2312" w:cs="仿宋_GB2312"/>
                <w:color w:val="000000"/>
                <w:kern w:val="2"/>
                <w:sz w:val="24"/>
                <w:szCs w:val="24"/>
                <w:lang w:val="en-US" w:eastAsia="zh-Hans" w:bidi="ar-SA"/>
              </w:rPr>
              <w:t>×</w:t>
            </w:r>
            <w:r>
              <w:rPr>
                <w:rFonts w:hint="eastAsia" w:ascii="仿宋_GB2312" w:hAnsi="仿宋_GB2312" w:eastAsia="仿宋_GB2312" w:cs="仿宋_GB2312"/>
                <w:color w:val="000000"/>
                <w:kern w:val="2"/>
                <w:sz w:val="24"/>
                <w:szCs w:val="24"/>
                <w:lang w:val="en-US" w:eastAsia="zh-CN" w:bidi="ar-SA"/>
              </w:rPr>
              <w:t>100%</w:t>
            </w:r>
          </w:p>
        </w:tc>
        <w:tc>
          <w:tcPr>
            <w:tcW w:w="15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85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835" w:hRule="atLeast"/>
          <w:jc w:val="center"/>
        </w:trPr>
        <w:tc>
          <w:tcPr>
            <w:tcW w:w="2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3.2.6</w:t>
            </w:r>
          </w:p>
          <w:p>
            <w:pPr>
              <w:pStyle w:val="2"/>
              <w:jc w:val="both"/>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梅毒初诊患者</w:t>
            </w:r>
          </w:p>
          <w:p>
            <w:pPr>
              <w:pStyle w:val="2"/>
              <w:jc w:val="both"/>
              <w:rPr>
                <w:rFonts w:hint="eastAsia"/>
                <w:color w:val="000000"/>
                <w:sz w:val="24"/>
                <w:szCs w:val="24"/>
                <w:lang w:val="en-US" w:eastAsia="zh-CN"/>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使用青霉素治疗率</w:t>
            </w: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仿宋_GB2312" w:eastAsia="仿宋_GB2312" w:cs="仿宋_GB2312"/>
                <w:color w:val="000000"/>
                <w:kern w:val="2"/>
                <w:sz w:val="24"/>
                <w:szCs w:val="24"/>
                <w:lang w:val="en-US" w:eastAsia="zh-Hans" w:bidi="ar-SA"/>
              </w:rPr>
            </w:pPr>
            <w:r>
              <w:rPr>
                <w:rFonts w:hint="eastAsia" w:ascii="仿宋_GB2312" w:hAnsi="仿宋_GB2312" w:eastAsia="仿宋_GB2312" w:cs="仿宋_GB2312"/>
                <w:color w:val="000000"/>
                <w:kern w:val="2"/>
                <w:sz w:val="24"/>
                <w:szCs w:val="24"/>
                <w:lang w:val="en-US" w:eastAsia="zh-CN" w:bidi="ar-SA"/>
              </w:rPr>
              <w:t>无青霉素使用禁忌证的梅毒初诊患者使用青霉素治疗人数/无青霉素使用禁忌证的梅毒初诊患者总人数</w:t>
            </w:r>
            <w:r>
              <w:rPr>
                <w:rFonts w:hint="eastAsia" w:ascii="仿宋_GB2312" w:hAnsi="仿宋_GB2312" w:eastAsia="仿宋_GB2312" w:cs="仿宋_GB2312"/>
                <w:color w:val="000000"/>
                <w:kern w:val="2"/>
                <w:sz w:val="24"/>
                <w:szCs w:val="24"/>
                <w:lang w:val="en-US" w:eastAsia="zh-Hans" w:bidi="ar-SA"/>
              </w:rPr>
              <w:t>×</w:t>
            </w:r>
            <w:r>
              <w:rPr>
                <w:rFonts w:hint="eastAsia" w:ascii="仿宋_GB2312" w:hAnsi="仿宋_GB2312" w:eastAsia="仿宋_GB2312" w:cs="仿宋_GB2312"/>
                <w:color w:val="000000"/>
                <w:kern w:val="2"/>
                <w:sz w:val="24"/>
                <w:szCs w:val="24"/>
                <w:lang w:val="en-US" w:eastAsia="zh-CN" w:bidi="ar-SA"/>
              </w:rPr>
              <w:t>100%</w:t>
            </w:r>
          </w:p>
        </w:tc>
        <w:tc>
          <w:tcPr>
            <w:tcW w:w="1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835" w:hRule="atLeast"/>
          <w:jc w:val="center"/>
        </w:trPr>
        <w:tc>
          <w:tcPr>
            <w:tcW w:w="2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3.2.7</w:t>
            </w:r>
          </w:p>
          <w:p>
            <w:pPr>
              <w:spacing w:line="320" w:lineRule="exact"/>
              <w:ind w:left="105" w:leftChars="50" w:right="105" w:rightChars="50"/>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淋病正确诊断率</w:t>
            </w: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使用《淋病诊断》标准（WS 268—2019）进行诊断的淋病初诊患者人数/同期淋病初诊患者总人数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100%</w:t>
            </w:r>
          </w:p>
        </w:tc>
        <w:tc>
          <w:tcPr>
            <w:tcW w:w="1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835" w:hRule="atLeast"/>
          <w:jc w:val="center"/>
        </w:trPr>
        <w:tc>
          <w:tcPr>
            <w:tcW w:w="2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3.2.8</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淋病初诊患者使用首选药物治疗率</w:t>
            </w: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淋病初诊患者使用头孢曲松或大观霉素治疗人数/淋病初诊患者总人数</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Hans" w:bidi="ar-SA"/>
              </w:rPr>
              <w:t>×</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100%</w:t>
            </w:r>
          </w:p>
        </w:tc>
        <w:tc>
          <w:tcPr>
            <w:tcW w:w="1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仿宋_GB2312" w:eastAsia="仿宋_GB2312" w:cs="仿宋_GB2312"/>
                <w:color w:val="000000"/>
                <w:spacing w:val="0"/>
                <w:kern w:val="0"/>
                <w:sz w:val="24"/>
                <w:szCs w:val="24"/>
                <w:shd w:val="clear" w:color="auto" w:fill="FFFFFF"/>
                <w:lang w:val="en-US" w:eastAsia="zh-CN"/>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2</w:t>
            </w:r>
          </w:p>
        </w:tc>
        <w:tc>
          <w:tcPr>
            <w:tcW w:w="2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055" w:hRule="atLeast"/>
          <w:jc w:val="center"/>
        </w:trPr>
        <w:tc>
          <w:tcPr>
            <w:tcW w:w="2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3.2.9新确诊性病患者（梅毒、淋病）HIV抗体检测比例</w:t>
            </w: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性病门诊初诊性病患者（梅毒、淋病）接受HIV抗体检测的人数/同期性病门诊初诊性病患者（梅毒、淋病）人数</w:t>
            </w:r>
            <w: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t>×</w:t>
            </w: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100%</w:t>
            </w:r>
          </w:p>
        </w:tc>
        <w:tc>
          <w:tcPr>
            <w:tcW w:w="1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pacing w:val="0"/>
                <w:kern w:val="0"/>
                <w:sz w:val="24"/>
                <w:szCs w:val="24"/>
                <w:shd w:val="clear" w:color="auto" w:fill="FFFFFF"/>
                <w:lang w:val="en-US" w:eastAsia="zh-CN"/>
              </w:rPr>
              <w:t>定量指标</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1</w:t>
            </w:r>
          </w:p>
        </w:tc>
        <w:tc>
          <w:tcPr>
            <w:tcW w:w="2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ind w:left="105" w:leftChars="50" w:right="105" w:rightChars="50"/>
              <w:jc w:val="center"/>
              <w:rPr>
                <w:rFonts w:hint="default"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bl>
    <w:p>
      <w:pPr>
        <w:pStyle w:val="5"/>
        <w:bidi w:val="0"/>
        <w:rPr>
          <w:rFonts w:hint="eastAsia"/>
          <w:color w:val="000000"/>
        </w:rPr>
      </w:pPr>
      <w:bookmarkStart w:id="121" w:name="_Toc9370"/>
      <w:r>
        <w:rPr>
          <w:rFonts w:hint="eastAsia"/>
          <w:color w:val="000000"/>
          <w:lang w:val="en-US" w:eastAsia="zh-CN"/>
        </w:rPr>
        <w:t>三</w:t>
      </w:r>
      <w:r>
        <w:rPr>
          <w:rFonts w:hint="eastAsia"/>
          <w:color w:val="000000"/>
        </w:rPr>
        <w:t>、</w:t>
      </w:r>
      <w:r>
        <w:rPr>
          <w:rFonts w:hint="eastAsia"/>
          <w:color w:val="000000"/>
          <w:lang w:val="en-US" w:eastAsia="zh-CN"/>
        </w:rPr>
        <w:t>医疗美容专业</w:t>
      </w:r>
      <w:r>
        <w:rPr>
          <w:rFonts w:hint="eastAsia"/>
          <w:color w:val="000000"/>
        </w:rPr>
        <w:t>医疗质量控制指标（</w:t>
      </w:r>
      <w:r>
        <w:rPr>
          <w:rFonts w:hint="eastAsia"/>
          <w:color w:val="000000"/>
          <w:lang w:val="en-US" w:eastAsia="zh-CN"/>
        </w:rPr>
        <w:t>19</w:t>
      </w:r>
      <w:r>
        <w:rPr>
          <w:rFonts w:hint="eastAsia"/>
          <w:color w:val="000000"/>
        </w:rPr>
        <w:t>分）</w:t>
      </w:r>
      <w:bookmarkEnd w:id="121"/>
    </w:p>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本节评审设</w:t>
      </w:r>
      <w:r>
        <w:rPr>
          <w:rFonts w:hint="eastAsia" w:ascii="宋体" w:hAnsi="宋体" w:cs="宋体"/>
          <w:color w:val="000000"/>
          <w:kern w:val="0"/>
          <w:sz w:val="28"/>
          <w:szCs w:val="28"/>
          <w:lang w:val="en-US" w:eastAsia="zh-CN"/>
        </w:rPr>
        <w:t>12</w:t>
      </w:r>
      <w:r>
        <w:rPr>
          <w:rFonts w:hint="eastAsia" w:ascii="宋体" w:hAnsi="宋体" w:eastAsia="宋体" w:cs="宋体"/>
          <w:color w:val="000000"/>
          <w:kern w:val="0"/>
          <w:sz w:val="28"/>
          <w:szCs w:val="28"/>
        </w:rPr>
        <w:t>条</w:t>
      </w:r>
      <w:r>
        <w:rPr>
          <w:rFonts w:hint="eastAsia" w:ascii="宋体" w:hAnsi="宋体" w:cs="宋体"/>
          <w:color w:val="000000"/>
          <w:kern w:val="0"/>
          <w:sz w:val="28"/>
          <w:szCs w:val="28"/>
          <w:lang w:val="en-US" w:eastAsia="zh-CN"/>
        </w:rPr>
        <w:t>12</w:t>
      </w:r>
      <w:r>
        <w:rPr>
          <w:rFonts w:hint="eastAsia" w:ascii="宋体" w:hAnsi="宋体" w:eastAsia="宋体" w:cs="宋体"/>
          <w:color w:val="000000"/>
          <w:kern w:val="0"/>
          <w:sz w:val="28"/>
          <w:szCs w:val="28"/>
        </w:rPr>
        <w:t>个指标，均为数据评审指标，共</w:t>
      </w:r>
      <w:r>
        <w:rPr>
          <w:rFonts w:hint="eastAsia" w:ascii="宋体" w:hAnsi="宋体" w:cs="宋体"/>
          <w:color w:val="000000"/>
          <w:kern w:val="0"/>
          <w:sz w:val="28"/>
          <w:szCs w:val="28"/>
          <w:lang w:val="en-US" w:eastAsia="zh-CN"/>
        </w:rPr>
        <w:t>19</w:t>
      </w:r>
      <w:r>
        <w:rPr>
          <w:rFonts w:hint="eastAsia" w:ascii="宋体" w:hAnsi="宋体" w:eastAsia="宋体" w:cs="宋体"/>
          <w:color w:val="000000"/>
          <w:kern w:val="0"/>
          <w:sz w:val="28"/>
          <w:szCs w:val="28"/>
        </w:rPr>
        <w:t>分。</w:t>
      </w:r>
    </w:p>
    <w:tbl>
      <w:tblPr>
        <w:tblStyle w:val="14"/>
        <w:tblW w:w="10175" w:type="dxa"/>
        <w:tblInd w:w="-805" w:type="dxa"/>
        <w:tblLayout w:type="fixed"/>
        <w:tblCellMar>
          <w:top w:w="0" w:type="dxa"/>
          <w:left w:w="108" w:type="dxa"/>
          <w:bottom w:w="0" w:type="dxa"/>
          <w:right w:w="108" w:type="dxa"/>
        </w:tblCellMar>
      </w:tblPr>
      <w:tblGrid>
        <w:gridCol w:w="2458"/>
        <w:gridCol w:w="2494"/>
        <w:gridCol w:w="1464"/>
        <w:gridCol w:w="940"/>
        <w:gridCol w:w="2819"/>
      </w:tblGrid>
      <w:tr>
        <w:tblPrEx>
          <w:tblCellMar>
            <w:top w:w="0" w:type="dxa"/>
            <w:left w:w="108" w:type="dxa"/>
            <w:bottom w:w="0" w:type="dxa"/>
            <w:right w:w="108" w:type="dxa"/>
          </w:tblCellMar>
        </w:tblPrEx>
        <w:trPr>
          <w:trHeight w:val="560" w:hRule="atLeast"/>
        </w:trPr>
        <w:tc>
          <w:tcPr>
            <w:tcW w:w="2458" w:type="dxa"/>
            <w:tcBorders>
              <w:top w:val="single" w:color="000000" w:sz="4" w:space="0"/>
              <w:left w:val="single" w:color="000000" w:sz="4" w:space="0"/>
              <w:bottom w:val="single" w:color="auto" w:sz="4" w:space="0"/>
              <w:right w:val="single" w:color="000000" w:sz="4" w:space="0"/>
            </w:tcBorders>
            <w:shd w:val="clear" w:color="auto" w:fill="EEECE1"/>
            <w:noWrap w:val="0"/>
            <w:vAlign w:val="center"/>
          </w:tcPr>
          <w:p>
            <w:pPr>
              <w:pStyle w:val="24"/>
              <w:spacing w:line="320" w:lineRule="exact"/>
              <w:rPr>
                <w:rFonts w:hint="eastAsia" w:ascii="黑体" w:hAnsi="黑体" w:eastAsia="黑体" w:cs="黑体"/>
                <w:color w:val="000000"/>
                <w:sz w:val="24"/>
                <w:szCs w:val="24"/>
                <w:highlight w:val="none"/>
              </w:rPr>
            </w:pPr>
            <w:r>
              <w:rPr>
                <w:rFonts w:hint="eastAsia"/>
                <w:color w:val="000000"/>
                <w:sz w:val="24"/>
                <w:szCs w:val="24"/>
                <w:highlight w:val="none"/>
              </w:rPr>
              <w:t>监测指标</w:t>
            </w:r>
          </w:p>
        </w:tc>
        <w:tc>
          <w:tcPr>
            <w:tcW w:w="2494" w:type="dxa"/>
            <w:tcBorders>
              <w:top w:val="single" w:color="000000" w:sz="4" w:space="0"/>
              <w:left w:val="nil"/>
              <w:bottom w:val="single" w:color="auto" w:sz="4" w:space="0"/>
              <w:right w:val="single" w:color="000000" w:sz="4" w:space="0"/>
            </w:tcBorders>
            <w:shd w:val="clear" w:color="auto" w:fill="EEECE1"/>
            <w:noWrap w:val="0"/>
            <w:vAlign w:val="center"/>
          </w:tcPr>
          <w:p>
            <w:pPr>
              <w:pStyle w:val="24"/>
              <w:spacing w:line="320" w:lineRule="exact"/>
              <w:rPr>
                <w:rFonts w:hint="eastAsia" w:ascii="黑体" w:hAnsi="黑体" w:eastAsia="黑体" w:cs="黑体"/>
                <w:color w:val="000000"/>
                <w:sz w:val="24"/>
                <w:szCs w:val="24"/>
                <w:highlight w:val="none"/>
              </w:rPr>
            </w:pPr>
            <w:r>
              <w:rPr>
                <w:rFonts w:hint="eastAsia"/>
                <w:color w:val="000000"/>
                <w:sz w:val="24"/>
                <w:szCs w:val="24"/>
                <w:highlight w:val="none"/>
              </w:rPr>
              <w:t>计算方法</w:t>
            </w:r>
          </w:p>
        </w:tc>
        <w:tc>
          <w:tcPr>
            <w:tcW w:w="1464" w:type="dxa"/>
            <w:tcBorders>
              <w:top w:val="single" w:color="000000" w:sz="4" w:space="0"/>
              <w:left w:val="nil"/>
              <w:bottom w:val="single" w:color="auto" w:sz="4" w:space="0"/>
              <w:right w:val="single" w:color="000000" w:sz="4" w:space="0"/>
            </w:tcBorders>
            <w:shd w:val="clear" w:color="auto" w:fill="EEECE1"/>
            <w:noWrap w:val="0"/>
            <w:vAlign w:val="center"/>
          </w:tcPr>
          <w:p>
            <w:pPr>
              <w:pStyle w:val="24"/>
              <w:spacing w:line="320" w:lineRule="exact"/>
              <w:rPr>
                <w:rFonts w:hint="eastAsia"/>
                <w:color w:val="000000"/>
                <w:sz w:val="24"/>
                <w:szCs w:val="24"/>
                <w:highlight w:val="none"/>
                <w:lang w:val="en-US" w:eastAsia="zh-CN"/>
              </w:rPr>
            </w:pPr>
            <w:r>
              <w:rPr>
                <w:rFonts w:hint="eastAsia"/>
                <w:color w:val="000000"/>
                <w:sz w:val="24"/>
                <w:szCs w:val="24"/>
                <w:highlight w:val="none"/>
                <w:lang w:val="en-US" w:eastAsia="zh-CN"/>
              </w:rPr>
              <w:t>指标</w:t>
            </w:r>
          </w:p>
          <w:p>
            <w:pPr>
              <w:pStyle w:val="24"/>
              <w:spacing w:line="320" w:lineRule="exact"/>
              <w:rPr>
                <w:rFonts w:hint="eastAsia" w:ascii="黑体" w:hAnsi="黑体" w:eastAsia="黑体" w:cs="黑体"/>
                <w:color w:val="000000"/>
                <w:sz w:val="24"/>
                <w:szCs w:val="24"/>
                <w:highlight w:val="none"/>
              </w:rPr>
            </w:pPr>
            <w:r>
              <w:rPr>
                <w:rFonts w:hint="eastAsia"/>
                <w:color w:val="000000"/>
                <w:sz w:val="24"/>
                <w:szCs w:val="24"/>
                <w:highlight w:val="none"/>
                <w:lang w:val="en-US" w:eastAsia="zh-CN"/>
              </w:rPr>
              <w:t>参考值</w:t>
            </w:r>
          </w:p>
        </w:tc>
        <w:tc>
          <w:tcPr>
            <w:tcW w:w="940" w:type="dxa"/>
            <w:tcBorders>
              <w:top w:val="single" w:color="000000" w:sz="4" w:space="0"/>
              <w:left w:val="nil"/>
              <w:bottom w:val="single" w:color="auto" w:sz="4" w:space="0"/>
              <w:right w:val="single" w:color="000000" w:sz="4" w:space="0"/>
            </w:tcBorders>
            <w:shd w:val="clear" w:color="auto" w:fill="EEECE1"/>
            <w:noWrap w:val="0"/>
            <w:vAlign w:val="center"/>
          </w:tcPr>
          <w:p>
            <w:pPr>
              <w:pStyle w:val="24"/>
              <w:spacing w:line="320" w:lineRule="exact"/>
              <w:rPr>
                <w:rFonts w:hint="eastAsia" w:ascii="黑体" w:hAnsi="黑体" w:eastAsia="黑体" w:cs="黑体"/>
                <w:color w:val="000000"/>
                <w:sz w:val="24"/>
                <w:szCs w:val="24"/>
                <w:highlight w:val="none"/>
              </w:rPr>
            </w:pPr>
            <w:r>
              <w:rPr>
                <w:rFonts w:hint="eastAsia"/>
                <w:color w:val="000000"/>
                <w:sz w:val="24"/>
                <w:szCs w:val="24"/>
                <w:highlight w:val="none"/>
              </w:rPr>
              <w:t>分值</w:t>
            </w:r>
          </w:p>
        </w:tc>
        <w:tc>
          <w:tcPr>
            <w:tcW w:w="2819" w:type="dxa"/>
            <w:tcBorders>
              <w:top w:val="single" w:color="000000" w:sz="4" w:space="0"/>
              <w:left w:val="nil"/>
              <w:bottom w:val="single" w:color="auto" w:sz="4" w:space="0"/>
              <w:right w:val="single" w:color="000000" w:sz="4" w:space="0"/>
            </w:tcBorders>
            <w:shd w:val="clear" w:color="auto" w:fill="EEECE1"/>
            <w:noWrap w:val="0"/>
            <w:vAlign w:val="center"/>
          </w:tcPr>
          <w:p>
            <w:pPr>
              <w:pStyle w:val="24"/>
              <w:spacing w:line="320" w:lineRule="exact"/>
              <w:rPr>
                <w:rFonts w:hint="eastAsia" w:ascii="黑体" w:hAnsi="黑体" w:eastAsia="黑体" w:cs="黑体"/>
                <w:color w:val="000000"/>
                <w:sz w:val="24"/>
                <w:szCs w:val="24"/>
                <w:highlight w:val="none"/>
              </w:rPr>
            </w:pPr>
            <w:r>
              <w:rPr>
                <w:rFonts w:hint="eastAsia"/>
                <w:color w:val="000000"/>
                <w:sz w:val="24"/>
                <w:szCs w:val="24"/>
                <w:highlight w:val="none"/>
                <w:lang w:val="en-US" w:eastAsia="zh-CN"/>
              </w:rPr>
              <w:t>评分细则</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3.3.1</w:t>
            </w:r>
          </w:p>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美容主诊医师与日均光电类项目治疗次数比</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美容主诊医师人数/美容皮肤科日均光电类项目治疗次数</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2</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3.3.2</w:t>
            </w:r>
          </w:p>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皮秒激光治疗太田痣三次好转率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太田痣患者接受三次皮秒激光治疗症状好转人数/实际太田痣患者接受皮秒激光治疗三次总人数×100%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1</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3.3.3</w:t>
            </w:r>
          </w:p>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皮秒激光治疗雀斑一次好转率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雀斑患者接受一次皮秒激光治疗症状好转人数/实际雀斑患者接受皮秒激光治疗一次总人数×100%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1</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3.3.4</w:t>
            </w:r>
          </w:p>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二氧化碳点阵激光治疗痤疮瘢痕三次好转率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痤疮瘢痕患者接受二氧化碳点阵激光三次治疗后症状好转人数/实际痤疮瘢痕患者接受二氧化碳激光点阵激光三次治疗总人数×100%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1</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3.3.5</w:t>
            </w:r>
          </w:p>
          <w:p>
            <w:pPr>
              <w:pStyle w:val="25"/>
              <w:spacing w:line="30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美容光电类项目术后感染发生率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pStyle w:val="25"/>
              <w:spacing w:line="300" w:lineRule="exact"/>
              <w:ind w:left="105" w:leftChars="50" w:right="105" w:rightChars="50"/>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美容光电类项目术后实际感染发生人（次）数/同期接受美容光电类项目治疗总人（次）数×100%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3.3.6</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美容光电类项目术后疤痕发生率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美容光电类项目术后实际疤痕发生人（次）数/同期接受美容光电类项目治疗总人（次）数×100%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3.3.7</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美容光电类项目术后神经损伤发生率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美容光电类项目术后实际神经损伤发生人（次）数/同期接受美容光电类项目治疗总人（次）数×100%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3.3.8</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化学剥脱治疗感染发生率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化学剥脱治疗感染发生人（次）数/同期实际化学剥脱治疗总人（次）数×100%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3.3.9</w:t>
            </w:r>
          </w:p>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注射美容治疗感染发生率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pStyle w:val="25"/>
              <w:spacing w:line="300" w:lineRule="exact"/>
              <w:ind w:left="105" w:leftChars="50" w:right="105" w:rightChars="5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注射美容不良反应发生人（次）数/同期实际注射美容治疗总人（次）数×100%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3.3.10</w:t>
            </w:r>
          </w:p>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美容光电类项目患者定期随访率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接受定期随访光电治疗患者人数/同期美容皮肤科接受光电治疗患者总人数×100%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3.3.11</w:t>
            </w:r>
          </w:p>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美容光电类项目患者</w:t>
            </w:r>
          </w:p>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宣教率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接受宣教的光电治疗患者人数/同期美容皮肤科接受光电治疗患者总人数×100%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r>
        <w:tblPrEx>
          <w:tblCellMar>
            <w:top w:w="0" w:type="dxa"/>
            <w:left w:w="108" w:type="dxa"/>
            <w:bottom w:w="0" w:type="dxa"/>
            <w:right w:w="108" w:type="dxa"/>
          </w:tblCellMar>
        </w:tblPrEx>
        <w:trPr>
          <w:trHeight w:val="1984" w:hRule="atLeast"/>
        </w:trPr>
        <w:tc>
          <w:tcPr>
            <w:tcW w:w="2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3.3.12</w:t>
            </w:r>
          </w:p>
          <w:p>
            <w:pPr>
              <w:widowControl/>
              <w:jc w:val="both"/>
              <w:textAlignment w:val="cente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美容光电类项目患者</w:t>
            </w:r>
          </w:p>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参数登记率</w:t>
            </w:r>
          </w:p>
        </w:tc>
        <w:tc>
          <w:tcPr>
            <w:tcW w:w="24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both"/>
              <w:textAlignment w:val="center"/>
              <w:rPr>
                <w:rFonts w:hint="default"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highlight w:val="none"/>
                <w:vertAlign w:val="baseline"/>
                <w:lang w:val="en-US" w:eastAsia="zh-CN" w:bidi="ar-SA"/>
              </w:rPr>
              <w:t>光电治疗参数实际登记人数/同期美容皮肤科光电治疗总人数×100%</w:t>
            </w:r>
          </w:p>
        </w:tc>
        <w:tc>
          <w:tcPr>
            <w:tcW w:w="14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9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81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bl>
    <w:p>
      <w:pPr>
        <w:rPr>
          <w:rFonts w:hint="eastAsia"/>
          <w:color w:val="000000"/>
          <w:lang w:val="en-US" w:eastAsia="zh-CN"/>
        </w:rPr>
      </w:pPr>
    </w:p>
    <w:p>
      <w:pPr>
        <w:pStyle w:val="5"/>
        <w:bidi w:val="0"/>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pStyle w:val="5"/>
        <w:bidi w:val="0"/>
        <w:rPr>
          <w:rFonts w:hint="eastAsia"/>
          <w:color w:val="000000"/>
        </w:rPr>
      </w:pPr>
      <w:bookmarkStart w:id="122" w:name="_Toc325"/>
      <w:r>
        <w:rPr>
          <w:rFonts w:hint="eastAsia"/>
          <w:color w:val="000000"/>
          <w:lang w:val="en-US" w:eastAsia="zh-CN"/>
        </w:rPr>
        <w:t>四</w:t>
      </w:r>
      <w:r>
        <w:rPr>
          <w:rFonts w:hint="eastAsia"/>
          <w:color w:val="000000"/>
        </w:rPr>
        <w:t>、</w:t>
      </w:r>
      <w:r>
        <w:rPr>
          <w:rFonts w:hint="eastAsia"/>
          <w:color w:val="000000"/>
          <w:lang w:val="en-US" w:eastAsia="zh-CN"/>
        </w:rPr>
        <w:t>外科</w:t>
      </w:r>
      <w:r>
        <w:rPr>
          <w:rFonts w:hint="eastAsia"/>
          <w:color w:val="000000"/>
        </w:rPr>
        <w:t>专业医疗质量控制指标（</w:t>
      </w:r>
      <w:r>
        <w:rPr>
          <w:rFonts w:hint="eastAsia"/>
          <w:color w:val="000000"/>
          <w:lang w:val="en-US" w:eastAsia="zh-CN"/>
        </w:rPr>
        <w:t>18</w:t>
      </w:r>
      <w:r>
        <w:rPr>
          <w:rFonts w:hint="eastAsia"/>
          <w:color w:val="000000"/>
        </w:rPr>
        <w:t>分）</w:t>
      </w:r>
      <w:bookmarkEnd w:id="122"/>
    </w:p>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本节评审设</w:t>
      </w:r>
      <w:r>
        <w:rPr>
          <w:rFonts w:hint="eastAsia" w:ascii="宋体" w:hAnsi="宋体" w:cs="宋体"/>
          <w:color w:val="000000"/>
          <w:kern w:val="0"/>
          <w:sz w:val="28"/>
          <w:szCs w:val="28"/>
          <w:lang w:val="en-US" w:eastAsia="zh-CN"/>
        </w:rPr>
        <w:t>9</w:t>
      </w:r>
      <w:r>
        <w:rPr>
          <w:rFonts w:hint="eastAsia" w:ascii="宋体" w:hAnsi="宋体" w:eastAsia="宋体" w:cs="宋体"/>
          <w:color w:val="000000"/>
          <w:kern w:val="0"/>
          <w:sz w:val="28"/>
          <w:szCs w:val="28"/>
        </w:rPr>
        <w:t>条</w:t>
      </w:r>
      <w:r>
        <w:rPr>
          <w:rFonts w:hint="eastAsia" w:ascii="宋体" w:hAnsi="宋体" w:cs="宋体"/>
          <w:color w:val="000000"/>
          <w:kern w:val="0"/>
          <w:sz w:val="28"/>
          <w:szCs w:val="28"/>
          <w:lang w:val="en-US" w:eastAsia="zh-CN"/>
        </w:rPr>
        <w:t>9</w:t>
      </w:r>
      <w:r>
        <w:rPr>
          <w:rFonts w:hint="eastAsia" w:ascii="宋体" w:hAnsi="宋体" w:eastAsia="宋体" w:cs="宋体"/>
          <w:color w:val="000000"/>
          <w:kern w:val="0"/>
          <w:sz w:val="28"/>
          <w:szCs w:val="28"/>
        </w:rPr>
        <w:t>个指标，均为数据评审指标，共</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tbl>
      <w:tblPr>
        <w:tblStyle w:val="14"/>
        <w:tblW w:w="10138" w:type="dxa"/>
        <w:jc w:val="center"/>
        <w:tblLayout w:type="fixed"/>
        <w:tblCellMar>
          <w:top w:w="0" w:type="dxa"/>
          <w:left w:w="0" w:type="dxa"/>
          <w:bottom w:w="0" w:type="dxa"/>
          <w:right w:w="0" w:type="dxa"/>
        </w:tblCellMar>
      </w:tblPr>
      <w:tblGrid>
        <w:gridCol w:w="2465"/>
        <w:gridCol w:w="2713"/>
        <w:gridCol w:w="1256"/>
        <w:gridCol w:w="709"/>
        <w:gridCol w:w="2995"/>
      </w:tblGrid>
      <w:tr>
        <w:tblPrEx>
          <w:tblCellMar>
            <w:top w:w="0" w:type="dxa"/>
            <w:left w:w="0" w:type="dxa"/>
            <w:bottom w:w="0" w:type="dxa"/>
            <w:right w:w="0" w:type="dxa"/>
          </w:tblCellMar>
        </w:tblPrEx>
        <w:trPr>
          <w:trHeight w:val="795"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default" w:ascii="黑体" w:hAnsi="黑体" w:eastAsia="黑体" w:cs="Times New Roman"/>
                <w:color w:val="000000"/>
                <w:kern w:val="2"/>
                <w:sz w:val="24"/>
                <w:szCs w:val="24"/>
                <w:lang w:val="en-US" w:eastAsia="zh-Hans" w:bidi="ar-SA"/>
              </w:rPr>
            </w:pPr>
            <w:r>
              <w:rPr>
                <w:rFonts w:hint="eastAsia"/>
                <w:color w:val="000000"/>
                <w:sz w:val="24"/>
                <w:szCs w:val="24"/>
              </w:rPr>
              <w:t>监测指标</w:t>
            </w:r>
          </w:p>
        </w:tc>
        <w:tc>
          <w:tcPr>
            <w:tcW w:w="2713"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Times New Roman"/>
                <w:color w:val="000000"/>
                <w:kern w:val="2"/>
                <w:sz w:val="24"/>
                <w:szCs w:val="24"/>
                <w:lang w:val="en-US" w:eastAsia="zh-Hans" w:bidi="ar-SA"/>
              </w:rPr>
            </w:pPr>
            <w:r>
              <w:rPr>
                <w:rFonts w:hint="eastAsia"/>
                <w:color w:val="000000"/>
                <w:sz w:val="24"/>
                <w:szCs w:val="24"/>
              </w:rPr>
              <w:t>计算方法</w:t>
            </w:r>
          </w:p>
        </w:tc>
        <w:tc>
          <w:tcPr>
            <w:tcW w:w="125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Times New Roman"/>
                <w:color w:val="000000"/>
                <w:kern w:val="2"/>
                <w:sz w:val="24"/>
                <w:szCs w:val="24"/>
                <w:lang w:val="en-US" w:eastAsia="zh-CN" w:bidi="ar-SA"/>
              </w:rPr>
            </w:pPr>
            <w:r>
              <w:rPr>
                <w:rFonts w:hint="eastAsia"/>
                <w:color w:val="000000"/>
                <w:sz w:val="24"/>
                <w:szCs w:val="24"/>
                <w:lang w:val="en-US" w:eastAsia="zh-CN"/>
              </w:rPr>
              <w:t>指标设定</w:t>
            </w:r>
          </w:p>
        </w:tc>
        <w:tc>
          <w:tcPr>
            <w:tcW w:w="709"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Times New Roman"/>
                <w:color w:val="000000"/>
                <w:kern w:val="2"/>
                <w:sz w:val="24"/>
                <w:szCs w:val="24"/>
                <w:lang w:val="en-US" w:eastAsia="zh-CN" w:bidi="ar-SA"/>
              </w:rPr>
            </w:pPr>
            <w:r>
              <w:rPr>
                <w:rFonts w:hint="eastAsia"/>
                <w:color w:val="000000"/>
                <w:sz w:val="24"/>
                <w:szCs w:val="24"/>
              </w:rPr>
              <w:t>分值</w:t>
            </w:r>
          </w:p>
        </w:tc>
        <w:tc>
          <w:tcPr>
            <w:tcW w:w="2995"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Times New Roman"/>
                <w:color w:val="000000"/>
                <w:kern w:val="2"/>
                <w:sz w:val="24"/>
                <w:szCs w:val="24"/>
                <w:lang w:val="en-US" w:eastAsia="zh-CN" w:bidi="ar-SA"/>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2746"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3.4.1皮肤恶性肿瘤（基底细胞癌、鳞癌）术后出血发生率</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皮肤恶性肿瘤（基底细胞癌、鳞癌）术后出血人次数/同期皮肤恶性肿瘤（基底细胞癌、鳞癌）手术患者出院总人次数×100%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0" w:type="dxa"/>
            <w:bottom w:w="0" w:type="dxa"/>
            <w:right w:w="0" w:type="dxa"/>
          </w:tblCellMar>
        </w:tblPrEx>
        <w:trPr>
          <w:trHeight w:val="2104"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3.4.2</w:t>
            </w:r>
          </w:p>
          <w:p>
            <w:pPr>
              <w:pStyle w:val="25"/>
              <w:spacing w:line="320" w:lineRule="exact"/>
              <w:ind w:left="105" w:leftChars="50" w:right="105" w:rightChars="5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手术间与病床配置比</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医院实际开放的手术间/医院实际开放病床总数</w:t>
            </w:r>
            <w:r>
              <w:rPr>
                <w:rFonts w:hint="eastAsia" w:ascii="仿宋_GB2312" w:hAnsi="仿宋_GB2312" w:eastAsia="仿宋_GB2312" w:cs="仿宋_GB2312"/>
                <w:color w:val="000000"/>
                <w:sz w:val="24"/>
                <w:szCs w:val="24"/>
                <w:lang w:val="en-US" w:eastAsia="zh-Hans"/>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配比类</w:t>
            </w:r>
          </w:p>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259"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3.4.3</w:t>
            </w:r>
          </w:p>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出院患者手术占比</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ind w:left="105" w:leftChars="50" w:right="105" w:rightChars="50"/>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Times New Roman" w:eastAsia="仿宋_GB2312" w:cs="仿宋_GB2312"/>
                <w:b w:val="0"/>
                <w:bCs w:val="0"/>
                <w:i w:val="0"/>
                <w:iCs w:val="0"/>
                <w:color w:val="000000"/>
                <w:spacing w:val="0"/>
                <w:w w:val="100"/>
                <w:kern w:val="2"/>
                <w:sz w:val="24"/>
                <w:szCs w:val="24"/>
                <w:vertAlign w:val="baseline"/>
                <w:lang w:val="en-US" w:eastAsia="zh-CN" w:bidi="ar-SA"/>
              </w:rPr>
              <w:t>出院患者手术台次数/同期出院患者总人次数×100%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218" w:hRule="atLeast"/>
          <w:jc w:val="center"/>
        </w:trPr>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3.4.4</w:t>
            </w:r>
          </w:p>
          <w:p>
            <w:pPr>
              <w:pStyle w:val="25"/>
              <w:spacing w:line="320" w:lineRule="exact"/>
              <w:ind w:left="105" w:leftChars="50" w:right="105" w:rightChars="50"/>
              <w:rPr>
                <w:rFonts w:hint="eastAsia" w:ascii="仿宋_GB2312" w:hAnsi="仿宋_GB2312" w:eastAsia="仿宋_GB2312" w:cs="仿宋_GB2312"/>
                <w:strike/>
                <w:color w:val="000000"/>
                <w:kern w:val="2"/>
                <w:sz w:val="24"/>
                <w:szCs w:val="24"/>
                <w:lang w:val="en-US" w:eastAsia="zh-CN" w:bidi="ar-SA"/>
              </w:rPr>
            </w:pPr>
            <w:r>
              <w:rPr>
                <w:rFonts w:hint="eastAsia" w:ascii="仿宋_GB2312" w:hAnsi="仿宋_GB2312" w:eastAsia="仿宋_GB2312" w:cs="仿宋_GB2312"/>
                <w:color w:val="000000"/>
                <w:sz w:val="24"/>
                <w:szCs w:val="24"/>
              </w:rPr>
              <w:t>日间手术占择期手术比</w:t>
            </w:r>
          </w:p>
        </w:tc>
        <w:tc>
          <w:tcPr>
            <w:tcW w:w="2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strike/>
                <w:color w:val="000000"/>
                <w:kern w:val="2"/>
                <w:sz w:val="24"/>
                <w:szCs w:val="24"/>
                <w:lang w:val="en-US" w:eastAsia="zh-CN" w:bidi="ar-SA"/>
              </w:rPr>
            </w:pPr>
            <w:r>
              <w:rPr>
                <w:rFonts w:hint="eastAsia" w:ascii="仿宋_GB2312" w:hAnsi="仿宋_GB2312" w:eastAsia="仿宋_GB2312" w:cs="仿宋_GB2312"/>
                <w:color w:val="000000"/>
                <w:sz w:val="24"/>
                <w:szCs w:val="24"/>
              </w:rPr>
              <w:t>日间手术台次</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同期出院患者择期手术总台次数</w:t>
            </w:r>
            <w:r>
              <w:rPr>
                <w:rFonts w:ascii="仿宋_GB2312" w:hAnsi="仿宋_GB2312" w:eastAsia="仿宋_GB2312" w:cs="仿宋_GB2312"/>
                <w:color w:val="000000"/>
                <w:sz w:val="24"/>
                <w:szCs w:val="24"/>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237" w:hRule="atLeast"/>
          <w:jc w:val="center"/>
        </w:trPr>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3.4.5</w:t>
            </w:r>
          </w:p>
          <w:p>
            <w:pPr>
              <w:pStyle w:val="25"/>
              <w:spacing w:line="320" w:lineRule="exact"/>
              <w:ind w:left="105" w:leftChars="50" w:right="105" w:rightChars="5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lang w:val="en-US" w:eastAsia="zh-CN"/>
              </w:rPr>
              <w:t>日间手术术前检查完成率</w:t>
            </w:r>
          </w:p>
        </w:tc>
        <w:tc>
          <w:tcPr>
            <w:tcW w:w="2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highlight w:val="none"/>
                <w:lang w:val="en-US" w:eastAsia="zh-CN"/>
              </w:rPr>
              <w:t>日间手术术前检查完成例数/同期开展日间手术的总例数</w:t>
            </w:r>
            <w:r>
              <w:rPr>
                <w:rFonts w:ascii="仿宋_GB2312" w:hAnsi="仿宋_GB2312" w:eastAsia="仿宋_GB2312" w:cs="仿宋_GB2312"/>
                <w:color w:val="000000"/>
                <w:sz w:val="24"/>
                <w:szCs w:val="24"/>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0" w:type="dxa"/>
            <w:bottom w:w="0" w:type="dxa"/>
            <w:right w:w="0" w:type="dxa"/>
          </w:tblCellMar>
        </w:tblPrEx>
        <w:trPr>
          <w:trHeight w:val="2813" w:hRule="atLeast"/>
          <w:jc w:val="center"/>
        </w:trPr>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3.4.6</w:t>
            </w:r>
          </w:p>
          <w:p>
            <w:pPr>
              <w:pStyle w:val="25"/>
              <w:spacing w:line="320" w:lineRule="exact"/>
              <w:ind w:left="105" w:leftChars="50" w:right="105" w:rightChars="5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lang w:val="en-US" w:eastAsia="zh-CN"/>
              </w:rPr>
              <w:t>日间手术围手术期并发症发生率</w:t>
            </w:r>
          </w:p>
        </w:tc>
        <w:tc>
          <w:tcPr>
            <w:tcW w:w="2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lang w:val="en-US" w:eastAsia="zh-CN"/>
              </w:rPr>
              <w:t>日间手术围手术期并发症实际发生例数/同期开展日间手术的总例数</w:t>
            </w:r>
            <w:r>
              <w:rPr>
                <w:rFonts w:ascii="仿宋_GB2312" w:hAnsi="仿宋_GB2312" w:eastAsia="仿宋_GB2312" w:cs="仿宋_GB2312"/>
                <w:color w:val="000000"/>
                <w:sz w:val="24"/>
                <w:szCs w:val="24"/>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0" w:type="dxa"/>
            <w:bottom w:w="0" w:type="dxa"/>
            <w:right w:w="0" w:type="dxa"/>
          </w:tblCellMar>
        </w:tblPrEx>
        <w:trPr>
          <w:trHeight w:val="3282" w:hRule="atLeast"/>
          <w:jc w:val="center"/>
        </w:trPr>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3.4.7</w:t>
            </w:r>
          </w:p>
          <w:p>
            <w:pPr>
              <w:pStyle w:val="25"/>
              <w:spacing w:line="320" w:lineRule="exact"/>
              <w:ind w:left="105" w:leftChars="50" w:right="105" w:rightChars="5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lang w:val="en-US" w:eastAsia="zh-CN"/>
              </w:rPr>
              <w:t>日间手术31天内非计划再次入院率</w:t>
            </w:r>
          </w:p>
        </w:tc>
        <w:tc>
          <w:tcPr>
            <w:tcW w:w="2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lang w:val="en-US" w:eastAsia="zh-CN"/>
              </w:rPr>
              <w:t>日间手术31天内非计划再次入院实际例数/同期开展日间手术的总例数</w:t>
            </w:r>
            <w:r>
              <w:rPr>
                <w:rFonts w:ascii="仿宋_GB2312" w:hAnsi="仿宋_GB2312" w:eastAsia="仿宋_GB2312" w:cs="仿宋_GB2312"/>
                <w:color w:val="000000"/>
                <w:sz w:val="24"/>
                <w:szCs w:val="24"/>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0" w:type="dxa"/>
            <w:bottom w:w="0" w:type="dxa"/>
            <w:right w:w="0" w:type="dxa"/>
          </w:tblCellMar>
        </w:tblPrEx>
        <w:trPr>
          <w:trHeight w:val="2893" w:hRule="atLeast"/>
          <w:jc w:val="center"/>
        </w:trPr>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3.4.8</w:t>
            </w:r>
          </w:p>
          <w:p>
            <w:pPr>
              <w:pStyle w:val="25"/>
              <w:spacing w:line="320" w:lineRule="exact"/>
              <w:ind w:left="105" w:leftChars="50" w:right="105" w:rightChars="5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lang w:val="en-US" w:eastAsia="zh-CN"/>
              </w:rPr>
              <w:t>日间手术术后2周内感染率</w:t>
            </w:r>
          </w:p>
        </w:tc>
        <w:tc>
          <w:tcPr>
            <w:tcW w:w="2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lang w:val="en-US" w:eastAsia="zh-CN"/>
              </w:rPr>
              <w:t>日间手术后2 周内感染实际发生例数/同期开展日间手术的总例数</w:t>
            </w:r>
            <w:r>
              <w:rPr>
                <w:rFonts w:ascii="仿宋_GB2312" w:hAnsi="仿宋_GB2312" w:eastAsia="仿宋_GB2312" w:cs="仿宋_GB2312"/>
                <w:color w:val="000000"/>
                <w:sz w:val="24"/>
                <w:szCs w:val="24"/>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监测比较，逐步降低。</w:t>
            </w:r>
          </w:p>
        </w:tc>
      </w:tr>
      <w:tr>
        <w:tblPrEx>
          <w:tblCellMar>
            <w:top w:w="0" w:type="dxa"/>
            <w:left w:w="0" w:type="dxa"/>
            <w:bottom w:w="0" w:type="dxa"/>
            <w:right w:w="0" w:type="dxa"/>
          </w:tblCellMar>
        </w:tblPrEx>
        <w:trPr>
          <w:trHeight w:val="2892" w:hRule="atLeast"/>
          <w:jc w:val="center"/>
        </w:trPr>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3.4.9</w:t>
            </w:r>
          </w:p>
          <w:p>
            <w:pPr>
              <w:pStyle w:val="25"/>
              <w:spacing w:line="320" w:lineRule="exact"/>
              <w:ind w:left="105" w:leftChars="50" w:right="105" w:rightChars="5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皮肤恶性肿瘤手术治疗患者回访率</w:t>
            </w:r>
          </w:p>
        </w:tc>
        <w:tc>
          <w:tcPr>
            <w:tcW w:w="2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20" w:lineRule="exact"/>
              <w:ind w:left="105" w:leftChars="50" w:right="105" w:rightChars="50"/>
              <w:jc w:val="both"/>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皮肤恶性肿瘤手术治疗患者回访例数/同期皮肤恶性肿瘤手术治疗患者数×100%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2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bl>
    <w:p>
      <w:pPr>
        <w:pStyle w:val="5"/>
        <w:bidi w:val="0"/>
        <w:rPr>
          <w:rFonts w:hint="eastAsia"/>
          <w:color w:val="000000"/>
          <w:lang w:val="en-US" w:eastAsia="zh-CN"/>
        </w:rPr>
      </w:pPr>
    </w:p>
    <w:p>
      <w:pPr>
        <w:pStyle w:val="5"/>
        <w:bidi w:val="0"/>
        <w:rPr>
          <w:rFonts w:hint="eastAsia"/>
          <w:color w:val="000000"/>
          <w:lang w:val="en-US" w:eastAsia="zh-CN"/>
        </w:rPr>
      </w:pPr>
    </w:p>
    <w:p>
      <w:pPr>
        <w:pStyle w:val="5"/>
        <w:bidi w:val="0"/>
        <w:rPr>
          <w:rFonts w:hint="eastAsia"/>
          <w:color w:val="000000"/>
          <w:lang w:val="en-US" w:eastAsia="zh-CN"/>
        </w:rPr>
      </w:pPr>
    </w:p>
    <w:p>
      <w:pPr>
        <w:pStyle w:val="5"/>
        <w:bidi w:val="0"/>
        <w:rPr>
          <w:rFonts w:hint="eastAsia"/>
          <w:color w:val="000000"/>
        </w:rPr>
      </w:pPr>
      <w:bookmarkStart w:id="123" w:name="_Toc1522"/>
      <w:r>
        <w:rPr>
          <w:rFonts w:hint="eastAsia"/>
          <w:color w:val="000000"/>
          <w:lang w:val="en-US" w:eastAsia="zh-CN"/>
        </w:rPr>
        <w:t>五</w:t>
      </w:r>
      <w:r>
        <w:rPr>
          <w:rFonts w:hint="eastAsia"/>
          <w:color w:val="000000"/>
        </w:rPr>
        <w:t>、</w:t>
      </w:r>
      <w:bookmarkEnd w:id="118"/>
      <w:bookmarkEnd w:id="119"/>
      <w:bookmarkStart w:id="124" w:name="_Toc13318"/>
      <w:bookmarkStart w:id="125" w:name="_Toc88136170"/>
      <w:r>
        <w:rPr>
          <w:rFonts w:hint="eastAsia"/>
          <w:color w:val="000000"/>
        </w:rPr>
        <w:t>临床检验专业医疗质量控制指标（</w:t>
      </w:r>
      <w:r>
        <w:rPr>
          <w:rFonts w:hint="eastAsia"/>
          <w:color w:val="000000"/>
          <w:lang w:val="en-US" w:eastAsia="zh-CN"/>
        </w:rPr>
        <w:t>28</w:t>
      </w:r>
      <w:r>
        <w:rPr>
          <w:rFonts w:hint="eastAsia"/>
          <w:color w:val="000000"/>
        </w:rPr>
        <w:t>分）</w:t>
      </w:r>
      <w:bookmarkEnd w:id="123"/>
      <w:bookmarkEnd w:id="124"/>
    </w:p>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本节评审设</w:t>
      </w:r>
      <w:r>
        <w:rPr>
          <w:rFonts w:hint="eastAsia" w:ascii="宋体" w:hAnsi="宋体" w:cs="宋体"/>
          <w:color w:val="000000"/>
          <w:kern w:val="0"/>
          <w:sz w:val="28"/>
          <w:szCs w:val="28"/>
          <w:lang w:val="en-US" w:eastAsia="zh-CN"/>
        </w:rPr>
        <w:t>13</w:t>
      </w:r>
      <w:r>
        <w:rPr>
          <w:rFonts w:hint="eastAsia" w:ascii="宋体" w:hAnsi="宋体" w:eastAsia="宋体" w:cs="宋体"/>
          <w:color w:val="000000"/>
          <w:kern w:val="0"/>
          <w:sz w:val="28"/>
          <w:szCs w:val="28"/>
        </w:rPr>
        <w:t>条</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7</w:t>
      </w:r>
      <w:r>
        <w:rPr>
          <w:rFonts w:hint="eastAsia" w:ascii="宋体" w:hAnsi="宋体" w:eastAsia="宋体" w:cs="宋体"/>
          <w:color w:val="000000"/>
          <w:kern w:val="0"/>
          <w:sz w:val="28"/>
          <w:szCs w:val="28"/>
        </w:rPr>
        <w:t>个指标，均为数据评审指标，共</w:t>
      </w:r>
      <w:r>
        <w:rPr>
          <w:rFonts w:hint="eastAsia" w:ascii="宋体" w:hAnsi="宋体" w:cs="宋体"/>
          <w:color w:val="000000"/>
          <w:kern w:val="0"/>
          <w:sz w:val="28"/>
          <w:szCs w:val="28"/>
          <w:lang w:val="en-US" w:eastAsia="zh-CN"/>
        </w:rPr>
        <w:t>28</w:t>
      </w:r>
      <w:r>
        <w:rPr>
          <w:rFonts w:hint="eastAsia" w:ascii="宋体" w:hAnsi="宋体" w:eastAsia="宋体" w:cs="宋体"/>
          <w:color w:val="000000"/>
          <w:kern w:val="0"/>
          <w:sz w:val="28"/>
          <w:szCs w:val="28"/>
        </w:rPr>
        <w:t>分。</w:t>
      </w:r>
    </w:p>
    <w:tbl>
      <w:tblPr>
        <w:tblStyle w:val="14"/>
        <w:tblW w:w="10129" w:type="dxa"/>
        <w:tblInd w:w="-792" w:type="dxa"/>
        <w:tblLayout w:type="fixed"/>
        <w:tblCellMar>
          <w:top w:w="0" w:type="dxa"/>
          <w:left w:w="108" w:type="dxa"/>
          <w:bottom w:w="0" w:type="dxa"/>
          <w:right w:w="108" w:type="dxa"/>
        </w:tblCellMar>
      </w:tblPr>
      <w:tblGrid>
        <w:gridCol w:w="2178"/>
        <w:gridCol w:w="2108"/>
        <w:gridCol w:w="1693"/>
        <w:gridCol w:w="1113"/>
        <w:gridCol w:w="3037"/>
      </w:tblGrid>
      <w:tr>
        <w:tblPrEx>
          <w:tblCellMar>
            <w:top w:w="0" w:type="dxa"/>
            <w:left w:w="108" w:type="dxa"/>
            <w:bottom w:w="0" w:type="dxa"/>
            <w:right w:w="108" w:type="dxa"/>
          </w:tblCellMar>
        </w:tblPrEx>
        <w:trPr>
          <w:trHeight w:val="555" w:hRule="atLeast"/>
        </w:trPr>
        <w:tc>
          <w:tcPr>
            <w:tcW w:w="217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监测指标</w:t>
            </w:r>
          </w:p>
        </w:tc>
        <w:tc>
          <w:tcPr>
            <w:tcW w:w="210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计算方法</w:t>
            </w:r>
          </w:p>
        </w:tc>
        <w:tc>
          <w:tcPr>
            <w:tcW w:w="169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lang w:val="en-US" w:eastAsia="zh-CN"/>
              </w:rPr>
              <w:t>指标设定</w:t>
            </w:r>
          </w:p>
        </w:tc>
        <w:tc>
          <w:tcPr>
            <w:tcW w:w="111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分值</w:t>
            </w:r>
          </w:p>
        </w:tc>
        <w:tc>
          <w:tcPr>
            <w:tcW w:w="3037"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4"/>
              <w:spacing w:line="320" w:lineRule="exact"/>
              <w:rPr>
                <w:rFonts w:hint="eastAsia" w:ascii="黑体" w:hAnsi="黑体" w:eastAsia="黑体" w:cs="黑体"/>
                <w:color w:val="000000"/>
                <w:kern w:val="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108" w:type="dxa"/>
            <w:bottom w:w="0" w:type="dxa"/>
            <w:right w:w="108" w:type="dxa"/>
          </w:tblCellMar>
        </w:tblPrEx>
        <w:trPr>
          <w:trHeight w:val="1475"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240" w:lineRule="auto"/>
              <w:ind w:left="0" w:leftChars="0" w:right="0" w:rightChars="0"/>
              <w:jc w:val="left"/>
              <w:rPr>
                <w:rFonts w:ascii="仿宋_GB2312" w:eastAsia="仿宋_GB2312" w:cs="仿宋_GB2312"/>
                <w:b w:val="0"/>
                <w:bCs w:val="0"/>
                <w:i w:val="0"/>
                <w:iCs w:val="0"/>
                <w:color w:val="000000"/>
                <w:spacing w:val="0"/>
                <w:w w:val="100"/>
                <w:sz w:val="24"/>
                <w:szCs w:val="24"/>
                <w:vertAlign w:val="baseline"/>
              </w:rPr>
            </w:pPr>
            <w:r>
              <w:rPr>
                <w:rFonts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ascii="仿宋_GB2312" w:eastAsia="仿宋_GB2312" w:cs="仿宋_GB2312"/>
                <w:b w:val="0"/>
                <w:bCs w:val="0"/>
                <w:i w:val="0"/>
                <w:iCs w:val="0"/>
                <w:color w:val="000000"/>
                <w:spacing w:val="0"/>
                <w:w w:val="100"/>
                <w:sz w:val="24"/>
                <w:szCs w:val="24"/>
                <w:vertAlign w:val="baseline"/>
              </w:rPr>
              <w:t>.1</w:t>
            </w:r>
          </w:p>
          <w:p>
            <w:pPr>
              <w:pStyle w:val="13"/>
              <w:keepNext w:val="0"/>
              <w:keepLines w:val="0"/>
              <w:widowControl/>
              <w:suppressLineNumbers w:val="0"/>
              <w:spacing w:before="0" w:beforeAutospacing="0" w:after="0" w:afterAutospacing="0" w:line="240" w:lineRule="auto"/>
              <w:ind w:left="0" w:leftChars="0" w:right="0" w:rightChars="0"/>
              <w:jc w:val="left"/>
              <w:rPr>
                <w:rFonts w:ascii="Calibri" w:hAnsi="Calibri" w:eastAsia="宋体" w:cs="Times New Roman"/>
                <w:color w:val="000000"/>
                <w:kern w:val="2"/>
                <w:sz w:val="24"/>
                <w:szCs w:val="24"/>
                <w:lang w:val="en-US" w:eastAsia="zh-CN" w:bidi="ar-SA"/>
              </w:rPr>
            </w:pPr>
            <w:r>
              <w:rPr>
                <w:rFonts w:ascii="仿宋_GB2312" w:eastAsia="仿宋_GB2312" w:cs="仿宋_GB2312"/>
                <w:b w:val="0"/>
                <w:bCs w:val="0"/>
                <w:i w:val="0"/>
                <w:iCs w:val="0"/>
                <w:color w:val="000000"/>
                <w:spacing w:val="0"/>
                <w:w w:val="100"/>
                <w:sz w:val="24"/>
                <w:szCs w:val="24"/>
                <w:vertAlign w:val="baseline"/>
              </w:rPr>
              <w:t>标本类型错误率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类型不符合要求的标本数/同期标本总数×100%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500"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240" w:lineRule="auto"/>
              <w:ind w:left="0" w:leftChars="0" w:right="0" w:rightChars="0"/>
              <w:jc w:val="left"/>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.2</w:t>
            </w:r>
          </w:p>
          <w:p>
            <w:pPr>
              <w:pStyle w:val="13"/>
              <w:keepNext w:val="0"/>
              <w:keepLines w:val="0"/>
              <w:widowControl/>
              <w:suppressLineNumbers w:val="0"/>
              <w:spacing w:before="0" w:beforeAutospacing="0" w:after="0" w:afterAutospacing="0" w:line="240" w:lineRule="auto"/>
              <w:ind w:left="0" w:leftChars="0" w:right="0" w:rightChars="0"/>
              <w:jc w:val="left"/>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标本容器错误率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采集容器不符合要求的标本数/同期标本总数×100%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526" w:hRule="atLeast"/>
        </w:trPr>
        <w:tc>
          <w:tcPr>
            <w:tcW w:w="217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.3</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标本采集量错误率</w:t>
            </w:r>
          </w:p>
        </w:tc>
        <w:tc>
          <w:tcPr>
            <w:tcW w:w="2108" w:type="dxa"/>
            <w:tcBorders>
              <w:top w:val="single" w:color="auto" w:sz="4" w:space="0"/>
              <w:left w:val="nil"/>
              <w:bottom w:val="single" w:color="auto" w:sz="4" w:space="0"/>
              <w:right w:val="single" w:color="000000"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采集量不符合要求的标本数/同期标本总数×100%</w:t>
            </w:r>
          </w:p>
        </w:tc>
        <w:tc>
          <w:tcPr>
            <w:tcW w:w="1693" w:type="dxa"/>
            <w:tcBorders>
              <w:top w:val="single" w:color="auto" w:sz="4" w:space="0"/>
              <w:left w:val="nil"/>
              <w:bottom w:val="single" w:color="auto" w:sz="4" w:space="0"/>
              <w:right w:val="single" w:color="000000"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nil"/>
              <w:bottom w:val="single" w:color="auto" w:sz="4" w:space="0"/>
              <w:right w:val="single" w:color="000000"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3037" w:type="dxa"/>
            <w:tcBorders>
              <w:top w:val="single" w:color="auto" w:sz="4" w:space="0"/>
              <w:left w:val="nil"/>
              <w:bottom w:val="single" w:color="auto" w:sz="4" w:space="0"/>
              <w:right w:val="single" w:color="000000"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451"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.4</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抗凝标本凝集率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凝集的标本数/同期需抗凝的标本总数×100%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3496"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.5</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检验前周转时间中位数</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color w:val="000000"/>
                <w:sz w:val="24"/>
                <w:szCs w:val="24"/>
                <w:highlight w:val="none"/>
              </w:rPr>
            </w:pPr>
            <w:r>
              <w:rPr>
                <w:rFonts w:hint="eastAsia" w:ascii="仿宋_GB2312" w:eastAsia="仿宋_GB2312" w:cs="仿宋_GB2312"/>
                <w:b w:val="0"/>
                <w:bCs w:val="0"/>
                <w:i w:val="0"/>
                <w:iCs w:val="0"/>
                <w:color w:val="000000"/>
                <w:spacing w:val="0"/>
                <w:w w:val="100"/>
                <w:sz w:val="24"/>
                <w:szCs w:val="24"/>
                <w:highlight w:val="none"/>
                <w:vertAlign w:val="baseline"/>
              </w:rPr>
              <w:t>检验前周转时间中位数=X</w:t>
            </w:r>
            <w:r>
              <w:rPr>
                <w:rFonts w:hint="eastAsia" w:ascii="仿宋_GB2312" w:eastAsia="仿宋_GB2312" w:cs="仿宋_GB2312"/>
                <w:b w:val="0"/>
                <w:bCs w:val="0"/>
                <w:i w:val="0"/>
                <w:iCs w:val="0"/>
                <w:color w:val="000000"/>
                <w:spacing w:val="0"/>
                <w:w w:val="100"/>
                <w:sz w:val="24"/>
                <w:szCs w:val="24"/>
                <w:highlight w:val="none"/>
                <w:vertAlign w:val="subscript"/>
              </w:rPr>
              <w:t>(n+1)</w:t>
            </w:r>
            <w:r>
              <w:rPr>
                <w:rFonts w:hint="eastAsia" w:ascii="仿宋_GB2312" w:eastAsia="仿宋_GB2312" w:cs="仿宋_GB2312"/>
                <w:b w:val="0"/>
                <w:bCs w:val="0"/>
                <w:i w:val="0"/>
                <w:iCs w:val="0"/>
                <w:color w:val="000000"/>
                <w:spacing w:val="0"/>
                <w:w w:val="100"/>
                <w:sz w:val="24"/>
                <w:szCs w:val="24"/>
                <w:highlight w:val="none"/>
                <w:vertAlign w:val="baseline"/>
              </w:rPr>
              <w:t>/2, n 为奇数</w:t>
            </w:r>
          </w:p>
          <w:p>
            <w:pPr>
              <w:pStyle w:val="13"/>
              <w:keepNext w:val="0"/>
              <w:keepLines w:val="0"/>
              <w:widowControl/>
              <w:suppressLineNumbers w:val="0"/>
              <w:spacing w:before="0" w:beforeAutospacing="0" w:after="0" w:afterAutospacing="0" w:line="300" w:lineRule="exact"/>
              <w:ind w:left="105" w:leftChars="50" w:right="105" w:rightChars="50"/>
              <w:jc w:val="both"/>
              <w:rPr>
                <w:color w:val="000000"/>
                <w:sz w:val="24"/>
                <w:szCs w:val="24"/>
                <w:highlight w:val="none"/>
              </w:rPr>
            </w:pPr>
            <w:r>
              <w:rPr>
                <w:rFonts w:hint="eastAsia" w:ascii="仿宋_GB2312" w:eastAsia="仿宋_GB2312" w:cs="仿宋_GB2312"/>
                <w:b w:val="0"/>
                <w:bCs w:val="0"/>
                <w:i w:val="0"/>
                <w:iCs w:val="0"/>
                <w:color w:val="000000"/>
                <w:spacing w:val="0"/>
                <w:w w:val="100"/>
                <w:sz w:val="24"/>
                <w:szCs w:val="24"/>
                <w:highlight w:val="none"/>
                <w:vertAlign w:val="baseline"/>
              </w:rPr>
              <w:t>检验前周转时间中位数=（X</w:t>
            </w:r>
            <w:r>
              <w:rPr>
                <w:rFonts w:hint="eastAsia" w:ascii="仿宋_GB2312" w:eastAsia="仿宋_GB2312" w:cs="仿宋_GB2312"/>
                <w:b w:val="0"/>
                <w:bCs w:val="0"/>
                <w:i w:val="0"/>
                <w:iCs w:val="0"/>
                <w:color w:val="000000"/>
                <w:spacing w:val="0"/>
                <w:w w:val="100"/>
                <w:sz w:val="24"/>
                <w:szCs w:val="24"/>
                <w:highlight w:val="none"/>
                <w:vertAlign w:val="subscript"/>
              </w:rPr>
              <w:t>n/2</w:t>
            </w:r>
            <w:r>
              <w:rPr>
                <w:rFonts w:hint="eastAsia" w:ascii="仿宋_GB2312" w:eastAsia="仿宋_GB2312" w:cs="仿宋_GB2312"/>
                <w:b w:val="0"/>
                <w:bCs w:val="0"/>
                <w:i w:val="0"/>
                <w:iCs w:val="0"/>
                <w:color w:val="000000"/>
                <w:spacing w:val="0"/>
                <w:w w:val="100"/>
                <w:sz w:val="24"/>
                <w:szCs w:val="24"/>
                <w:highlight w:val="none"/>
                <w:vertAlign w:val="baseline"/>
              </w:rPr>
              <w:t>+X</w:t>
            </w:r>
            <w:r>
              <w:rPr>
                <w:rFonts w:hint="eastAsia" w:ascii="仿宋_GB2312" w:eastAsia="仿宋_GB2312" w:cs="仿宋_GB2312"/>
                <w:b w:val="0"/>
                <w:bCs w:val="0"/>
                <w:i w:val="0"/>
                <w:iCs w:val="0"/>
                <w:color w:val="000000"/>
                <w:spacing w:val="0"/>
                <w:w w:val="100"/>
                <w:sz w:val="24"/>
                <w:szCs w:val="24"/>
                <w:highlight w:val="none"/>
                <w:vertAlign w:val="subscript"/>
              </w:rPr>
              <w:t>n/2+1</w:t>
            </w:r>
            <w:r>
              <w:rPr>
                <w:rFonts w:hint="eastAsia" w:ascii="仿宋_GB2312" w:eastAsia="仿宋_GB2312" w:cs="仿宋_GB2312"/>
                <w:b w:val="0"/>
                <w:bCs w:val="0"/>
                <w:i w:val="0"/>
                <w:iCs w:val="0"/>
                <w:color w:val="000000"/>
                <w:spacing w:val="0"/>
                <w:w w:val="100"/>
                <w:sz w:val="24"/>
                <w:szCs w:val="24"/>
                <w:highlight w:val="none"/>
                <w:vertAlign w:val="baseline"/>
              </w:rPr>
              <w:t>）/2，n 为偶数</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highlight w:val="none"/>
                <w:vertAlign w:val="baseline"/>
              </w:rPr>
              <w:t>注：n 为检验标本数，X 为检验前周转时间。</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2472"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.6</w:t>
            </w:r>
          </w:p>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室内质控项目开展率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开展室内质控的检验项目数/同期检验项目总数×100%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2473"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highlight w:val="none"/>
                <w:vertAlign w:val="baseline"/>
              </w:rPr>
            </w:pPr>
            <w:r>
              <w:rPr>
                <w:rFonts w:hint="eastAsia" w:ascii="仿宋_GB2312" w:eastAsia="仿宋_GB2312" w:cs="仿宋_GB2312"/>
                <w:b w:val="0"/>
                <w:bCs w:val="0"/>
                <w:i w:val="0"/>
                <w:iCs w:val="0"/>
                <w:color w:val="000000"/>
                <w:spacing w:val="0"/>
                <w:w w:val="100"/>
                <w:sz w:val="24"/>
                <w:szCs w:val="24"/>
                <w:highlight w:val="none"/>
                <w:vertAlign w:val="baseline"/>
              </w:rPr>
              <w:t>3.</w:t>
            </w:r>
            <w:r>
              <w:rPr>
                <w:rFonts w:hint="eastAsia" w:ascii="仿宋_GB2312" w:eastAsia="仿宋_GB2312" w:cs="仿宋_GB2312"/>
                <w:b w:val="0"/>
                <w:bCs w:val="0"/>
                <w:i w:val="0"/>
                <w:iCs w:val="0"/>
                <w:color w:val="000000"/>
                <w:spacing w:val="0"/>
                <w:w w:val="100"/>
                <w:sz w:val="24"/>
                <w:szCs w:val="24"/>
                <w:highlight w:val="none"/>
                <w:vertAlign w:val="baseline"/>
                <w:lang w:val="en-US" w:eastAsia="zh-CN"/>
              </w:rPr>
              <w:t>5</w:t>
            </w:r>
            <w:r>
              <w:rPr>
                <w:rFonts w:hint="eastAsia" w:ascii="仿宋_GB2312" w:eastAsia="仿宋_GB2312" w:cs="仿宋_GB2312"/>
                <w:b w:val="0"/>
                <w:bCs w:val="0"/>
                <w:i w:val="0"/>
                <w:iCs w:val="0"/>
                <w:color w:val="000000"/>
                <w:spacing w:val="0"/>
                <w:w w:val="100"/>
                <w:sz w:val="24"/>
                <w:szCs w:val="24"/>
                <w:highlight w:val="none"/>
                <w:vertAlign w:val="baseline"/>
              </w:rPr>
              <w:t>.7</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highlight w:val="none"/>
                <w:lang w:val="en-US" w:eastAsia="zh-CN" w:bidi="ar-SA"/>
              </w:rPr>
            </w:pPr>
            <w:r>
              <w:rPr>
                <w:rFonts w:hint="eastAsia" w:ascii="仿宋_GB2312" w:eastAsia="仿宋_GB2312" w:cs="仿宋_GB2312"/>
                <w:b w:val="0"/>
                <w:bCs w:val="0"/>
                <w:i w:val="0"/>
                <w:iCs w:val="0"/>
                <w:color w:val="000000"/>
                <w:spacing w:val="0"/>
                <w:w w:val="100"/>
                <w:sz w:val="24"/>
                <w:szCs w:val="24"/>
                <w:highlight w:val="none"/>
                <w:vertAlign w:val="baseline"/>
              </w:rPr>
              <w:t>室内质控项目变异系数不合格率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color w:val="000000"/>
                <w:sz w:val="24"/>
                <w:szCs w:val="24"/>
                <w:highlight w:val="none"/>
              </w:rPr>
            </w:pPr>
            <w:r>
              <w:rPr>
                <w:rFonts w:hint="eastAsia" w:ascii="仿宋_GB2312" w:eastAsia="仿宋_GB2312" w:cs="仿宋_GB2312"/>
                <w:b w:val="0"/>
                <w:bCs w:val="0"/>
                <w:i w:val="0"/>
                <w:iCs w:val="0"/>
                <w:color w:val="000000"/>
                <w:spacing w:val="0"/>
                <w:w w:val="100"/>
                <w:sz w:val="24"/>
                <w:szCs w:val="24"/>
                <w:highlight w:val="none"/>
                <w:vertAlign w:val="baseline"/>
              </w:rPr>
              <w:t>室内质控项目</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highlight w:val="none"/>
                <w:lang w:val="en-US" w:eastAsia="zh-CN" w:bidi="ar-SA"/>
              </w:rPr>
            </w:pPr>
            <w:r>
              <w:rPr>
                <w:rFonts w:hint="eastAsia" w:ascii="仿宋_GB2312" w:eastAsia="仿宋_GB2312" w:cs="仿宋_GB2312"/>
                <w:b w:val="0"/>
                <w:bCs w:val="0"/>
                <w:i w:val="0"/>
                <w:iCs w:val="0"/>
                <w:color w:val="000000"/>
                <w:spacing w:val="0"/>
                <w:w w:val="100"/>
                <w:sz w:val="24"/>
                <w:szCs w:val="24"/>
                <w:highlight w:val="none"/>
                <w:vertAlign w:val="baseline"/>
              </w:rPr>
              <w:t>变异系数高于要求的检验项目数/同期对室内质控项目变异系数有要求的检验项目总数×100%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542" w:hRule="atLeast"/>
        </w:trPr>
        <w:tc>
          <w:tcPr>
            <w:tcW w:w="10129"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ind w:left="105" w:leftChars="50" w:right="105" w:rightChars="50"/>
              <w:rPr>
                <w:rFonts w:ascii="仿宋_GB2312" w:hAnsi="仿宋_GB2312" w:eastAsia="仿宋_GB2312" w:cs="仿宋_GB2312"/>
                <w:color w:val="000000"/>
                <w:kern w:val="0"/>
                <w:sz w:val="24"/>
                <w:szCs w:val="24"/>
                <w:shd w:val="clear" w:color="auto" w:fill="FFFFFF"/>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.8室间质评项目参加率</w:t>
            </w:r>
          </w:p>
        </w:tc>
      </w:tr>
      <w:tr>
        <w:tblPrEx>
          <w:tblCellMar>
            <w:top w:w="0" w:type="dxa"/>
            <w:left w:w="108" w:type="dxa"/>
            <w:bottom w:w="0" w:type="dxa"/>
            <w:right w:w="108" w:type="dxa"/>
          </w:tblCellMar>
        </w:tblPrEx>
        <w:trPr>
          <w:trHeight w:val="2128"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.8.1</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国家室间质评项目参加率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参加国家</w:t>
            </w:r>
            <w:r>
              <w:rPr>
                <w:rFonts w:hint="eastAsia" w:ascii="仿宋_GB2312" w:eastAsia="仿宋_GB2312" w:cs="仿宋_GB2312"/>
                <w:b w:val="0"/>
                <w:bCs w:val="0"/>
                <w:i w:val="0"/>
                <w:iCs w:val="0"/>
                <w:color w:val="000000"/>
                <w:spacing w:val="0"/>
                <w:w w:val="100"/>
                <w:sz w:val="24"/>
                <w:szCs w:val="24"/>
                <w:highlight w:val="none"/>
                <w:vertAlign w:val="baseline"/>
              </w:rPr>
              <w:t>室间质评的检验项目数/同期特定机构</w:t>
            </w:r>
            <w:r>
              <w:rPr>
                <w:rFonts w:hint="eastAsia" w:ascii="仿宋_GB2312" w:eastAsia="仿宋_GB2312" w:cs="仿宋_GB2312"/>
                <w:b w:val="0"/>
                <w:bCs w:val="0"/>
                <w:i w:val="0"/>
                <w:iCs w:val="0"/>
                <w:color w:val="000000"/>
                <w:spacing w:val="0"/>
                <w:w w:val="100"/>
                <w:sz w:val="24"/>
                <w:szCs w:val="24"/>
                <w:highlight w:val="none"/>
                <w:vertAlign w:val="baseline"/>
                <w:lang w:val="en-US" w:eastAsia="zh-CN"/>
              </w:rPr>
              <w:t xml:space="preserve"> 实验室</w:t>
            </w:r>
            <w:r>
              <w:rPr>
                <w:rFonts w:hint="eastAsia" w:ascii="仿宋_GB2312" w:eastAsia="仿宋_GB2312" w:cs="仿宋_GB2312"/>
                <w:b w:val="0"/>
                <w:bCs w:val="0"/>
                <w:i w:val="0"/>
                <w:iCs w:val="0"/>
                <w:color w:val="000000"/>
                <w:spacing w:val="0"/>
                <w:w w:val="100"/>
                <w:sz w:val="24"/>
                <w:szCs w:val="24"/>
                <w:highlight w:val="none"/>
                <w:vertAlign w:val="baseline"/>
              </w:rPr>
              <w:t>已开展的室间质评项目总数×</w:t>
            </w:r>
            <w:r>
              <w:rPr>
                <w:rFonts w:hint="eastAsia" w:ascii="仿宋_GB2312" w:eastAsia="仿宋_GB2312" w:cs="仿宋_GB2312"/>
                <w:b w:val="0"/>
                <w:bCs w:val="0"/>
                <w:i w:val="0"/>
                <w:iCs w:val="0"/>
                <w:color w:val="000000"/>
                <w:spacing w:val="0"/>
                <w:w w:val="100"/>
                <w:sz w:val="24"/>
                <w:szCs w:val="24"/>
                <w:vertAlign w:val="baseline"/>
              </w:rPr>
              <w:t>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2072"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.8.2</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广西室间质评项目参加率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参加广西室间质评的检验项目数/</w:t>
            </w:r>
            <w:r>
              <w:rPr>
                <w:rFonts w:hint="eastAsia" w:ascii="仿宋_GB2312" w:eastAsia="仿宋_GB2312" w:cs="仿宋_GB2312"/>
                <w:b w:val="0"/>
                <w:bCs w:val="0"/>
                <w:i w:val="0"/>
                <w:iCs w:val="0"/>
                <w:color w:val="000000"/>
                <w:spacing w:val="0"/>
                <w:w w:val="100"/>
                <w:sz w:val="24"/>
                <w:szCs w:val="24"/>
                <w:highlight w:val="none"/>
                <w:vertAlign w:val="baseline"/>
              </w:rPr>
              <w:t>同期特定机构已开展的室间质评项目总数×100%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535" w:hRule="atLeast"/>
        </w:trPr>
        <w:tc>
          <w:tcPr>
            <w:tcW w:w="10129"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ind w:left="105" w:leftChars="50" w:right="105" w:rightChars="50"/>
              <w:rPr>
                <w:rFonts w:ascii="仿宋_GB2312" w:hAnsi="仿宋_GB2312" w:eastAsia="仿宋_GB2312" w:cs="仿宋_GB2312"/>
                <w:color w:val="000000"/>
                <w:kern w:val="0"/>
                <w:sz w:val="24"/>
                <w:szCs w:val="24"/>
                <w:shd w:val="clear" w:color="auto" w:fill="FFFFFF"/>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.9室间质评项目不合格率</w:t>
            </w:r>
          </w:p>
        </w:tc>
      </w:tr>
      <w:tr>
        <w:tblPrEx>
          <w:tblCellMar>
            <w:top w:w="0" w:type="dxa"/>
            <w:left w:w="108" w:type="dxa"/>
            <w:bottom w:w="0" w:type="dxa"/>
            <w:right w:w="108" w:type="dxa"/>
          </w:tblCellMar>
        </w:tblPrEx>
        <w:trPr>
          <w:trHeight w:val="2634"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.9.1</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国家室间质评项目不合格率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highlight w:val="none"/>
                <w:lang w:val="en-US" w:eastAsia="zh-CN" w:bidi="ar-SA"/>
              </w:rPr>
            </w:pPr>
            <w:r>
              <w:rPr>
                <w:rFonts w:hint="eastAsia" w:ascii="仿宋_GB2312" w:eastAsia="仿宋_GB2312" w:cs="仿宋_GB2312"/>
                <w:b w:val="0"/>
                <w:bCs w:val="0"/>
                <w:i w:val="0"/>
                <w:iCs w:val="0"/>
                <w:color w:val="000000"/>
                <w:spacing w:val="0"/>
                <w:w w:val="100"/>
                <w:sz w:val="24"/>
                <w:szCs w:val="24"/>
                <w:highlight w:val="none"/>
                <w:vertAlign w:val="baseline"/>
              </w:rPr>
              <w:t>国家室间质评不合格的检验项目数/同期参加室间质评检验项目总数×100%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3000"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.9.2</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广西室间质评项目不合格率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highlight w:val="none"/>
                <w:lang w:val="en-US" w:eastAsia="zh-CN" w:bidi="ar-SA"/>
              </w:rPr>
            </w:pPr>
            <w:r>
              <w:rPr>
                <w:rFonts w:hint="eastAsia" w:ascii="仿宋_GB2312" w:eastAsia="仿宋_GB2312" w:cs="仿宋_GB2312"/>
                <w:b w:val="0"/>
                <w:bCs w:val="0"/>
                <w:i w:val="0"/>
                <w:iCs w:val="0"/>
                <w:color w:val="000000"/>
                <w:spacing w:val="0"/>
                <w:w w:val="100"/>
                <w:sz w:val="24"/>
                <w:szCs w:val="24"/>
                <w:highlight w:val="none"/>
                <w:vertAlign w:val="baseline"/>
              </w:rPr>
              <w:t>广西室间质评不合格的检验项目数/同期参加室间质评检验项目总数×100%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475" w:hRule="atLeast"/>
        </w:trPr>
        <w:tc>
          <w:tcPr>
            <w:tcW w:w="217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lang w:val="en-US" w:eastAsia="zh-CN"/>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.9</w:t>
            </w:r>
            <w:r>
              <w:rPr>
                <w:rFonts w:hint="eastAsia" w:ascii="仿宋_GB2312" w:eastAsia="仿宋_GB2312" w:cs="仿宋_GB2312"/>
                <w:b w:val="0"/>
                <w:bCs w:val="0"/>
                <w:i w:val="0"/>
                <w:iCs w:val="0"/>
                <w:color w:val="000000"/>
                <w:spacing w:val="0"/>
                <w:w w:val="100"/>
                <w:sz w:val="24"/>
                <w:szCs w:val="24"/>
                <w:vertAlign w:val="baseline"/>
                <w:lang w:val="en-US" w:eastAsia="zh-CN"/>
              </w:rPr>
              <w:t>.3</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实验室内周转时间中位数</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color w:val="000000"/>
                <w:sz w:val="24"/>
                <w:szCs w:val="24"/>
                <w:highlight w:val="none"/>
              </w:rPr>
            </w:pPr>
            <w:r>
              <w:rPr>
                <w:rFonts w:hint="eastAsia" w:ascii="仿宋_GB2312" w:eastAsia="仿宋_GB2312" w:cs="仿宋_GB2312"/>
                <w:b w:val="0"/>
                <w:bCs w:val="0"/>
                <w:i w:val="0"/>
                <w:iCs w:val="0"/>
                <w:color w:val="000000"/>
                <w:spacing w:val="0"/>
                <w:w w:val="100"/>
                <w:sz w:val="24"/>
                <w:szCs w:val="24"/>
                <w:vertAlign w:val="baseline"/>
              </w:rPr>
              <w:t>实验室内周转时</w:t>
            </w:r>
            <w:r>
              <w:rPr>
                <w:rFonts w:hint="eastAsia" w:ascii="仿宋_GB2312" w:eastAsia="仿宋_GB2312" w:cs="仿宋_GB2312"/>
                <w:b w:val="0"/>
                <w:bCs w:val="0"/>
                <w:i w:val="0"/>
                <w:iCs w:val="0"/>
                <w:color w:val="000000"/>
                <w:spacing w:val="0"/>
                <w:w w:val="100"/>
                <w:sz w:val="24"/>
                <w:szCs w:val="24"/>
                <w:highlight w:val="none"/>
                <w:vertAlign w:val="baseline"/>
              </w:rPr>
              <w:t>间中位数=X</w:t>
            </w:r>
            <w:r>
              <w:rPr>
                <w:rFonts w:hint="eastAsia" w:ascii="仿宋_GB2312" w:eastAsia="仿宋_GB2312" w:cs="仿宋_GB2312"/>
                <w:b w:val="0"/>
                <w:bCs w:val="0"/>
                <w:i w:val="0"/>
                <w:iCs w:val="0"/>
                <w:color w:val="000000"/>
                <w:spacing w:val="0"/>
                <w:w w:val="100"/>
                <w:sz w:val="24"/>
                <w:szCs w:val="24"/>
                <w:highlight w:val="none"/>
                <w:vertAlign w:val="subscript"/>
              </w:rPr>
              <w:t>(n+1)</w:t>
            </w:r>
            <w:r>
              <w:rPr>
                <w:rFonts w:hint="eastAsia" w:ascii="仿宋_GB2312" w:eastAsia="仿宋_GB2312" w:cs="仿宋_GB2312"/>
                <w:b w:val="0"/>
                <w:bCs w:val="0"/>
                <w:i w:val="0"/>
                <w:iCs w:val="0"/>
                <w:color w:val="000000"/>
                <w:spacing w:val="0"/>
                <w:w w:val="100"/>
                <w:sz w:val="24"/>
                <w:szCs w:val="24"/>
                <w:highlight w:val="none"/>
                <w:vertAlign w:val="baseline"/>
              </w:rPr>
              <w:t>/2, n 为奇数</w:t>
            </w:r>
          </w:p>
          <w:p>
            <w:pPr>
              <w:pStyle w:val="13"/>
              <w:keepNext w:val="0"/>
              <w:keepLines w:val="0"/>
              <w:widowControl/>
              <w:suppressLineNumbers w:val="0"/>
              <w:spacing w:before="0" w:beforeAutospacing="0" w:after="0" w:afterAutospacing="0" w:line="300" w:lineRule="exact"/>
              <w:ind w:left="105" w:leftChars="50" w:right="105" w:rightChars="50"/>
              <w:jc w:val="both"/>
              <w:rPr>
                <w:color w:val="000000"/>
                <w:sz w:val="24"/>
                <w:szCs w:val="24"/>
              </w:rPr>
            </w:pPr>
            <w:r>
              <w:rPr>
                <w:rFonts w:hint="eastAsia" w:ascii="仿宋_GB2312" w:eastAsia="仿宋_GB2312" w:cs="仿宋_GB2312"/>
                <w:b w:val="0"/>
                <w:bCs w:val="0"/>
                <w:i w:val="0"/>
                <w:iCs w:val="0"/>
                <w:color w:val="000000"/>
                <w:spacing w:val="0"/>
                <w:w w:val="100"/>
                <w:sz w:val="24"/>
                <w:szCs w:val="24"/>
                <w:highlight w:val="none"/>
                <w:vertAlign w:val="baseline"/>
              </w:rPr>
              <w:t>实验室内周转时间中位数=（X</w:t>
            </w:r>
            <w:r>
              <w:rPr>
                <w:rFonts w:hint="eastAsia" w:ascii="仿宋_GB2312" w:eastAsia="仿宋_GB2312" w:cs="仿宋_GB2312"/>
                <w:b w:val="0"/>
                <w:bCs w:val="0"/>
                <w:i w:val="0"/>
                <w:iCs w:val="0"/>
                <w:color w:val="000000"/>
                <w:spacing w:val="0"/>
                <w:w w:val="100"/>
                <w:sz w:val="24"/>
                <w:szCs w:val="24"/>
                <w:highlight w:val="none"/>
                <w:vertAlign w:val="subscript"/>
              </w:rPr>
              <w:t>n/2</w:t>
            </w:r>
            <w:r>
              <w:rPr>
                <w:rFonts w:hint="eastAsia" w:ascii="仿宋_GB2312" w:eastAsia="仿宋_GB2312" w:cs="仿宋_GB2312"/>
                <w:b w:val="0"/>
                <w:bCs w:val="0"/>
                <w:i w:val="0"/>
                <w:iCs w:val="0"/>
                <w:color w:val="000000"/>
                <w:spacing w:val="0"/>
                <w:w w:val="100"/>
                <w:sz w:val="24"/>
                <w:szCs w:val="24"/>
                <w:highlight w:val="none"/>
                <w:vertAlign w:val="baseline"/>
              </w:rPr>
              <w:t>+X</w:t>
            </w:r>
            <w:r>
              <w:rPr>
                <w:rFonts w:hint="eastAsia" w:ascii="仿宋_GB2312" w:eastAsia="仿宋_GB2312" w:cs="仿宋_GB2312"/>
                <w:b w:val="0"/>
                <w:bCs w:val="0"/>
                <w:i w:val="0"/>
                <w:iCs w:val="0"/>
                <w:color w:val="000000"/>
                <w:spacing w:val="0"/>
                <w:w w:val="100"/>
                <w:sz w:val="24"/>
                <w:szCs w:val="24"/>
                <w:highlight w:val="none"/>
                <w:vertAlign w:val="subscript"/>
              </w:rPr>
              <w:t>n/2+1</w:t>
            </w:r>
            <w:r>
              <w:rPr>
                <w:rFonts w:hint="eastAsia" w:ascii="仿宋_GB2312" w:eastAsia="仿宋_GB2312" w:cs="仿宋_GB2312"/>
                <w:b w:val="0"/>
                <w:bCs w:val="0"/>
                <w:i w:val="0"/>
                <w:iCs w:val="0"/>
                <w:color w:val="000000"/>
                <w:spacing w:val="0"/>
                <w:w w:val="100"/>
                <w:sz w:val="24"/>
                <w:szCs w:val="24"/>
                <w:highlight w:val="none"/>
                <w:vertAlign w:val="baseline"/>
              </w:rPr>
              <w:t>）/2</w:t>
            </w:r>
            <w:r>
              <w:rPr>
                <w:rFonts w:hint="eastAsia" w:ascii="仿宋_GB2312" w:eastAsia="仿宋_GB2312" w:cs="仿宋_GB2312"/>
                <w:b w:val="0"/>
                <w:bCs w:val="0"/>
                <w:i w:val="0"/>
                <w:iCs w:val="0"/>
                <w:color w:val="000000"/>
                <w:spacing w:val="0"/>
                <w:w w:val="100"/>
                <w:sz w:val="24"/>
                <w:szCs w:val="24"/>
                <w:vertAlign w:val="baseline"/>
              </w:rPr>
              <w:t>，n 为偶数</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注：</w:t>
            </w:r>
            <w:r>
              <w:rPr>
                <w:rFonts w:hint="eastAsia" w:ascii="仿宋_GB2312" w:eastAsia="仿宋_GB2312" w:cs="仿宋_GB2312"/>
                <w:b w:val="0"/>
                <w:bCs w:val="0"/>
                <w:i w:val="0"/>
                <w:iCs w:val="0"/>
                <w:color w:val="000000"/>
                <w:spacing w:val="0"/>
                <w:w w:val="100"/>
                <w:sz w:val="24"/>
                <w:szCs w:val="24"/>
                <w:highlight w:val="none"/>
                <w:vertAlign w:val="baseline"/>
              </w:rPr>
              <w:t>n 为检验标本数</w:t>
            </w:r>
            <w:r>
              <w:rPr>
                <w:rFonts w:hint="eastAsia" w:ascii="仿宋_GB2312" w:eastAsia="仿宋_GB2312" w:cs="仿宋_GB2312"/>
                <w:b w:val="0"/>
                <w:bCs w:val="0"/>
                <w:i w:val="0"/>
                <w:iCs w:val="0"/>
                <w:color w:val="000000"/>
                <w:spacing w:val="0"/>
                <w:w w:val="100"/>
                <w:sz w:val="24"/>
                <w:szCs w:val="24"/>
                <w:vertAlign w:val="baseline"/>
              </w:rPr>
              <w:t>，X 为实验室内周转时间。</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674" w:hRule="atLeast"/>
        </w:trPr>
        <w:tc>
          <w:tcPr>
            <w:tcW w:w="217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ind w:left="105" w:leftChars="50" w:right="105" w:rightChars="50"/>
              <w:rPr>
                <w:rFonts w:ascii="仿宋_GB2312" w:hAnsi="仿宋_GB2312" w:eastAsia="仿宋_GB2312" w:cs="仿宋_GB2312"/>
                <w:color w:val="000000"/>
                <w:kern w:val="0"/>
                <w:sz w:val="24"/>
                <w:szCs w:val="24"/>
                <w:shd w:val="clear" w:color="auto" w:fill="FFFFFF"/>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ind w:left="105" w:leftChars="50" w:right="105" w:rightChars="50"/>
              <w:rPr>
                <w:rFonts w:ascii="仿宋_GB2312" w:hAnsi="仿宋_GB2312" w:eastAsia="仿宋_GB2312" w:cs="仿宋_GB2312"/>
                <w:color w:val="000000"/>
                <w:kern w:val="0"/>
                <w:sz w:val="24"/>
                <w:szCs w:val="24"/>
                <w:shd w:val="clear" w:color="auto" w:fill="FFFFFF"/>
              </w:rPr>
            </w:pP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1</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581" w:hRule="atLeast"/>
        </w:trPr>
        <w:tc>
          <w:tcPr>
            <w:tcW w:w="2178"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lang w:val="en-US" w:eastAsia="zh-CN"/>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.9</w:t>
            </w:r>
            <w:r>
              <w:rPr>
                <w:rFonts w:hint="eastAsia" w:ascii="仿宋_GB2312" w:eastAsia="仿宋_GB2312" w:cs="仿宋_GB2312"/>
                <w:b w:val="0"/>
                <w:bCs w:val="0"/>
                <w:i w:val="0"/>
                <w:iCs w:val="0"/>
                <w:color w:val="000000"/>
                <w:spacing w:val="0"/>
                <w:w w:val="100"/>
                <w:sz w:val="24"/>
                <w:szCs w:val="24"/>
                <w:vertAlign w:val="baseline"/>
                <w:lang w:val="en-US" w:eastAsia="zh-CN"/>
              </w:rPr>
              <w:t>.4</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检验报告不正确率</w:t>
            </w:r>
          </w:p>
        </w:tc>
        <w:tc>
          <w:tcPr>
            <w:tcW w:w="2108" w:type="dxa"/>
            <w:tcBorders>
              <w:top w:val="single" w:color="auto" w:sz="4" w:space="0"/>
              <w:left w:val="nil"/>
              <w:bottom w:val="single" w:color="auto" w:sz="4" w:space="0"/>
              <w:right w:val="single" w:color="000000"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实验室发出的不正确检验报告数/同期检验报告总数×100%</w:t>
            </w:r>
          </w:p>
        </w:tc>
        <w:tc>
          <w:tcPr>
            <w:tcW w:w="1693" w:type="dxa"/>
            <w:tcBorders>
              <w:top w:val="single" w:color="auto" w:sz="4" w:space="0"/>
              <w:left w:val="nil"/>
              <w:bottom w:val="single" w:color="auto" w:sz="4" w:space="0"/>
              <w:right w:val="single" w:color="000000"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nil"/>
              <w:bottom w:val="single" w:color="auto" w:sz="4" w:space="0"/>
              <w:right w:val="nil"/>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290"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default" w:ascii="仿宋_GB2312" w:eastAsia="仿宋_GB2312" w:cs="仿宋_GB2312"/>
                <w:b w:val="0"/>
                <w:bCs w:val="0"/>
                <w:i w:val="0"/>
                <w:iCs w:val="0"/>
                <w:color w:val="000000"/>
                <w:spacing w:val="0"/>
                <w:w w:val="100"/>
                <w:sz w:val="24"/>
                <w:szCs w:val="24"/>
                <w:vertAlign w:val="baseline"/>
                <w:lang w:val="en-US" w:eastAsia="zh-CN"/>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w:t>
            </w:r>
            <w:r>
              <w:rPr>
                <w:rFonts w:hint="eastAsia" w:ascii="仿宋_GB2312" w:eastAsia="仿宋_GB2312" w:cs="仿宋_GB2312"/>
                <w:b w:val="0"/>
                <w:bCs w:val="0"/>
                <w:i w:val="0"/>
                <w:iCs w:val="0"/>
                <w:color w:val="000000"/>
                <w:spacing w:val="0"/>
                <w:w w:val="100"/>
                <w:sz w:val="24"/>
                <w:szCs w:val="24"/>
                <w:vertAlign w:val="baseline"/>
                <w:lang w:val="en-US" w:eastAsia="zh-CN"/>
              </w:rPr>
              <w:t>10</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危急值通报率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已通报的危急值检验项目数/同期需要通报的危急值检验项目总数×100%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425"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default" w:ascii="仿宋_GB2312" w:eastAsia="仿宋_GB2312" w:cs="仿宋_GB2312"/>
                <w:b w:val="0"/>
                <w:bCs w:val="0"/>
                <w:i w:val="0"/>
                <w:iCs w:val="0"/>
                <w:color w:val="000000"/>
                <w:spacing w:val="0"/>
                <w:w w:val="100"/>
                <w:sz w:val="24"/>
                <w:szCs w:val="24"/>
                <w:vertAlign w:val="baseline"/>
                <w:lang w:val="en-US" w:eastAsia="zh-CN"/>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w:t>
            </w:r>
            <w:r>
              <w:rPr>
                <w:rFonts w:hint="eastAsia" w:ascii="仿宋_GB2312" w:eastAsia="仿宋_GB2312" w:cs="仿宋_GB2312"/>
                <w:b w:val="0"/>
                <w:bCs w:val="0"/>
                <w:i w:val="0"/>
                <w:iCs w:val="0"/>
                <w:color w:val="000000"/>
                <w:spacing w:val="0"/>
                <w:w w:val="100"/>
                <w:sz w:val="24"/>
                <w:szCs w:val="24"/>
                <w:vertAlign w:val="baseline"/>
                <w:lang w:val="en-US" w:eastAsia="zh-CN"/>
              </w:rPr>
              <w:t>11</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危急值通报及时率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color w:val="000000"/>
                <w:sz w:val="24"/>
                <w:szCs w:val="24"/>
              </w:rPr>
            </w:pPr>
            <w:r>
              <w:rPr>
                <w:rFonts w:hint="eastAsia" w:ascii="仿宋_GB2312" w:eastAsia="仿宋_GB2312" w:cs="仿宋_GB2312"/>
                <w:b w:val="0"/>
                <w:bCs w:val="0"/>
                <w:i w:val="0"/>
                <w:iCs w:val="0"/>
                <w:color w:val="000000"/>
                <w:spacing w:val="0"/>
                <w:w w:val="100"/>
                <w:sz w:val="24"/>
                <w:szCs w:val="24"/>
                <w:vertAlign w:val="baseline"/>
              </w:rPr>
              <w:t>危急值通报时间</w:t>
            </w:r>
          </w:p>
          <w:p>
            <w:pPr>
              <w:pStyle w:val="13"/>
              <w:keepNext w:val="0"/>
              <w:keepLines w:val="0"/>
              <w:widowControl/>
              <w:suppressLineNumbers w:val="0"/>
              <w:spacing w:before="0" w:beforeAutospacing="0" w:after="0" w:afterAutospacing="0" w:line="300" w:lineRule="exact"/>
              <w:ind w:left="105" w:leftChars="50" w:right="105" w:rightChars="50"/>
              <w:jc w:val="both"/>
              <w:rPr>
                <w:rFonts w:ascii="Calibri" w:hAnsi="Calibri" w:eastAsia="宋体" w:cs="Times New Roman"/>
                <w:color w:val="000000"/>
                <w:kern w:val="2"/>
                <w:sz w:val="24"/>
                <w:szCs w:val="24"/>
                <w:lang w:val="en-US" w:eastAsia="zh-CN" w:bidi="ar-SA"/>
              </w:rPr>
            </w:pPr>
            <w:r>
              <w:rPr>
                <w:rFonts w:hint="eastAsia" w:ascii="仿宋_GB2312" w:eastAsia="仿宋_GB2312" w:cs="仿宋_GB2312"/>
                <w:b w:val="0"/>
                <w:bCs w:val="0"/>
                <w:i w:val="0"/>
                <w:iCs w:val="0"/>
                <w:color w:val="000000"/>
                <w:spacing w:val="0"/>
                <w:w w:val="100"/>
                <w:sz w:val="24"/>
                <w:szCs w:val="24"/>
                <w:vertAlign w:val="baseline"/>
              </w:rPr>
              <w:t>符合规定时间的检验项目数/同期需要危急值通报的检验项目总数×100%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r>
        <w:tblPrEx>
          <w:tblCellMar>
            <w:top w:w="0" w:type="dxa"/>
            <w:left w:w="108" w:type="dxa"/>
            <w:bottom w:w="0" w:type="dxa"/>
            <w:right w:w="108" w:type="dxa"/>
          </w:tblCellMar>
        </w:tblPrEx>
        <w:trPr>
          <w:trHeight w:val="1734"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default" w:ascii="仿宋_GB2312" w:eastAsia="仿宋_GB2312" w:cs="仿宋_GB2312"/>
                <w:b w:val="0"/>
                <w:bCs w:val="0"/>
                <w:i w:val="0"/>
                <w:iCs w:val="0"/>
                <w:color w:val="000000"/>
                <w:spacing w:val="0"/>
                <w:w w:val="100"/>
                <w:sz w:val="24"/>
                <w:szCs w:val="24"/>
                <w:vertAlign w:val="baseline"/>
                <w:lang w:val="en-US" w:eastAsia="zh-CN"/>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w:t>
            </w:r>
            <w:r>
              <w:rPr>
                <w:rFonts w:hint="eastAsia" w:ascii="仿宋_GB2312" w:eastAsia="仿宋_GB2312" w:cs="仿宋_GB2312"/>
                <w:b w:val="0"/>
                <w:bCs w:val="0"/>
                <w:i w:val="0"/>
                <w:iCs w:val="0"/>
                <w:color w:val="000000"/>
                <w:spacing w:val="0"/>
                <w:w w:val="100"/>
                <w:sz w:val="24"/>
                <w:szCs w:val="24"/>
                <w:vertAlign w:val="baseline"/>
                <w:lang w:val="en-US" w:eastAsia="zh-CN"/>
              </w:rPr>
              <w:t>12</w:t>
            </w:r>
          </w:p>
          <w:p>
            <w:pPr>
              <w:pStyle w:val="13"/>
              <w:keepNext w:val="0"/>
              <w:keepLines w:val="0"/>
              <w:widowControl/>
              <w:suppressLineNumbers w:val="0"/>
              <w:spacing w:before="0" w:beforeAutospacing="0" w:after="0" w:afterAutospacing="0" w:line="300" w:lineRule="exact"/>
              <w:ind w:left="105" w:leftChars="50" w:right="105" w:rightChars="50"/>
              <w:jc w:val="both"/>
              <w:rPr>
                <w:rFonts w:hint="default" w:ascii="仿宋_GB2312" w:eastAsia="仿宋_GB2312" w:cs="仿宋_GB2312"/>
                <w:b w:val="0"/>
                <w:bCs w:val="0"/>
                <w:i w:val="0"/>
                <w:iCs w:val="0"/>
                <w:color w:val="000000"/>
                <w:spacing w:val="0"/>
                <w:w w:val="100"/>
                <w:sz w:val="24"/>
                <w:szCs w:val="24"/>
                <w:vertAlign w:val="baseline"/>
                <w:lang w:val="en-US" w:eastAsia="zh-CN"/>
              </w:rPr>
            </w:pPr>
            <w:r>
              <w:rPr>
                <w:rFonts w:hint="eastAsia" w:ascii="仿宋_GB2312" w:eastAsia="仿宋_GB2312" w:cs="仿宋_GB2312"/>
                <w:b w:val="0"/>
                <w:bCs w:val="0"/>
                <w:i w:val="0"/>
                <w:iCs w:val="0"/>
                <w:color w:val="000000"/>
                <w:spacing w:val="0"/>
                <w:w w:val="100"/>
                <w:sz w:val="24"/>
                <w:szCs w:val="24"/>
                <w:vertAlign w:val="baseline"/>
                <w:lang w:val="en-US" w:eastAsia="zh-CN"/>
              </w:rPr>
              <w:t>多菌型麻风阳性符合率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vertAlign w:val="baseline"/>
                <w:lang w:val="en-US" w:eastAsia="zh-CN"/>
              </w:rPr>
              <w:t>查菌</w:t>
            </w:r>
            <w:r>
              <w:rPr>
                <w:rFonts w:hint="eastAsia" w:ascii="仿宋_GB2312" w:eastAsia="仿宋_GB2312" w:cs="仿宋_GB2312"/>
                <w:b w:val="0"/>
                <w:bCs w:val="0"/>
                <w:i w:val="0"/>
                <w:iCs w:val="0"/>
                <w:color w:val="000000"/>
                <w:spacing w:val="0"/>
                <w:w w:val="100"/>
                <w:sz w:val="24"/>
                <w:szCs w:val="24"/>
                <w:vertAlign w:val="baseline"/>
              </w:rPr>
              <w:t>阳性</w:t>
            </w:r>
            <w:r>
              <w:rPr>
                <w:rFonts w:hint="eastAsia" w:ascii="仿宋_GB2312" w:eastAsia="仿宋_GB2312" w:cs="仿宋_GB2312"/>
                <w:b w:val="0"/>
                <w:bCs w:val="0"/>
                <w:i w:val="0"/>
                <w:iCs w:val="0"/>
                <w:color w:val="000000"/>
                <w:spacing w:val="0"/>
                <w:w w:val="100"/>
                <w:sz w:val="24"/>
                <w:szCs w:val="24"/>
                <w:vertAlign w:val="baseline"/>
                <w:lang w:val="en-US" w:eastAsia="zh-CN"/>
              </w:rPr>
              <w:t>的多菌型麻风</w:t>
            </w:r>
            <w:r>
              <w:rPr>
                <w:rFonts w:hint="eastAsia" w:ascii="仿宋_GB2312" w:eastAsia="仿宋_GB2312" w:cs="仿宋_GB2312"/>
                <w:b w:val="0"/>
                <w:bCs w:val="0"/>
                <w:i w:val="0"/>
                <w:iCs w:val="0"/>
                <w:color w:val="000000"/>
                <w:spacing w:val="0"/>
                <w:w w:val="100"/>
                <w:sz w:val="24"/>
                <w:szCs w:val="24"/>
                <w:vertAlign w:val="baseline"/>
              </w:rPr>
              <w:t>患者数/同期</w:t>
            </w:r>
            <w:r>
              <w:rPr>
                <w:rFonts w:hint="eastAsia" w:ascii="仿宋_GB2312" w:eastAsia="仿宋_GB2312" w:cs="仿宋_GB2312"/>
                <w:b w:val="0"/>
                <w:bCs w:val="0"/>
                <w:i w:val="0"/>
                <w:iCs w:val="0"/>
                <w:color w:val="000000"/>
                <w:spacing w:val="0"/>
                <w:w w:val="100"/>
                <w:sz w:val="24"/>
                <w:szCs w:val="24"/>
                <w:vertAlign w:val="baseline"/>
                <w:lang w:val="en-US" w:eastAsia="zh-CN"/>
              </w:rPr>
              <w:t>诊断为</w:t>
            </w:r>
            <w:r>
              <w:rPr>
                <w:rFonts w:hint="eastAsia" w:ascii="仿宋_GB2312" w:eastAsia="仿宋_GB2312" w:cs="仿宋_GB2312"/>
                <w:b w:val="0"/>
                <w:bCs w:val="0"/>
                <w:i w:val="0"/>
                <w:iCs w:val="0"/>
                <w:color w:val="000000"/>
                <w:spacing w:val="0"/>
                <w:w w:val="100"/>
                <w:sz w:val="24"/>
                <w:szCs w:val="24"/>
                <w:vertAlign w:val="baseline"/>
              </w:rPr>
              <w:t>多菌型</w:t>
            </w:r>
            <w:r>
              <w:rPr>
                <w:rFonts w:hint="eastAsia" w:ascii="仿宋_GB2312" w:eastAsia="仿宋_GB2312" w:cs="仿宋_GB2312"/>
                <w:b w:val="0"/>
                <w:bCs w:val="0"/>
                <w:i w:val="0"/>
                <w:iCs w:val="0"/>
                <w:color w:val="000000"/>
                <w:spacing w:val="0"/>
                <w:w w:val="100"/>
                <w:sz w:val="24"/>
                <w:szCs w:val="24"/>
                <w:vertAlign w:val="baseline"/>
                <w:lang w:val="en-US" w:eastAsia="zh-CN"/>
              </w:rPr>
              <w:t>麻风的患</w:t>
            </w:r>
            <w:r>
              <w:rPr>
                <w:rFonts w:hint="eastAsia" w:ascii="仿宋_GB2312" w:eastAsia="仿宋_GB2312" w:cs="仿宋_GB2312"/>
                <w:b w:val="0"/>
                <w:bCs w:val="0"/>
                <w:i w:val="0"/>
                <w:iCs w:val="0"/>
                <w:color w:val="000000"/>
                <w:spacing w:val="0"/>
                <w:w w:val="100"/>
                <w:sz w:val="24"/>
                <w:szCs w:val="24"/>
                <w:vertAlign w:val="baseline"/>
              </w:rPr>
              <w:t>者数</w:t>
            </w:r>
            <w:r>
              <w:rPr>
                <w:rFonts w:hint="eastAsia" w:ascii="仿宋_GB2312" w:eastAsia="仿宋_GB2312" w:cs="仿宋_GB2312"/>
                <w:b w:val="0"/>
                <w:bCs w:val="0"/>
                <w:i w:val="0"/>
                <w:iCs w:val="0"/>
                <w:color w:val="000000"/>
                <w:spacing w:val="0"/>
                <w:w w:val="100"/>
                <w:sz w:val="24"/>
                <w:szCs w:val="24"/>
                <w:highlight w:val="none"/>
                <w:vertAlign w:val="baseline"/>
              </w:rPr>
              <w:t>×</w:t>
            </w:r>
            <w:r>
              <w:rPr>
                <w:rFonts w:hint="eastAsia" w:ascii="仿宋_GB2312" w:eastAsia="仿宋_GB2312" w:cs="仿宋_GB2312"/>
                <w:b w:val="0"/>
                <w:bCs w:val="0"/>
                <w:i w:val="0"/>
                <w:iCs w:val="0"/>
                <w:color w:val="000000"/>
                <w:spacing w:val="0"/>
                <w:w w:val="100"/>
                <w:sz w:val="24"/>
                <w:szCs w:val="24"/>
                <w:vertAlign w:val="baseline"/>
              </w:rPr>
              <w:t>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监测比较，逐步提高。</w:t>
            </w:r>
          </w:p>
        </w:tc>
      </w:tr>
      <w:tr>
        <w:tblPrEx>
          <w:tblCellMar>
            <w:top w:w="0" w:type="dxa"/>
            <w:left w:w="108" w:type="dxa"/>
            <w:bottom w:w="0" w:type="dxa"/>
            <w:right w:w="108" w:type="dxa"/>
          </w:tblCellMar>
        </w:tblPrEx>
        <w:trPr>
          <w:trHeight w:val="2044" w:hRule="atLeast"/>
        </w:trPr>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default" w:ascii="仿宋_GB2312" w:eastAsia="仿宋_GB2312" w:cs="仿宋_GB2312"/>
                <w:b w:val="0"/>
                <w:bCs w:val="0"/>
                <w:i w:val="0"/>
                <w:iCs w:val="0"/>
                <w:color w:val="000000"/>
                <w:spacing w:val="0"/>
                <w:w w:val="100"/>
                <w:sz w:val="24"/>
                <w:szCs w:val="24"/>
                <w:vertAlign w:val="baseline"/>
                <w:lang w:val="en-US" w:eastAsia="zh-CN"/>
              </w:rPr>
            </w:pPr>
            <w:r>
              <w:rPr>
                <w:rFonts w:hint="eastAsia" w:ascii="仿宋_GB2312" w:eastAsia="仿宋_GB2312" w:cs="仿宋_GB2312"/>
                <w:b w:val="0"/>
                <w:bCs w:val="0"/>
                <w:i w:val="0"/>
                <w:iCs w:val="0"/>
                <w:color w:val="000000"/>
                <w:spacing w:val="0"/>
                <w:w w:val="100"/>
                <w:sz w:val="24"/>
                <w:szCs w:val="24"/>
                <w:vertAlign w:val="baseline"/>
              </w:rPr>
              <w:t>3.</w:t>
            </w:r>
            <w:r>
              <w:rPr>
                <w:rFonts w:hint="eastAsia" w:ascii="仿宋_GB2312" w:eastAsia="仿宋_GB2312" w:cs="仿宋_GB2312"/>
                <w:b w:val="0"/>
                <w:bCs w:val="0"/>
                <w:i w:val="0"/>
                <w:iCs w:val="0"/>
                <w:color w:val="000000"/>
                <w:spacing w:val="0"/>
                <w:w w:val="100"/>
                <w:sz w:val="24"/>
                <w:szCs w:val="24"/>
                <w:vertAlign w:val="baseline"/>
                <w:lang w:val="en-US" w:eastAsia="zh-CN"/>
              </w:rPr>
              <w:t>5</w:t>
            </w:r>
            <w:r>
              <w:rPr>
                <w:rFonts w:hint="eastAsia" w:ascii="仿宋_GB2312" w:eastAsia="仿宋_GB2312" w:cs="仿宋_GB2312"/>
                <w:b w:val="0"/>
                <w:bCs w:val="0"/>
                <w:i w:val="0"/>
                <w:iCs w:val="0"/>
                <w:color w:val="000000"/>
                <w:spacing w:val="0"/>
                <w:w w:val="100"/>
                <w:sz w:val="24"/>
                <w:szCs w:val="24"/>
                <w:vertAlign w:val="baseline"/>
              </w:rPr>
              <w:t>.</w:t>
            </w:r>
            <w:r>
              <w:rPr>
                <w:rFonts w:hint="eastAsia" w:ascii="仿宋_GB2312" w:eastAsia="仿宋_GB2312" w:cs="仿宋_GB2312"/>
                <w:b w:val="0"/>
                <w:bCs w:val="0"/>
                <w:i w:val="0"/>
                <w:iCs w:val="0"/>
                <w:color w:val="000000"/>
                <w:spacing w:val="0"/>
                <w:w w:val="100"/>
                <w:sz w:val="24"/>
                <w:szCs w:val="24"/>
                <w:vertAlign w:val="baseline"/>
                <w:lang w:val="en-US" w:eastAsia="zh-CN"/>
              </w:rPr>
              <w:t>13</w:t>
            </w:r>
          </w:p>
          <w:p>
            <w:pPr>
              <w:pStyle w:val="13"/>
              <w:keepNext w:val="0"/>
              <w:keepLines w:val="0"/>
              <w:widowControl/>
              <w:suppressLineNumbers w:val="0"/>
              <w:spacing w:before="0" w:beforeAutospacing="0" w:after="0" w:afterAutospacing="0" w:line="300" w:lineRule="exact"/>
              <w:ind w:left="105" w:leftChars="50" w:right="105" w:rightChars="50"/>
              <w:jc w:val="both"/>
              <w:rPr>
                <w:rFonts w:hint="default" w:ascii="仿宋_GB2312" w:eastAsia="仿宋_GB2312" w:cs="仿宋_GB2312"/>
                <w:b w:val="0"/>
                <w:bCs w:val="0"/>
                <w:i w:val="0"/>
                <w:iCs w:val="0"/>
                <w:color w:val="000000"/>
                <w:spacing w:val="0"/>
                <w:w w:val="100"/>
                <w:sz w:val="24"/>
                <w:szCs w:val="24"/>
                <w:vertAlign w:val="baseline"/>
                <w:lang w:val="en-US" w:eastAsia="zh-CN"/>
              </w:rPr>
            </w:pPr>
            <w:r>
              <w:rPr>
                <w:rFonts w:hint="eastAsia" w:ascii="仿宋_GB2312" w:eastAsia="仿宋_GB2312" w:cs="仿宋_GB2312"/>
                <w:b w:val="0"/>
                <w:bCs w:val="0"/>
                <w:i w:val="0"/>
                <w:iCs w:val="0"/>
                <w:color w:val="000000"/>
                <w:spacing w:val="0"/>
                <w:w w:val="100"/>
                <w:sz w:val="24"/>
                <w:szCs w:val="24"/>
                <w:vertAlign w:val="baseline"/>
                <w:lang w:val="en-US" w:eastAsia="zh-CN"/>
              </w:rPr>
              <w:t>国家性病中心参比实验室室间质评不合格率</w:t>
            </w:r>
          </w:p>
        </w:tc>
        <w:tc>
          <w:tcPr>
            <w:tcW w:w="2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suppressLineNumbers w:val="0"/>
              <w:spacing w:before="0" w:beforeAutospacing="0" w:after="0" w:afterAutospacing="0" w:line="300" w:lineRule="exact"/>
              <w:ind w:left="105" w:leftChars="50" w:right="105" w:rightChars="50"/>
              <w:jc w:val="both"/>
              <w:rPr>
                <w:rFonts w:hint="eastAsia" w:ascii="仿宋_GB2312" w:eastAsia="仿宋_GB2312" w:cs="仿宋_GB2312"/>
                <w:b w:val="0"/>
                <w:bCs w:val="0"/>
                <w:i w:val="0"/>
                <w:iCs w:val="0"/>
                <w:color w:val="000000"/>
                <w:spacing w:val="0"/>
                <w:w w:val="100"/>
                <w:sz w:val="24"/>
                <w:szCs w:val="24"/>
                <w:vertAlign w:val="baseline"/>
              </w:rPr>
            </w:pPr>
            <w:r>
              <w:rPr>
                <w:rFonts w:hint="eastAsia" w:ascii="仿宋_GB2312" w:eastAsia="仿宋_GB2312" w:cs="仿宋_GB2312"/>
                <w:b w:val="0"/>
                <w:bCs w:val="0"/>
                <w:i w:val="0"/>
                <w:iCs w:val="0"/>
                <w:color w:val="000000"/>
                <w:spacing w:val="0"/>
                <w:w w:val="100"/>
                <w:sz w:val="24"/>
                <w:szCs w:val="24"/>
                <w:highlight w:val="none"/>
                <w:vertAlign w:val="baseline"/>
                <w:lang w:val="en-US" w:eastAsia="zh-CN"/>
              </w:rPr>
              <w:t>国家性病中心参比实验室</w:t>
            </w:r>
            <w:r>
              <w:rPr>
                <w:rFonts w:hint="eastAsia" w:ascii="仿宋_GB2312" w:eastAsia="仿宋_GB2312" w:cs="仿宋_GB2312"/>
                <w:b w:val="0"/>
                <w:bCs w:val="0"/>
                <w:i w:val="0"/>
                <w:iCs w:val="0"/>
                <w:color w:val="000000"/>
                <w:spacing w:val="0"/>
                <w:w w:val="100"/>
                <w:sz w:val="24"/>
                <w:szCs w:val="24"/>
                <w:highlight w:val="none"/>
                <w:vertAlign w:val="baseline"/>
              </w:rPr>
              <w:t>室间质评不合格的检验项目数/同期参加室间质评检验项目总数×100%</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定量指标</w:t>
            </w:r>
          </w:p>
        </w:tc>
        <w:tc>
          <w:tcPr>
            <w:tcW w:w="1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2</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jc w:val="center"/>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监测达标</w:t>
            </w:r>
          </w:p>
        </w:tc>
      </w:tr>
    </w:tbl>
    <w:p>
      <w:pPr>
        <w:pStyle w:val="5"/>
        <w:bidi w:val="0"/>
        <w:rPr>
          <w:rFonts w:hint="eastAsia"/>
          <w:color w:val="000000"/>
          <w:lang w:val="en-US" w:eastAsia="zh-CN"/>
        </w:rPr>
      </w:pPr>
    </w:p>
    <w:p>
      <w:pPr>
        <w:pStyle w:val="5"/>
        <w:bidi w:val="0"/>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pStyle w:val="5"/>
        <w:bidi w:val="0"/>
        <w:rPr>
          <w:rFonts w:hint="eastAsia"/>
          <w:color w:val="000000"/>
          <w:lang w:eastAsia="zh-CN"/>
        </w:rPr>
      </w:pPr>
      <w:bookmarkStart w:id="126" w:name="_Toc29261"/>
      <w:r>
        <w:rPr>
          <w:rFonts w:hint="eastAsia"/>
          <w:color w:val="000000"/>
          <w:lang w:val="en-US" w:eastAsia="zh-CN"/>
        </w:rPr>
        <w:t>六</w:t>
      </w:r>
      <w:r>
        <w:rPr>
          <w:rFonts w:hint="eastAsia"/>
          <w:color w:val="000000"/>
        </w:rPr>
        <w:t>、</w:t>
      </w:r>
      <w:r>
        <w:rPr>
          <w:rFonts w:hint="eastAsia"/>
          <w:color w:val="000000"/>
          <w:lang w:val="en-US" w:eastAsia="zh-CN"/>
        </w:rPr>
        <w:t>病理专业</w:t>
      </w:r>
      <w:r>
        <w:rPr>
          <w:rFonts w:hint="eastAsia"/>
          <w:color w:val="000000"/>
        </w:rPr>
        <w:t>质量控制指标</w:t>
      </w:r>
      <w:r>
        <w:rPr>
          <w:rFonts w:hint="eastAsia"/>
          <w:color w:val="000000"/>
          <w:lang w:eastAsia="zh-CN"/>
        </w:rPr>
        <w:t>（</w:t>
      </w:r>
      <w:r>
        <w:rPr>
          <w:rFonts w:hint="eastAsia"/>
          <w:color w:val="000000"/>
          <w:lang w:val="en-US" w:eastAsia="zh-CN"/>
        </w:rPr>
        <w:t>22分</w:t>
      </w:r>
      <w:r>
        <w:rPr>
          <w:rFonts w:hint="eastAsia"/>
          <w:color w:val="000000"/>
          <w:lang w:eastAsia="zh-CN"/>
        </w:rPr>
        <w:t>）</w:t>
      </w:r>
      <w:bookmarkEnd w:id="126"/>
    </w:p>
    <w:p>
      <w:pPr>
        <w:pStyle w:val="21"/>
        <w:ind w:firstLine="0"/>
        <w:rPr>
          <w:rStyle w:val="20"/>
          <w:rFonts w:ascii="仿宋_GB2312" w:hAnsi="仿宋_GB2312" w:cs="仿宋_GB2312"/>
          <w:color w:val="000000"/>
          <w:szCs w:val="32"/>
        </w:rPr>
      </w:pPr>
      <w:r>
        <w:rPr>
          <w:rStyle w:val="20"/>
          <w:rFonts w:hint="eastAsia" w:ascii="仿宋_GB2312" w:hAnsi="仿宋_GB2312" w:cs="仿宋_GB2312"/>
          <w:color w:val="000000"/>
          <w:sz w:val="28"/>
          <w:szCs w:val="28"/>
        </w:rPr>
        <w:t>本节评审设</w:t>
      </w:r>
      <w:r>
        <w:rPr>
          <w:rStyle w:val="20"/>
          <w:rFonts w:hint="eastAsia" w:ascii="仿宋_GB2312" w:hAnsi="仿宋_GB2312" w:cs="仿宋_GB2312"/>
          <w:color w:val="000000"/>
          <w:sz w:val="28"/>
          <w:szCs w:val="28"/>
          <w:lang w:val="en-US" w:eastAsia="zh-CN"/>
        </w:rPr>
        <w:t>11</w:t>
      </w:r>
      <w:r>
        <w:rPr>
          <w:rStyle w:val="20"/>
          <w:rFonts w:hint="eastAsia" w:ascii="仿宋_GB2312" w:hAnsi="仿宋_GB2312" w:cs="仿宋_GB2312"/>
          <w:color w:val="000000"/>
          <w:sz w:val="28"/>
          <w:szCs w:val="28"/>
        </w:rPr>
        <w:t>条</w:t>
      </w:r>
      <w:r>
        <w:rPr>
          <w:rStyle w:val="20"/>
          <w:rFonts w:hint="eastAsia" w:ascii="仿宋_GB2312" w:hAnsi="仿宋_GB2312" w:cs="仿宋_GB2312"/>
          <w:color w:val="000000"/>
          <w:sz w:val="28"/>
          <w:szCs w:val="28"/>
          <w:lang w:val="en-US" w:eastAsia="zh-CN"/>
        </w:rPr>
        <w:t>11</w:t>
      </w:r>
      <w:r>
        <w:rPr>
          <w:rStyle w:val="20"/>
          <w:rFonts w:hint="eastAsia" w:ascii="仿宋_GB2312" w:hAnsi="仿宋_GB2312" w:cs="仿宋_GB2312"/>
          <w:color w:val="000000"/>
          <w:sz w:val="28"/>
          <w:szCs w:val="28"/>
        </w:rPr>
        <w:t>个指标，均为数据评审指标，共</w:t>
      </w:r>
      <w:r>
        <w:rPr>
          <w:rStyle w:val="20"/>
          <w:rFonts w:hint="eastAsia" w:ascii="仿宋_GB2312" w:hAnsi="仿宋_GB2312" w:cs="仿宋_GB2312"/>
          <w:color w:val="000000"/>
          <w:sz w:val="28"/>
          <w:szCs w:val="28"/>
          <w:lang w:val="en-US" w:eastAsia="zh-CN"/>
        </w:rPr>
        <w:t>22</w:t>
      </w:r>
      <w:r>
        <w:rPr>
          <w:rStyle w:val="20"/>
          <w:rFonts w:hint="eastAsia" w:ascii="仿宋_GB2312" w:hAnsi="仿宋_GB2312" w:cs="仿宋_GB2312"/>
          <w:color w:val="000000"/>
          <w:sz w:val="28"/>
          <w:szCs w:val="28"/>
        </w:rPr>
        <w:t>分。</w:t>
      </w:r>
    </w:p>
    <w:tbl>
      <w:tblPr>
        <w:tblStyle w:val="14"/>
        <w:tblW w:w="10008" w:type="dxa"/>
        <w:jc w:val="center"/>
        <w:tblLayout w:type="fixed"/>
        <w:tblCellMar>
          <w:top w:w="0" w:type="dxa"/>
          <w:left w:w="0" w:type="dxa"/>
          <w:bottom w:w="0" w:type="dxa"/>
          <w:right w:w="0" w:type="dxa"/>
        </w:tblCellMar>
      </w:tblPr>
      <w:tblGrid>
        <w:gridCol w:w="2449"/>
        <w:gridCol w:w="2920"/>
        <w:gridCol w:w="1256"/>
        <w:gridCol w:w="638"/>
        <w:gridCol w:w="2745"/>
      </w:tblGrid>
      <w:tr>
        <w:tblPrEx>
          <w:tblCellMar>
            <w:top w:w="0" w:type="dxa"/>
            <w:left w:w="0" w:type="dxa"/>
            <w:bottom w:w="0" w:type="dxa"/>
            <w:right w:w="0" w:type="dxa"/>
          </w:tblCellMar>
        </w:tblPrEx>
        <w:trPr>
          <w:trHeight w:val="483" w:hRule="atLeast"/>
          <w:tblHeader/>
          <w:jc w:val="center"/>
        </w:trPr>
        <w:tc>
          <w:tcPr>
            <w:tcW w:w="2449"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color w:val="000000"/>
                <w:sz w:val="24"/>
                <w:szCs w:val="24"/>
              </w:rPr>
              <w:t>监测指标</w:t>
            </w:r>
          </w:p>
        </w:tc>
        <w:tc>
          <w:tcPr>
            <w:tcW w:w="2920"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color w:val="000000"/>
                <w:sz w:val="24"/>
                <w:szCs w:val="24"/>
              </w:rPr>
              <w:t>计算方法</w:t>
            </w:r>
          </w:p>
        </w:tc>
        <w:tc>
          <w:tcPr>
            <w:tcW w:w="125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color w:val="000000"/>
                <w:sz w:val="24"/>
                <w:szCs w:val="24"/>
                <w:lang w:val="en-US" w:eastAsia="zh-CN"/>
              </w:rPr>
              <w:t>指标设定</w:t>
            </w:r>
          </w:p>
        </w:tc>
        <w:tc>
          <w:tcPr>
            <w:tcW w:w="638"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color w:val="000000"/>
                <w:sz w:val="24"/>
                <w:szCs w:val="24"/>
              </w:rPr>
              <w:t>分值</w:t>
            </w:r>
          </w:p>
        </w:tc>
        <w:tc>
          <w:tcPr>
            <w:tcW w:w="2745"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1984"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3.6.1</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每百张病床病理医师数</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病理医师数/（同期医疗机构实际开放床位数/100）×100%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3.6.2</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每百张病床病理技术人员数</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病理技术人员数/（同期医疗机构实际开放床位数/100）×100%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3.6.3</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标本规范化固定率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规范化固定的标本数/同期标本总数×100%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3.6.4</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HE 染色切片优良率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HE染色优良切片数/同期HE染色切片总数×100%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3.6.5</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免疫组化染色切片优良率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免疫组化染色优良切片数/同期免疫组化染色切片总数×100%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3.6.6</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组织病理诊断及时率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在规定时间内完成组织病理诊断报告的标本数/同期组织病理诊断标本总数×100%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3.6.7</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直接免疫荧光检查阳性率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直接免疫荧光检查阳性例数/同期直接免疫荧光检查总数</w:t>
            </w:r>
            <w:r>
              <w:rPr>
                <w:rFonts w:hint="eastAsia" w:ascii="仿宋_GB2312" w:eastAsia="仿宋_GB2312" w:cs="仿宋_GB2312"/>
                <w:b w:val="0"/>
                <w:bCs w:val="0"/>
                <w:i w:val="0"/>
                <w:iCs w:val="0"/>
                <w:color w:val="000000"/>
                <w:spacing w:val="0"/>
                <w:w w:val="100"/>
                <w:kern w:val="2"/>
                <w:sz w:val="24"/>
                <w:szCs w:val="24"/>
                <w:vertAlign w:val="baseline"/>
                <w:lang w:val="en-US" w:eastAsia="zh-CN" w:bidi="ar-SA"/>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3835"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3.6.8</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麻风病诊断报告规范率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麻风病病理诊断报告实际包含的项目/6（1.是否报告查菌指数；2.特殊情况下是否报告细菌形态和神经累及情况；3.是否描述淋巴组织细胞形态及分布情况；4.神经受累时是否有描述；5.是否仔细检查麻风反应；6.并协助临床分型。）×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0" w:type="dxa"/>
            <w:bottom w:w="0" w:type="dxa"/>
            <w:right w:w="0" w:type="dxa"/>
          </w:tblCellMar>
        </w:tblPrEx>
        <w:trPr>
          <w:trHeight w:val="2140"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3.6.9</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门诊皮肤共聚焦激光显微镜（RCM）检查率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eastAsia="仿宋_GB2312" w:cs="仿宋_GB2312"/>
                <w:b w:val="0"/>
                <w:bCs w:val="0"/>
                <w:i w:val="0"/>
                <w:iCs w:val="0"/>
                <w:color w:val="000000"/>
                <w:spacing w:val="0"/>
                <w:w w:val="100"/>
                <w:kern w:val="2"/>
                <w:sz w:val="24"/>
                <w:szCs w:val="24"/>
                <w:vertAlign w:val="baseline"/>
                <w:lang w:val="en-US" w:eastAsia="zh-CN" w:bidi="ar-SA"/>
              </w:rPr>
              <w:t>门诊</w:t>
            </w: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皮肤共聚焦激光显微镜检查数/同期门诊患者就诊数</w:t>
            </w:r>
            <w:r>
              <w:rPr>
                <w:rFonts w:hint="eastAsia" w:ascii="仿宋_GB2312" w:eastAsia="仿宋_GB2312" w:cs="仿宋_GB2312"/>
                <w:b w:val="0"/>
                <w:bCs w:val="0"/>
                <w:i w:val="0"/>
                <w:iCs w:val="0"/>
                <w:color w:val="000000"/>
                <w:spacing w:val="0"/>
                <w:w w:val="100"/>
                <w:kern w:val="2"/>
                <w:sz w:val="24"/>
                <w:szCs w:val="24"/>
                <w:vertAlign w:val="baseline"/>
                <w:lang w:val="en-US" w:eastAsia="zh-CN" w:bidi="ar-SA"/>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0" w:type="dxa"/>
            <w:bottom w:w="0" w:type="dxa"/>
            <w:right w:w="0" w:type="dxa"/>
          </w:tblCellMar>
        </w:tblPrEx>
        <w:trPr>
          <w:trHeight w:val="2190"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3.6.10</w:t>
            </w:r>
          </w:p>
          <w:p>
            <w:pPr>
              <w:pStyle w:val="25"/>
              <w:spacing w:line="300" w:lineRule="exact"/>
              <w:ind w:left="105" w:leftChars="50" w:right="105" w:rightChars="50"/>
              <w:jc w:val="both"/>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门诊白癜风临床和皮肤RCM诊断符合率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eastAsia="仿宋_GB2312" w:cs="仿宋_GB2312"/>
                <w:b w:val="0"/>
                <w:bCs w:val="0"/>
                <w:i w:val="0"/>
                <w:iCs w:val="0"/>
                <w:color w:val="000000"/>
                <w:spacing w:val="0"/>
                <w:w w:val="100"/>
                <w:kern w:val="2"/>
                <w:sz w:val="24"/>
                <w:szCs w:val="24"/>
                <w:vertAlign w:val="baseline"/>
                <w:lang w:val="en-US" w:eastAsia="zh-CN" w:bidi="ar-SA"/>
              </w:rPr>
              <w:t>门诊皮肤RCM诊断白癜风患者数/同期门诊白癜风患者诊断数</w:t>
            </w: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0" w:type="dxa"/>
            <w:bottom w:w="0" w:type="dxa"/>
            <w:right w:w="0" w:type="dxa"/>
          </w:tblCellMar>
        </w:tblPrEx>
        <w:trPr>
          <w:trHeight w:val="2783" w:hRule="atLeast"/>
          <w:jc w:val="center"/>
        </w:trPr>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both"/>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3.6.11</w:t>
            </w:r>
          </w:p>
          <w:p>
            <w:pPr>
              <w:pStyle w:val="25"/>
              <w:spacing w:line="300" w:lineRule="exact"/>
              <w:ind w:left="105" w:leftChars="50" w:right="105" w:rightChars="50"/>
              <w:jc w:val="both"/>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门诊银屑病患者临床和皮肤RCM诊断符合率</w:t>
            </w:r>
          </w:p>
        </w:tc>
        <w:tc>
          <w:tcPr>
            <w:tcW w:w="2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eastAsia="仿宋_GB2312" w:cs="仿宋_GB2312"/>
                <w:b w:val="0"/>
                <w:bCs w:val="0"/>
                <w:i w:val="0"/>
                <w:iCs w:val="0"/>
                <w:color w:val="000000"/>
                <w:spacing w:val="0"/>
                <w:w w:val="100"/>
                <w:kern w:val="2"/>
                <w:sz w:val="24"/>
                <w:szCs w:val="24"/>
                <w:vertAlign w:val="baseline"/>
                <w:lang w:val="en-US" w:eastAsia="zh-CN" w:bidi="ar-SA"/>
              </w:rPr>
              <w:t>门诊皮肤RCM诊断银屑病患者数/同期门诊银屑病患者诊断数</w:t>
            </w: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×100%</w:t>
            </w:r>
          </w:p>
        </w:tc>
        <w:tc>
          <w:tcPr>
            <w:tcW w:w="1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bl>
    <w:p>
      <w:pPr>
        <w:pStyle w:val="5"/>
        <w:bidi w:val="0"/>
        <w:rPr>
          <w:rFonts w:hint="eastAsia"/>
          <w:color w:val="000000"/>
          <w:lang w:eastAsia="zh-CN"/>
        </w:rPr>
      </w:pPr>
      <w:bookmarkStart w:id="127" w:name="_Toc7882"/>
      <w:r>
        <w:rPr>
          <w:rFonts w:hint="eastAsia"/>
          <w:color w:val="000000"/>
          <w:lang w:val="en-US" w:eastAsia="zh-CN"/>
        </w:rPr>
        <w:t>七</w:t>
      </w:r>
      <w:r>
        <w:rPr>
          <w:rFonts w:hint="eastAsia"/>
          <w:color w:val="000000"/>
        </w:rPr>
        <w:t>、医院感染管理医疗质量控制指标</w:t>
      </w:r>
      <w:bookmarkEnd w:id="125"/>
      <w:r>
        <w:rPr>
          <w:rFonts w:hint="eastAsia"/>
          <w:color w:val="000000"/>
          <w:lang w:eastAsia="zh-CN"/>
        </w:rPr>
        <w:t>（</w:t>
      </w:r>
      <w:r>
        <w:rPr>
          <w:rFonts w:hint="eastAsia"/>
          <w:color w:val="000000"/>
          <w:lang w:val="en-US" w:eastAsia="zh-CN"/>
        </w:rPr>
        <w:t>10分</w:t>
      </w:r>
      <w:r>
        <w:rPr>
          <w:rFonts w:hint="eastAsia"/>
          <w:color w:val="000000"/>
          <w:lang w:eastAsia="zh-CN"/>
        </w:rPr>
        <w:t>）</w:t>
      </w:r>
      <w:bookmarkEnd w:id="127"/>
    </w:p>
    <w:p>
      <w:pPr>
        <w:pStyle w:val="21"/>
        <w:ind w:firstLine="0"/>
        <w:rPr>
          <w:rStyle w:val="20"/>
          <w:rFonts w:ascii="仿宋_GB2312" w:hAnsi="仿宋_GB2312" w:cs="仿宋_GB2312"/>
          <w:color w:val="000000"/>
          <w:sz w:val="28"/>
          <w:szCs w:val="28"/>
        </w:rPr>
      </w:pPr>
      <w:r>
        <w:rPr>
          <w:rStyle w:val="20"/>
          <w:rFonts w:hint="eastAsia" w:ascii="仿宋_GB2312" w:hAnsi="仿宋_GB2312" w:cs="仿宋_GB2312"/>
          <w:color w:val="000000"/>
          <w:sz w:val="28"/>
          <w:szCs w:val="28"/>
        </w:rPr>
        <w:t>本节评审设</w:t>
      </w:r>
      <w:r>
        <w:rPr>
          <w:rStyle w:val="20"/>
          <w:rFonts w:hint="eastAsia" w:ascii="仿宋_GB2312" w:hAnsi="仿宋_GB2312" w:cs="仿宋_GB2312"/>
          <w:color w:val="000000"/>
          <w:sz w:val="28"/>
          <w:szCs w:val="28"/>
          <w:lang w:val="en-US" w:eastAsia="zh-CN"/>
        </w:rPr>
        <w:t>5</w:t>
      </w:r>
      <w:r>
        <w:rPr>
          <w:rStyle w:val="20"/>
          <w:rFonts w:hint="eastAsia" w:ascii="仿宋_GB2312" w:hAnsi="仿宋_GB2312" w:cs="仿宋_GB2312"/>
          <w:color w:val="000000"/>
          <w:sz w:val="28"/>
          <w:szCs w:val="28"/>
        </w:rPr>
        <w:t>条</w:t>
      </w:r>
      <w:r>
        <w:rPr>
          <w:rStyle w:val="20"/>
          <w:rFonts w:hint="eastAsia" w:ascii="仿宋_GB2312" w:hAnsi="仿宋_GB2312" w:cs="仿宋_GB2312"/>
          <w:color w:val="000000"/>
          <w:sz w:val="28"/>
          <w:szCs w:val="28"/>
          <w:lang w:val="en-US" w:eastAsia="zh-CN"/>
        </w:rPr>
        <w:t>5</w:t>
      </w:r>
      <w:r>
        <w:rPr>
          <w:rStyle w:val="20"/>
          <w:rFonts w:hint="eastAsia" w:ascii="仿宋_GB2312" w:hAnsi="仿宋_GB2312" w:cs="仿宋_GB2312"/>
          <w:color w:val="000000"/>
          <w:sz w:val="28"/>
          <w:szCs w:val="28"/>
        </w:rPr>
        <w:t>个指标，均为数据评审指标，共</w:t>
      </w:r>
      <w:r>
        <w:rPr>
          <w:rStyle w:val="20"/>
          <w:rFonts w:hint="eastAsia" w:ascii="仿宋_GB2312" w:hAnsi="仿宋_GB2312" w:cs="仿宋_GB2312"/>
          <w:color w:val="000000"/>
          <w:sz w:val="28"/>
          <w:szCs w:val="28"/>
          <w:lang w:val="en-US" w:eastAsia="zh-CN"/>
        </w:rPr>
        <w:t>10</w:t>
      </w:r>
      <w:r>
        <w:rPr>
          <w:rStyle w:val="20"/>
          <w:rFonts w:hint="eastAsia" w:ascii="仿宋_GB2312" w:hAnsi="仿宋_GB2312" w:cs="仿宋_GB2312"/>
          <w:color w:val="000000"/>
          <w:sz w:val="28"/>
          <w:szCs w:val="28"/>
        </w:rPr>
        <w:t>分。</w:t>
      </w:r>
    </w:p>
    <w:tbl>
      <w:tblPr>
        <w:tblStyle w:val="14"/>
        <w:tblW w:w="10320" w:type="dxa"/>
        <w:jc w:val="center"/>
        <w:tblLayout w:type="fixed"/>
        <w:tblCellMar>
          <w:top w:w="0" w:type="dxa"/>
          <w:left w:w="0" w:type="dxa"/>
          <w:bottom w:w="0" w:type="dxa"/>
          <w:right w:w="0" w:type="dxa"/>
        </w:tblCellMar>
      </w:tblPr>
      <w:tblGrid>
        <w:gridCol w:w="2726"/>
        <w:gridCol w:w="2431"/>
        <w:gridCol w:w="1396"/>
        <w:gridCol w:w="975"/>
        <w:gridCol w:w="2792"/>
      </w:tblGrid>
      <w:tr>
        <w:tblPrEx>
          <w:tblCellMar>
            <w:top w:w="0" w:type="dxa"/>
            <w:left w:w="0" w:type="dxa"/>
            <w:bottom w:w="0" w:type="dxa"/>
            <w:right w:w="0" w:type="dxa"/>
          </w:tblCellMar>
        </w:tblPrEx>
        <w:trPr>
          <w:trHeight w:val="483" w:hRule="atLeast"/>
          <w:tblHeader/>
          <w:jc w:val="center"/>
        </w:trPr>
        <w:tc>
          <w:tcPr>
            <w:tcW w:w="272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监测指标</w:t>
            </w:r>
          </w:p>
        </w:tc>
        <w:tc>
          <w:tcPr>
            <w:tcW w:w="2431"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计算方法</w:t>
            </w:r>
          </w:p>
        </w:tc>
        <w:tc>
          <w:tcPr>
            <w:tcW w:w="139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lang w:val="en-US" w:eastAsia="zh-CN"/>
              </w:rPr>
              <w:t>指标设定</w:t>
            </w:r>
          </w:p>
        </w:tc>
        <w:tc>
          <w:tcPr>
            <w:tcW w:w="975"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分值</w:t>
            </w:r>
          </w:p>
        </w:tc>
        <w:tc>
          <w:tcPr>
            <w:tcW w:w="279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2406" w:hRule="atLeast"/>
          <w:jc w:val="center"/>
        </w:trPr>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t>3.7.1</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t>医院感染发病（例次）率</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医院感染新发病例（例次）数/同期住院患者总数×100%</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423" w:hRule="atLeast"/>
          <w:jc w:val="center"/>
        </w:trPr>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t>3.7.2</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t>医院感染现患（例次）率</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确定时段或时点住院患者中医院感染患者（例次）数/同期住院患者总数×100%</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506" w:hRule="atLeast"/>
          <w:jc w:val="center"/>
        </w:trPr>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t>3.7.3</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highlight w:val="none"/>
                <w:vertAlign w:val="baseline"/>
                <w:lang w:val="en-US" w:eastAsia="zh-CN" w:bidi="ar-SA"/>
              </w:rPr>
              <w:t>医务人员手卫生依从率</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受调查的医务人员实际实施手卫生次数/同期调查中应实施手卫生次数×100%</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407" w:hRule="atLeast"/>
          <w:jc w:val="center"/>
        </w:trPr>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3.7.4</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I类切口手术部位感染率</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发生I类切口手术部位感染病例数/同期Ι类切口手术患者总数×100%</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184" w:hRule="atLeast"/>
          <w:jc w:val="center"/>
        </w:trPr>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3.7.5</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导尿管相关泌尿系感染发病率</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导尿管相关泌尿系感染例次数/同期患者使用导尿管总天数×1000‰</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bl>
    <w:p>
      <w:pPr>
        <w:pStyle w:val="5"/>
        <w:bidi w:val="0"/>
        <w:rPr>
          <w:rFonts w:hint="eastAsia"/>
          <w:color w:val="000000"/>
        </w:rPr>
      </w:pPr>
      <w:bookmarkStart w:id="128" w:name="_Toc88136174"/>
      <w:bookmarkStart w:id="129" w:name="_Toc25239"/>
      <w:bookmarkStart w:id="130" w:name="_Toc27214"/>
      <w:bookmarkStart w:id="131" w:name="_Toc88136171"/>
      <w:r>
        <w:rPr>
          <w:rFonts w:hint="eastAsia"/>
          <w:color w:val="000000"/>
          <w:lang w:val="en-US" w:eastAsia="zh-CN"/>
        </w:rPr>
        <w:t>八</w:t>
      </w:r>
      <w:r>
        <w:rPr>
          <w:rFonts w:hint="eastAsia"/>
          <w:color w:val="000000"/>
        </w:rPr>
        <w:t>、护理专业医疗质量控制指标</w:t>
      </w:r>
      <w:bookmarkEnd w:id="128"/>
      <w:r>
        <w:rPr>
          <w:rFonts w:hint="eastAsia"/>
          <w:color w:val="000000"/>
          <w:lang w:eastAsia="zh-CN"/>
        </w:rPr>
        <w:t>（</w:t>
      </w:r>
      <w:r>
        <w:rPr>
          <w:rFonts w:hint="eastAsia"/>
          <w:color w:val="000000"/>
          <w:lang w:val="en-US" w:eastAsia="zh-CN"/>
        </w:rPr>
        <w:t>22分</w:t>
      </w:r>
      <w:r>
        <w:rPr>
          <w:rFonts w:hint="eastAsia"/>
          <w:color w:val="000000"/>
          <w:lang w:eastAsia="zh-CN"/>
        </w:rPr>
        <w:t>）</w:t>
      </w:r>
      <w:bookmarkEnd w:id="129"/>
      <w:r>
        <w:rPr>
          <w:rFonts w:hint="eastAsia"/>
          <w:color w:val="000000"/>
        </w:rPr>
        <w:t>　　</w:t>
      </w:r>
    </w:p>
    <w:p>
      <w:pPr>
        <w:pStyle w:val="21"/>
        <w:bidi w:val="0"/>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本节评审设</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条</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个指标，均为数据评审指标，共</w:t>
      </w:r>
      <w:r>
        <w:rPr>
          <w:rFonts w:hint="eastAsia" w:ascii="宋体" w:hAnsi="宋体" w:cs="宋体"/>
          <w:color w:val="000000"/>
          <w:sz w:val="28"/>
          <w:szCs w:val="28"/>
          <w:lang w:val="en-US" w:eastAsia="zh-CN"/>
        </w:rPr>
        <w:t>22</w:t>
      </w:r>
      <w:r>
        <w:rPr>
          <w:rFonts w:hint="eastAsia" w:ascii="宋体" w:hAnsi="宋体" w:eastAsia="宋体" w:cs="宋体"/>
          <w:color w:val="000000"/>
          <w:sz w:val="28"/>
          <w:szCs w:val="28"/>
        </w:rPr>
        <w:t>分。</w:t>
      </w:r>
    </w:p>
    <w:tbl>
      <w:tblPr>
        <w:tblStyle w:val="14"/>
        <w:tblW w:w="10142" w:type="dxa"/>
        <w:jc w:val="center"/>
        <w:tblLayout w:type="fixed"/>
        <w:tblCellMar>
          <w:top w:w="0" w:type="dxa"/>
          <w:left w:w="0" w:type="dxa"/>
          <w:bottom w:w="0" w:type="dxa"/>
          <w:right w:w="0" w:type="dxa"/>
        </w:tblCellMar>
      </w:tblPr>
      <w:tblGrid>
        <w:gridCol w:w="2365"/>
        <w:gridCol w:w="2158"/>
        <w:gridCol w:w="1381"/>
        <w:gridCol w:w="1211"/>
        <w:gridCol w:w="3027"/>
      </w:tblGrid>
      <w:tr>
        <w:tblPrEx>
          <w:tblCellMar>
            <w:top w:w="0" w:type="dxa"/>
            <w:left w:w="0" w:type="dxa"/>
            <w:bottom w:w="0" w:type="dxa"/>
            <w:right w:w="0" w:type="dxa"/>
          </w:tblCellMar>
        </w:tblPrEx>
        <w:trPr>
          <w:trHeight w:val="90" w:hRule="atLeast"/>
          <w:tblHeader/>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监测指标</w:t>
            </w:r>
          </w:p>
        </w:tc>
        <w:tc>
          <w:tcPr>
            <w:tcW w:w="2158"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计算方法</w:t>
            </w:r>
          </w:p>
        </w:tc>
        <w:tc>
          <w:tcPr>
            <w:tcW w:w="1381"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lang w:val="en-US" w:eastAsia="zh-CN"/>
              </w:rPr>
              <w:t>指标设定</w:t>
            </w:r>
          </w:p>
        </w:tc>
        <w:tc>
          <w:tcPr>
            <w:tcW w:w="1211"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color w:val="000000"/>
                <w:sz w:val="24"/>
                <w:szCs w:val="24"/>
              </w:rPr>
              <w:t>分值</w:t>
            </w:r>
          </w:p>
        </w:tc>
        <w:tc>
          <w:tcPr>
            <w:tcW w:w="3027"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hint="eastAsia" w:ascii="黑体" w:hAnsi="黑体" w:eastAsia="黑体" w:cs="黑体"/>
                <w:color w:val="000000"/>
                <w:kern w:val="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495" w:hRule="atLeast"/>
          <w:jc w:val="center"/>
        </w:trPr>
        <w:tc>
          <w:tcPr>
            <w:tcW w:w="1014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3.8.1护患比（X:1）</w:t>
            </w:r>
          </w:p>
        </w:tc>
      </w:tr>
      <w:tr>
        <w:tblPrEx>
          <w:tblCellMar>
            <w:top w:w="0" w:type="dxa"/>
            <w:left w:w="0" w:type="dxa"/>
            <w:bottom w:w="0" w:type="dxa"/>
            <w:right w:w="0" w:type="dxa"/>
          </w:tblCellMar>
        </w:tblPrEx>
        <w:trPr>
          <w:trHeight w:val="2150"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3.8.1.1</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白班平均护患比</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每天白班护理患者数之和/同期每天白班责任护士数之和</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3"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 xml:space="preserve">3.8.1.2 </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夜班平均护患比</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每天夜班护理患者数之和/同期每天夜班责任护士数之和</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012"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 xml:space="preserve">3.8.1.3 </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每住院患者24小时平均护理时数</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医疗机构病区执业护士实际上班小时数/同期住院患者实际占用床日数</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540" w:hRule="atLeast"/>
          <w:jc w:val="center"/>
        </w:trPr>
        <w:tc>
          <w:tcPr>
            <w:tcW w:w="1014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3.8.2 不同级别护士配置占比</w:t>
            </w:r>
          </w:p>
        </w:tc>
      </w:tr>
      <w:tr>
        <w:tblPrEx>
          <w:tblCellMar>
            <w:top w:w="0" w:type="dxa"/>
            <w:left w:w="0" w:type="dxa"/>
            <w:bottom w:w="0" w:type="dxa"/>
            <w:right w:w="0" w:type="dxa"/>
          </w:tblCellMar>
        </w:tblPrEx>
        <w:trPr>
          <w:trHeight w:val="176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3.8.2.1</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护师及以下职称占比</w:t>
            </w: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病区护师及以下职称的护士总数/同期病区执业护士总人数×100%</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99"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3.8.2.2</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副高及以上职称占比</w:t>
            </w: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副高及以上职称的护士总数/同期病区执业护士总人数×100%</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142"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 xml:space="preserve">3.8.2.3 </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护士离职率</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护士离职人数/（期初医疗机构执业护士总人数+期末医疗机构执业护士总人数）/2×100%</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052"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3.8.2.4</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住院患者身体约束率</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住院患者身体约束日数/同期住院患者实际占用床日数×100%</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832" w:hRule="atLeast"/>
          <w:jc w:val="center"/>
        </w:trPr>
        <w:tc>
          <w:tcPr>
            <w:tcW w:w="1014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left"/>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3.8.3 住院患者跌倒发生率</w:t>
            </w:r>
          </w:p>
        </w:tc>
      </w:tr>
      <w:tr>
        <w:tblPrEx>
          <w:tblCellMar>
            <w:top w:w="0" w:type="dxa"/>
            <w:left w:w="0" w:type="dxa"/>
            <w:bottom w:w="0" w:type="dxa"/>
            <w:right w:w="0" w:type="dxa"/>
          </w:tblCellMar>
        </w:tblPrEx>
        <w:trPr>
          <w:trHeight w:val="2439"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 xml:space="preserve">3.8.3.1 </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住院患者跌倒发生率</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住院患者跌倒例次数/同期住院患者实际占用床日数×1000‰</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 xml:space="preserve">3.8.3.2 </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住院患者跌倒伤害占比</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住院患者跌倒伤害总例次数/同期住院患者跌倒例次数×100％</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3.8.3.3</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住院患者2期及以上院内压力性损伤发生率</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住院患者2期及以上院内压力性损伤新发病例数/同期住院患者总数×100％</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84" w:hRule="atLeast"/>
          <w:jc w:val="center"/>
        </w:trPr>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3.8.3.4</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导尿管非计划拔管率</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导尿管非计划拔管例次数/同期导尿管留置总日数×1000‰</w:t>
            </w:r>
          </w:p>
        </w:tc>
        <w:tc>
          <w:tcPr>
            <w:tcW w:w="1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bl>
    <w:p>
      <w:pPr>
        <w:pStyle w:val="2"/>
        <w:rPr>
          <w:rFonts w:hint="eastAsia"/>
          <w:color w:val="000000"/>
          <w:sz w:val="28"/>
          <w:szCs w:val="36"/>
        </w:rPr>
      </w:pPr>
      <w:bookmarkStart w:id="132" w:name="_Toc88136175"/>
    </w:p>
    <w:p>
      <w:pPr>
        <w:pStyle w:val="5"/>
        <w:bidi w:val="0"/>
        <w:rPr>
          <w:rFonts w:hint="eastAsia"/>
          <w:color w:val="000000"/>
          <w:lang w:val="en-US" w:eastAsia="zh-CN"/>
        </w:rPr>
      </w:pPr>
    </w:p>
    <w:p>
      <w:pPr>
        <w:pStyle w:val="5"/>
        <w:bidi w:val="0"/>
        <w:rPr>
          <w:rFonts w:hint="eastAsia"/>
          <w:color w:val="000000"/>
          <w:lang w:val="en-US" w:eastAsia="zh-CN"/>
        </w:rPr>
      </w:pPr>
    </w:p>
    <w:p>
      <w:pPr>
        <w:pStyle w:val="5"/>
        <w:bidi w:val="0"/>
        <w:rPr>
          <w:rFonts w:hint="eastAsia"/>
          <w:color w:val="000000"/>
          <w:lang w:val="en-US" w:eastAsia="zh-CN"/>
        </w:rPr>
      </w:pPr>
    </w:p>
    <w:p>
      <w:pPr>
        <w:pStyle w:val="5"/>
        <w:bidi w:val="0"/>
        <w:rPr>
          <w:rFonts w:hint="default" w:eastAsia="宋体"/>
          <w:color w:val="000000"/>
          <w:lang w:val="en-US" w:eastAsia="zh-CN"/>
        </w:rPr>
      </w:pPr>
      <w:bookmarkStart w:id="133" w:name="_Toc8597"/>
      <w:r>
        <w:rPr>
          <w:rFonts w:hint="eastAsia"/>
          <w:color w:val="000000"/>
          <w:lang w:val="en-US" w:eastAsia="zh-CN"/>
        </w:rPr>
        <w:t>九</w:t>
      </w:r>
      <w:r>
        <w:rPr>
          <w:rFonts w:hint="eastAsia"/>
          <w:color w:val="000000"/>
        </w:rPr>
        <w:t>、药事管理专业医疗质量控制指标</w:t>
      </w:r>
      <w:bookmarkEnd w:id="132"/>
      <w:r>
        <w:rPr>
          <w:rFonts w:hint="eastAsia"/>
          <w:color w:val="000000"/>
        </w:rPr>
        <w:t>（</w:t>
      </w:r>
      <w:r>
        <w:rPr>
          <w:rFonts w:hint="eastAsia"/>
          <w:color w:val="000000"/>
          <w:lang w:val="en-US" w:eastAsia="zh-CN"/>
        </w:rPr>
        <w:t>10</w:t>
      </w:r>
      <w:r>
        <w:rPr>
          <w:rFonts w:hint="eastAsia"/>
          <w:color w:val="000000"/>
        </w:rPr>
        <w:t>分）</w:t>
      </w:r>
      <w:bookmarkEnd w:id="133"/>
      <w:r>
        <w:rPr>
          <w:rFonts w:hint="eastAsia"/>
          <w:color w:val="000000"/>
          <w:lang w:val="en-US" w:eastAsia="zh-CN"/>
        </w:rPr>
        <w:t xml:space="preserve"> </w:t>
      </w:r>
    </w:p>
    <w:p>
      <w:pPr>
        <w:pStyle w:val="21"/>
        <w:ind w:firstLine="0"/>
        <w:rPr>
          <w:rStyle w:val="20"/>
          <w:rFonts w:ascii="仿宋_GB2312" w:hAnsi="仿宋_GB2312" w:cs="仿宋_GB2312"/>
          <w:color w:val="000000"/>
          <w:sz w:val="28"/>
          <w:szCs w:val="28"/>
        </w:rPr>
      </w:pPr>
      <w:r>
        <w:rPr>
          <w:rStyle w:val="20"/>
          <w:rFonts w:hint="eastAsia" w:ascii="仿宋_GB2312" w:hAnsi="仿宋_GB2312" w:cs="仿宋_GB2312"/>
          <w:color w:val="000000"/>
          <w:sz w:val="28"/>
          <w:szCs w:val="28"/>
        </w:rPr>
        <w:t>本节评审设</w:t>
      </w:r>
      <w:r>
        <w:rPr>
          <w:rStyle w:val="20"/>
          <w:rFonts w:hint="eastAsia" w:ascii="仿宋_GB2312" w:hAnsi="仿宋_GB2312" w:cs="仿宋_GB2312"/>
          <w:color w:val="000000"/>
          <w:sz w:val="28"/>
          <w:szCs w:val="28"/>
          <w:lang w:val="en-US" w:eastAsia="zh-CN"/>
        </w:rPr>
        <w:t>10</w:t>
      </w:r>
      <w:r>
        <w:rPr>
          <w:rStyle w:val="20"/>
          <w:rFonts w:hint="eastAsia" w:ascii="仿宋_GB2312" w:hAnsi="仿宋_GB2312" w:cs="仿宋_GB2312"/>
          <w:color w:val="000000"/>
          <w:sz w:val="28"/>
          <w:szCs w:val="28"/>
        </w:rPr>
        <w:t>条</w:t>
      </w:r>
      <w:r>
        <w:rPr>
          <w:rStyle w:val="20"/>
          <w:rFonts w:hint="eastAsia" w:ascii="仿宋_GB2312" w:hAnsi="仿宋_GB2312" w:cs="仿宋_GB2312"/>
          <w:color w:val="000000"/>
          <w:sz w:val="28"/>
          <w:szCs w:val="28"/>
          <w:lang w:val="en-US" w:eastAsia="zh-CN"/>
        </w:rPr>
        <w:t>13</w:t>
      </w:r>
      <w:r>
        <w:rPr>
          <w:rStyle w:val="20"/>
          <w:rFonts w:hint="eastAsia" w:ascii="仿宋_GB2312" w:hAnsi="仿宋_GB2312" w:cs="仿宋_GB2312"/>
          <w:color w:val="000000"/>
          <w:sz w:val="28"/>
          <w:szCs w:val="28"/>
        </w:rPr>
        <w:t>个指标，均为数据评审指标，共</w:t>
      </w:r>
      <w:r>
        <w:rPr>
          <w:rStyle w:val="20"/>
          <w:rFonts w:hint="eastAsia" w:ascii="仿宋_GB2312" w:hAnsi="仿宋_GB2312" w:cs="仿宋_GB2312"/>
          <w:color w:val="000000"/>
          <w:sz w:val="28"/>
          <w:szCs w:val="28"/>
          <w:lang w:val="en-US" w:eastAsia="zh-CN"/>
        </w:rPr>
        <w:t>10</w:t>
      </w:r>
      <w:r>
        <w:rPr>
          <w:rStyle w:val="20"/>
          <w:rFonts w:hint="eastAsia" w:ascii="仿宋_GB2312" w:hAnsi="仿宋_GB2312" w:cs="仿宋_GB2312"/>
          <w:color w:val="000000"/>
          <w:sz w:val="28"/>
          <w:szCs w:val="28"/>
        </w:rPr>
        <w:t>分。</w:t>
      </w:r>
    </w:p>
    <w:tbl>
      <w:tblPr>
        <w:tblStyle w:val="14"/>
        <w:tblW w:w="10327" w:type="dxa"/>
        <w:jc w:val="center"/>
        <w:tblLayout w:type="fixed"/>
        <w:tblCellMar>
          <w:top w:w="0" w:type="dxa"/>
          <w:left w:w="0" w:type="dxa"/>
          <w:bottom w:w="0" w:type="dxa"/>
          <w:right w:w="0" w:type="dxa"/>
        </w:tblCellMar>
      </w:tblPr>
      <w:tblGrid>
        <w:gridCol w:w="2020"/>
        <w:gridCol w:w="3006"/>
        <w:gridCol w:w="1403"/>
        <w:gridCol w:w="850"/>
        <w:gridCol w:w="3048"/>
      </w:tblGrid>
      <w:tr>
        <w:tblPrEx>
          <w:tblCellMar>
            <w:top w:w="0" w:type="dxa"/>
            <w:left w:w="0" w:type="dxa"/>
            <w:bottom w:w="0" w:type="dxa"/>
            <w:right w:w="0" w:type="dxa"/>
          </w:tblCellMar>
        </w:tblPrEx>
        <w:trPr>
          <w:trHeight w:val="600" w:hRule="atLeast"/>
          <w:tblHeader/>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color w:val="000000"/>
                <w:sz w:val="24"/>
                <w:szCs w:val="24"/>
              </w:rPr>
              <w:t>监测指标</w:t>
            </w:r>
          </w:p>
        </w:tc>
        <w:tc>
          <w:tcPr>
            <w:tcW w:w="300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color w:val="000000"/>
                <w:sz w:val="24"/>
                <w:szCs w:val="24"/>
              </w:rPr>
              <w:t>计算方法</w:t>
            </w:r>
          </w:p>
        </w:tc>
        <w:tc>
          <w:tcPr>
            <w:tcW w:w="1403"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color w:val="000000"/>
                <w:sz w:val="24"/>
                <w:szCs w:val="24"/>
                <w:lang w:val="en-US" w:eastAsia="zh-CN"/>
              </w:rPr>
              <w:t>指标设定</w:t>
            </w:r>
          </w:p>
        </w:tc>
        <w:tc>
          <w:tcPr>
            <w:tcW w:w="850"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color w:val="000000"/>
                <w:sz w:val="24"/>
                <w:szCs w:val="24"/>
              </w:rPr>
              <w:t>分值</w:t>
            </w:r>
          </w:p>
        </w:tc>
        <w:tc>
          <w:tcPr>
            <w:tcW w:w="3048"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pPr>
              <w:pStyle w:val="24"/>
              <w:spacing w:line="320" w:lineRule="exact"/>
              <w:rPr>
                <w:rFonts w:ascii="仿宋_GB2312" w:hAnsi="仿宋_GB2312" w:eastAsia="仿宋_GB2312" w:cs="仿宋_GB2312"/>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0" w:type="dxa"/>
            <w:bottom w:w="0" w:type="dxa"/>
            <w:right w:w="0" w:type="dxa"/>
          </w:tblCellMar>
        </w:tblPrEx>
        <w:trPr>
          <w:trHeight w:val="1475"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3.9.1</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每百张床位临床药师人数</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临床药师人数/同期实际开放床位数×100%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927"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3.9.2</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门诊处方审核率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药品收费前药师审核门诊处方人次数/同期门诊处方总人次数×100%（处方审核统计表有审方药师签名）</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038"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3.9.3</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住院用药医嘱审核率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药品调配前药师审核住院患者用药医嘱条目数/同期住院患者用药医嘱总条目数×100%（处方审核统计表有审方药师签名）</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400"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3.9.4</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门诊处方点评率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点评的门诊处方人次数/同期门诊处方总人次数×1000‰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846"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3.9.5</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门诊处方合格率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合格的门诊处方人次数/同期点评门诊处方总人次数×100%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805"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3.9.6</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住院患者药学监护率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实施药学监护的住院患者数/同期用药患者总数×100%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0" w:type="dxa"/>
            <w:bottom w:w="0" w:type="dxa"/>
            <w:right w:w="0" w:type="dxa"/>
          </w:tblCellMar>
        </w:tblPrEx>
        <w:trPr>
          <w:trHeight w:val="1777"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3.9.7</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用药错误报告率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报告给医疗机构管理部门的用药错误人次数/同期用药患者总数×100%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161"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3.9.8</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严重或新的药品不良反应上报率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严重或新的药品不良反应上报人数/同期用药患者总数×100%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2400"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3.9.9</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I类切口手术抗菌药物预防使用率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I类切口手术预防使用抗菌药物的患者数/同期Ι类切口手术患者总数×100%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800" w:hRule="atLeast"/>
          <w:jc w:val="center"/>
        </w:trPr>
        <w:tc>
          <w:tcPr>
            <w:tcW w:w="103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left"/>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3.9.10住院患者抗菌药物使用情况</w:t>
            </w:r>
          </w:p>
        </w:tc>
      </w:tr>
      <w:tr>
        <w:tblPrEx>
          <w:tblCellMar>
            <w:top w:w="0" w:type="dxa"/>
            <w:left w:w="0" w:type="dxa"/>
            <w:bottom w:w="0" w:type="dxa"/>
            <w:right w:w="0" w:type="dxa"/>
          </w:tblCellMar>
        </w:tblPrEx>
        <w:trPr>
          <w:trHeight w:val="1417"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3.9.10.1</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住院患者抗菌药物使用率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住院患者使用抗菌药物人数/同期医疗机构住院患者总数×100%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417"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3.9.10.2</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住院患者抗菌药物使用强度</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住院患者抗菌药物使用量（累计DDD数）/同期住院患者床日数×100%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417"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3.9.10.3</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住院患者中药注射剂静脉输液使用率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使用中药注射剂静脉输液住院患者数/同期住院患者总数×100%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CellMar>
            <w:top w:w="0" w:type="dxa"/>
            <w:left w:w="0" w:type="dxa"/>
            <w:bottom w:w="0" w:type="dxa"/>
            <w:right w:w="0" w:type="dxa"/>
          </w:tblCellMar>
        </w:tblPrEx>
        <w:trPr>
          <w:trHeight w:val="1417" w:hRule="atLeast"/>
          <w:jc w:val="center"/>
        </w:trPr>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3.9.10.4</w:t>
            </w:r>
          </w:p>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住院患者质子泵抑制药注射剂静脉使用率</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静脉使用质子泵抑制药注射剂的住院患者数/同期住院患者总数×100%</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bookmarkEnd w:id="130"/>
      <w:bookmarkEnd w:id="131"/>
    </w:tbl>
    <w:p>
      <w:pPr>
        <w:pStyle w:val="5"/>
        <w:numPr>
          <w:ilvl w:val="0"/>
          <w:numId w:val="0"/>
        </w:numPr>
        <w:bidi w:val="0"/>
        <w:rPr>
          <w:rFonts w:hint="eastAsia"/>
          <w:color w:val="000000"/>
        </w:rPr>
      </w:pPr>
      <w:bookmarkStart w:id="134" w:name="_Toc21212"/>
      <w:bookmarkStart w:id="135" w:name="_Toc88136173"/>
      <w:r>
        <w:rPr>
          <w:rFonts w:hint="eastAsia" w:ascii="Times New Roman" w:hAnsi="Times New Roman" w:eastAsia="宋体" w:cs="Times New Roman"/>
          <w:b/>
          <w:bCs/>
          <w:color w:val="000000"/>
          <w:kern w:val="2"/>
          <w:sz w:val="28"/>
          <w:szCs w:val="28"/>
          <w:lang w:val="en-US" w:eastAsia="zh-CN" w:bidi="ar-SA"/>
        </w:rPr>
        <w:t>十、</w:t>
      </w:r>
      <w:r>
        <w:rPr>
          <w:rFonts w:hint="eastAsia"/>
          <w:color w:val="000000"/>
        </w:rPr>
        <w:t>医学影像专业质量控制指标（</w:t>
      </w:r>
      <w:r>
        <w:rPr>
          <w:rFonts w:hint="eastAsia"/>
          <w:color w:val="000000"/>
          <w:lang w:val="en-US" w:eastAsia="zh-CN"/>
        </w:rPr>
        <w:t>16</w:t>
      </w:r>
      <w:r>
        <w:rPr>
          <w:rFonts w:hint="eastAsia"/>
          <w:color w:val="000000"/>
        </w:rPr>
        <w:t>分）</w:t>
      </w:r>
      <w:bookmarkEnd w:id="134"/>
    </w:p>
    <w:p>
      <w:pPr>
        <w:pageBreakBefore w:val="0"/>
        <w:kinsoku/>
        <w:wordWrap/>
        <w:overflowPunct/>
        <w:topLinePunct w:val="0"/>
        <w:autoSpaceDE/>
        <w:autoSpaceDN/>
        <w:bidi w:val="0"/>
        <w:adjustRightInd/>
        <w:snapToGrid/>
        <w:spacing w:line="500" w:lineRule="exact"/>
        <w:textAlignment w:val="auto"/>
        <w:rPr>
          <w:rFonts w:hint="eastAsia" w:eastAsia="宋体"/>
          <w:color w:val="000000"/>
          <w:lang w:eastAsia="zh-CN"/>
        </w:rPr>
      </w:pPr>
      <w:r>
        <w:rPr>
          <w:rFonts w:hint="eastAsia" w:ascii="宋体" w:hAnsi="宋体" w:eastAsia="宋体" w:cs="宋体"/>
          <w:color w:val="000000"/>
          <w:sz w:val="28"/>
          <w:szCs w:val="28"/>
        </w:rPr>
        <w:t>本节评审设</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条</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个指标，均为数据评审指标，共</w:t>
      </w:r>
      <w:r>
        <w:rPr>
          <w:rFonts w:hint="eastAsia" w:ascii="宋体" w:hAnsi="宋体" w:cs="宋体"/>
          <w:color w:val="000000"/>
          <w:sz w:val="28"/>
          <w:szCs w:val="28"/>
          <w:lang w:val="en-US" w:eastAsia="zh-CN"/>
        </w:rPr>
        <w:t>16</w:t>
      </w:r>
      <w:r>
        <w:rPr>
          <w:rFonts w:hint="eastAsia" w:ascii="宋体" w:hAnsi="宋体" w:eastAsia="宋体" w:cs="宋体"/>
          <w:color w:val="000000"/>
          <w:sz w:val="28"/>
          <w:szCs w:val="28"/>
        </w:rPr>
        <w:t>分</w:t>
      </w:r>
      <w:r>
        <w:rPr>
          <w:rFonts w:hint="eastAsia" w:ascii="宋体" w:hAnsi="宋体" w:cs="宋体"/>
          <w:color w:val="000000"/>
          <w:sz w:val="28"/>
          <w:szCs w:val="28"/>
          <w:lang w:eastAsia="zh-CN"/>
        </w:rPr>
        <w:t>。</w:t>
      </w:r>
    </w:p>
    <w:tbl>
      <w:tblPr>
        <w:tblStyle w:val="14"/>
        <w:tblpPr w:leftFromText="180" w:rightFromText="180" w:vertAnchor="text" w:horzAnchor="page" w:tblpXSpec="center" w:tblpY="488"/>
        <w:tblOverlap w:val="never"/>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673"/>
        <w:gridCol w:w="3165"/>
        <w:gridCol w:w="1669"/>
        <w:gridCol w:w="937"/>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blHeader/>
          <w:jc w:val="center"/>
        </w:trPr>
        <w:tc>
          <w:tcPr>
            <w:tcW w:w="1673" w:type="dxa"/>
            <w:tcBorders>
              <w:top w:val="single" w:color="000000" w:sz="8" w:space="0"/>
              <w:left w:val="single" w:color="000000" w:sz="8" w:space="0"/>
              <w:bottom w:val="single" w:color="auto" w:sz="4" w:space="0"/>
              <w:right w:val="single" w:color="000000" w:sz="8" w:space="0"/>
            </w:tcBorders>
            <w:shd w:val="clear" w:color="auto" w:fill="EEECE1"/>
            <w:noWrap w:val="0"/>
            <w:vAlign w:val="center"/>
          </w:tcPr>
          <w:p>
            <w:pPr>
              <w:pStyle w:val="24"/>
              <w:spacing w:line="320" w:lineRule="exact"/>
              <w:rPr>
                <w:rFonts w:hint="eastAsia" w:ascii="黑体" w:hAnsi="黑体" w:eastAsia="黑体" w:cs="黑体"/>
                <w:color w:val="000000"/>
                <w:sz w:val="24"/>
                <w:szCs w:val="24"/>
              </w:rPr>
            </w:pPr>
            <w:r>
              <w:rPr>
                <w:rFonts w:hint="eastAsia"/>
                <w:color w:val="000000"/>
                <w:sz w:val="24"/>
                <w:szCs w:val="24"/>
              </w:rPr>
              <w:t>监测指标</w:t>
            </w:r>
          </w:p>
        </w:tc>
        <w:tc>
          <w:tcPr>
            <w:tcW w:w="3165" w:type="dxa"/>
            <w:tcBorders>
              <w:top w:val="single" w:color="000000" w:sz="8" w:space="0"/>
              <w:left w:val="single" w:color="000000" w:sz="8" w:space="0"/>
              <w:bottom w:val="single" w:color="auto" w:sz="4" w:space="0"/>
              <w:right w:val="single" w:color="000000" w:sz="8" w:space="0"/>
            </w:tcBorders>
            <w:shd w:val="clear" w:color="auto" w:fill="EEECE1"/>
            <w:noWrap w:val="0"/>
            <w:vAlign w:val="center"/>
          </w:tcPr>
          <w:p>
            <w:pPr>
              <w:pStyle w:val="24"/>
              <w:spacing w:line="320" w:lineRule="exact"/>
              <w:rPr>
                <w:rFonts w:hint="eastAsia" w:ascii="黑体" w:hAnsi="黑体" w:eastAsia="黑体" w:cs="黑体"/>
                <w:color w:val="000000"/>
                <w:sz w:val="24"/>
                <w:szCs w:val="24"/>
              </w:rPr>
            </w:pPr>
            <w:r>
              <w:rPr>
                <w:rFonts w:hint="eastAsia"/>
                <w:color w:val="000000"/>
                <w:sz w:val="24"/>
                <w:szCs w:val="24"/>
              </w:rPr>
              <w:t>计算方法</w:t>
            </w:r>
          </w:p>
        </w:tc>
        <w:tc>
          <w:tcPr>
            <w:tcW w:w="1669" w:type="dxa"/>
            <w:tcBorders>
              <w:top w:val="single" w:color="000000" w:sz="8" w:space="0"/>
              <w:left w:val="single" w:color="000000" w:sz="8" w:space="0"/>
              <w:bottom w:val="single" w:color="auto" w:sz="4" w:space="0"/>
              <w:right w:val="single" w:color="000000" w:sz="8" w:space="0"/>
            </w:tcBorders>
            <w:shd w:val="clear" w:color="auto" w:fill="EEECE1"/>
            <w:noWrap w:val="0"/>
            <w:vAlign w:val="center"/>
          </w:tcPr>
          <w:p>
            <w:pPr>
              <w:pStyle w:val="24"/>
              <w:spacing w:line="320" w:lineRule="exact"/>
              <w:rPr>
                <w:rFonts w:hint="eastAsia" w:ascii="黑体" w:hAnsi="黑体" w:eastAsia="黑体" w:cs="黑体"/>
                <w:color w:val="000000"/>
                <w:sz w:val="24"/>
                <w:szCs w:val="24"/>
              </w:rPr>
            </w:pPr>
            <w:r>
              <w:rPr>
                <w:rFonts w:hint="eastAsia"/>
                <w:color w:val="000000"/>
                <w:sz w:val="24"/>
                <w:szCs w:val="24"/>
                <w:lang w:val="en-US" w:eastAsia="zh-CN"/>
              </w:rPr>
              <w:t>指标设定</w:t>
            </w:r>
          </w:p>
        </w:tc>
        <w:tc>
          <w:tcPr>
            <w:tcW w:w="937" w:type="dxa"/>
            <w:tcBorders>
              <w:top w:val="single" w:color="000000" w:sz="8" w:space="0"/>
              <w:left w:val="single" w:color="000000" w:sz="8" w:space="0"/>
              <w:bottom w:val="single" w:color="auto" w:sz="4" w:space="0"/>
              <w:right w:val="single" w:color="000000" w:sz="8" w:space="0"/>
            </w:tcBorders>
            <w:shd w:val="clear" w:color="auto" w:fill="EEECE1"/>
            <w:noWrap w:val="0"/>
            <w:vAlign w:val="center"/>
          </w:tcPr>
          <w:p>
            <w:pPr>
              <w:pStyle w:val="24"/>
              <w:spacing w:line="320" w:lineRule="exact"/>
              <w:rPr>
                <w:rFonts w:hint="eastAsia" w:ascii="黑体" w:hAnsi="黑体" w:eastAsia="黑体" w:cs="黑体"/>
                <w:color w:val="000000"/>
                <w:sz w:val="24"/>
                <w:szCs w:val="24"/>
              </w:rPr>
            </w:pPr>
            <w:r>
              <w:rPr>
                <w:rFonts w:hint="eastAsia"/>
                <w:color w:val="000000"/>
                <w:sz w:val="24"/>
                <w:szCs w:val="24"/>
              </w:rPr>
              <w:t>分值</w:t>
            </w:r>
          </w:p>
        </w:tc>
        <w:tc>
          <w:tcPr>
            <w:tcW w:w="2810" w:type="dxa"/>
            <w:tcBorders>
              <w:top w:val="single" w:color="000000" w:sz="8" w:space="0"/>
              <w:left w:val="single" w:color="000000" w:sz="8" w:space="0"/>
              <w:bottom w:val="single" w:color="auto" w:sz="4" w:space="0"/>
              <w:right w:val="single" w:color="000000" w:sz="8" w:space="0"/>
            </w:tcBorders>
            <w:shd w:val="clear" w:color="auto" w:fill="EEECE1"/>
            <w:noWrap w:val="0"/>
            <w:vAlign w:val="center"/>
          </w:tcPr>
          <w:p>
            <w:pPr>
              <w:pStyle w:val="24"/>
              <w:spacing w:line="320" w:lineRule="exact"/>
              <w:rPr>
                <w:rFonts w:hint="eastAsia" w:ascii="黑体" w:hAnsi="黑体" w:eastAsia="黑体" w:cs="黑体"/>
                <w:color w:val="000000"/>
                <w:sz w:val="24"/>
                <w:szCs w:val="24"/>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1"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3.10.1</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住院超声检查48小时内完成率</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单位时间内在临床开具住院超声检查申请48h内完成检查并出具超声检查报告的例数/同期临床开具住院超声检查申请单总数×100%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1"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3.10.2</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超声危急值10分钟内通报完成率</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单位时间内10分钟内完成通报的超声危急值例数/同期超声危急值总例数×100%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1"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3.10.3</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spacing w:val="0"/>
                <w:w w:val="100"/>
                <w:kern w:val="2"/>
                <w:sz w:val="24"/>
                <w:szCs w:val="24"/>
                <w:vertAlign w:val="baseline"/>
                <w:lang w:val="en-US" w:eastAsia="zh-CN" w:bidi="ar-SA"/>
              </w:rPr>
              <w:t>住院超声报告阳性率</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单位时间内住院超声报告中有异常发现的报告数/同期住院超声报告总数×100%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1"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3.10.4</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门诊超声报告阳性率</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单位时间内，门诊超声报告中有异常发现的报告数/同期门诊超声报告总数×100%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1"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3.10.5</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放射科设备运行完好率</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一年中放射科所有项目的检查设备正常开机使用天数/365天×100%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1"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3.10.6</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门诊放射报告及时率</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spacing w:val="0"/>
                <w:w w:val="100"/>
                <w:kern w:val="2"/>
                <w:sz w:val="24"/>
                <w:szCs w:val="24"/>
                <w:vertAlign w:val="baseline"/>
                <w:lang w:val="en-US" w:eastAsia="zh-CN" w:bidi="ar-SA"/>
              </w:rPr>
              <w:t>放射报告及时完成数／同期放射报告总数×100%（门诊报告≤2小时；急诊报告≤30分钟；住院报告≤24小时）</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center"/>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1"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3.10.7</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放射危急值10分钟内通报完成率</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单位时间内10分钟内完成通报的放射危急值例数/同期放射危急值总例数×100%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1"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3.10.8</w:t>
            </w:r>
          </w:p>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心电图危急值10分钟内通报完成率</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both"/>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单位时间内 10 分钟内完成通报的心理图危急值例数/同期心电图危急值总例数×100%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5"/>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2</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bl>
    <w:p>
      <w:pPr>
        <w:pStyle w:val="5"/>
        <w:bidi w:val="0"/>
        <w:rPr>
          <w:rFonts w:hint="eastAsia"/>
          <w:color w:val="000000"/>
          <w:lang w:val="en-US" w:eastAsia="zh-CN"/>
        </w:rPr>
      </w:pPr>
    </w:p>
    <w:p>
      <w:pPr>
        <w:pStyle w:val="5"/>
        <w:bidi w:val="0"/>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pStyle w:val="5"/>
        <w:bidi w:val="0"/>
        <w:rPr>
          <w:rFonts w:hint="eastAsia"/>
          <w:color w:val="000000"/>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lang w:val="en-US" w:eastAsia="zh-CN"/>
        </w:rPr>
      </w:pPr>
      <w:bookmarkStart w:id="136" w:name="_Toc3057"/>
      <w:r>
        <w:rPr>
          <w:rFonts w:hint="eastAsia"/>
          <w:color w:val="000000"/>
          <w:lang w:val="en-US" w:eastAsia="zh-CN"/>
        </w:rPr>
        <w:t>十一</w:t>
      </w:r>
      <w:r>
        <w:rPr>
          <w:rFonts w:hint="eastAsia"/>
          <w:color w:val="000000"/>
        </w:rPr>
        <w:t>、</w:t>
      </w:r>
      <w:r>
        <w:rPr>
          <w:rFonts w:hint="eastAsia"/>
          <w:color w:val="000000"/>
          <w:lang w:val="en-US" w:eastAsia="zh-CN"/>
        </w:rPr>
        <w:t>病案管理</w:t>
      </w:r>
      <w:r>
        <w:rPr>
          <w:rFonts w:hint="eastAsia"/>
          <w:color w:val="000000"/>
        </w:rPr>
        <w:t>质量控制指标</w:t>
      </w:r>
      <w:bookmarkEnd w:id="135"/>
      <w:r>
        <w:rPr>
          <w:rFonts w:hint="eastAsia"/>
          <w:color w:val="000000"/>
          <w:lang w:eastAsia="zh-CN"/>
        </w:rPr>
        <w:t>（</w:t>
      </w:r>
      <w:r>
        <w:rPr>
          <w:rFonts w:hint="eastAsia"/>
          <w:color w:val="000000"/>
          <w:lang w:val="en-US" w:eastAsia="zh-CN"/>
        </w:rPr>
        <w:t>9分）</w:t>
      </w:r>
      <w:bookmarkEnd w:id="136"/>
    </w:p>
    <w:p>
      <w:pPr>
        <w:pStyle w:val="21"/>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color w:val="000000"/>
        </w:rPr>
      </w:pPr>
      <w:r>
        <w:rPr>
          <w:rStyle w:val="20"/>
          <w:rFonts w:hint="eastAsia" w:ascii="仿宋_GB2312" w:hAnsi="仿宋_GB2312" w:cs="仿宋_GB2312"/>
          <w:color w:val="000000"/>
          <w:sz w:val="28"/>
          <w:szCs w:val="28"/>
        </w:rPr>
        <w:t>本节评审设</w:t>
      </w:r>
      <w:r>
        <w:rPr>
          <w:rStyle w:val="20"/>
          <w:rFonts w:hint="eastAsia" w:ascii="仿宋_GB2312" w:hAnsi="仿宋_GB2312" w:cs="仿宋_GB2312"/>
          <w:color w:val="000000"/>
          <w:sz w:val="28"/>
          <w:szCs w:val="28"/>
          <w:lang w:val="en-US" w:eastAsia="zh-CN"/>
        </w:rPr>
        <w:t>5</w:t>
      </w:r>
      <w:r>
        <w:rPr>
          <w:rStyle w:val="20"/>
          <w:rFonts w:hint="eastAsia" w:ascii="仿宋_GB2312" w:hAnsi="仿宋_GB2312" w:cs="仿宋_GB2312"/>
          <w:color w:val="000000"/>
          <w:sz w:val="28"/>
          <w:szCs w:val="28"/>
        </w:rPr>
        <w:t>条</w:t>
      </w:r>
      <w:r>
        <w:rPr>
          <w:rStyle w:val="20"/>
          <w:rFonts w:hint="eastAsia" w:ascii="仿宋_GB2312" w:hAnsi="仿宋_GB2312" w:cs="仿宋_GB2312"/>
          <w:color w:val="000000"/>
          <w:sz w:val="28"/>
          <w:szCs w:val="28"/>
          <w:lang w:val="en-US" w:eastAsia="zh-CN"/>
        </w:rPr>
        <w:t>18个</w:t>
      </w:r>
      <w:r>
        <w:rPr>
          <w:rStyle w:val="20"/>
          <w:rFonts w:hint="eastAsia" w:ascii="仿宋_GB2312" w:hAnsi="仿宋_GB2312" w:cs="仿宋_GB2312"/>
          <w:color w:val="000000"/>
          <w:sz w:val="28"/>
          <w:szCs w:val="28"/>
        </w:rPr>
        <w:t>指标，均为数据评审指标，共</w:t>
      </w:r>
      <w:r>
        <w:rPr>
          <w:rStyle w:val="20"/>
          <w:rFonts w:hint="eastAsia" w:ascii="仿宋_GB2312" w:hAnsi="仿宋_GB2312" w:cs="仿宋_GB2312"/>
          <w:color w:val="000000"/>
          <w:sz w:val="28"/>
          <w:szCs w:val="28"/>
          <w:lang w:val="en-US" w:eastAsia="zh-CN"/>
        </w:rPr>
        <w:t>9</w:t>
      </w:r>
      <w:r>
        <w:rPr>
          <w:rStyle w:val="20"/>
          <w:rFonts w:hint="eastAsia" w:ascii="仿宋_GB2312" w:hAnsi="仿宋_GB2312" w:cs="仿宋_GB2312"/>
          <w:color w:val="000000"/>
          <w:sz w:val="28"/>
          <w:szCs w:val="28"/>
        </w:rPr>
        <w:t>分。</w:t>
      </w:r>
      <w:bookmarkEnd w:id="117"/>
    </w:p>
    <w:tbl>
      <w:tblPr>
        <w:tblStyle w:val="15"/>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3530"/>
        <w:gridCol w:w="1363"/>
        <w:gridCol w:w="77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blHeader/>
          <w:jc w:val="center"/>
        </w:trPr>
        <w:tc>
          <w:tcPr>
            <w:tcW w:w="2334" w:type="dxa"/>
            <w:shd w:val="clear" w:color="auto" w:fill="EEECE1"/>
            <w:noWrap w:val="0"/>
            <w:vAlign w:val="center"/>
          </w:tcPr>
          <w:p>
            <w:pPr>
              <w:pStyle w:val="24"/>
              <w:spacing w:line="320" w:lineRule="exact"/>
              <w:rPr>
                <w:rFonts w:hint="eastAsia"/>
                <w:color w:val="000000"/>
                <w:sz w:val="24"/>
                <w:szCs w:val="24"/>
                <w:lang w:val="en-US" w:eastAsia="zh-CN"/>
              </w:rPr>
            </w:pPr>
            <w:r>
              <w:rPr>
                <w:rFonts w:hint="eastAsia"/>
                <w:color w:val="000000"/>
                <w:sz w:val="24"/>
                <w:szCs w:val="24"/>
                <w:lang w:val="en-US" w:eastAsia="zh-CN"/>
              </w:rPr>
              <w:t>监测指标</w:t>
            </w:r>
          </w:p>
        </w:tc>
        <w:tc>
          <w:tcPr>
            <w:tcW w:w="3530" w:type="dxa"/>
            <w:shd w:val="clear" w:color="auto" w:fill="EEECE1"/>
            <w:noWrap w:val="0"/>
            <w:vAlign w:val="center"/>
          </w:tcPr>
          <w:p>
            <w:pPr>
              <w:pStyle w:val="24"/>
              <w:spacing w:line="320" w:lineRule="exact"/>
              <w:rPr>
                <w:rFonts w:hint="eastAsia"/>
                <w:color w:val="000000"/>
                <w:sz w:val="24"/>
                <w:szCs w:val="24"/>
                <w:lang w:val="en-US" w:eastAsia="zh-CN"/>
              </w:rPr>
            </w:pPr>
            <w:r>
              <w:rPr>
                <w:rFonts w:hint="eastAsia"/>
                <w:color w:val="000000"/>
                <w:sz w:val="24"/>
                <w:szCs w:val="24"/>
                <w:lang w:val="en-US" w:eastAsia="zh-CN"/>
              </w:rPr>
              <w:t>计算方法</w:t>
            </w:r>
          </w:p>
        </w:tc>
        <w:tc>
          <w:tcPr>
            <w:tcW w:w="1363" w:type="dxa"/>
            <w:shd w:val="clear" w:color="auto" w:fill="EEECE1"/>
            <w:noWrap w:val="0"/>
            <w:vAlign w:val="center"/>
          </w:tcPr>
          <w:p>
            <w:pPr>
              <w:pStyle w:val="24"/>
              <w:spacing w:line="320" w:lineRule="exact"/>
              <w:rPr>
                <w:rFonts w:hint="eastAsia"/>
                <w:color w:val="000000"/>
                <w:sz w:val="24"/>
                <w:szCs w:val="24"/>
                <w:lang w:val="en-US" w:eastAsia="zh-CN"/>
              </w:rPr>
            </w:pPr>
            <w:r>
              <w:rPr>
                <w:rFonts w:hint="eastAsia"/>
                <w:color w:val="000000"/>
                <w:sz w:val="24"/>
                <w:szCs w:val="24"/>
                <w:lang w:val="en-US" w:eastAsia="zh-CN"/>
              </w:rPr>
              <w:t>指标设定</w:t>
            </w:r>
          </w:p>
        </w:tc>
        <w:tc>
          <w:tcPr>
            <w:tcW w:w="772" w:type="dxa"/>
            <w:shd w:val="clear" w:color="auto" w:fill="EEECE1"/>
            <w:noWrap w:val="0"/>
            <w:vAlign w:val="center"/>
          </w:tcPr>
          <w:p>
            <w:pPr>
              <w:pStyle w:val="24"/>
              <w:spacing w:line="320" w:lineRule="exact"/>
              <w:rPr>
                <w:rFonts w:hint="eastAsia"/>
                <w:color w:val="000000"/>
                <w:sz w:val="24"/>
                <w:szCs w:val="24"/>
                <w:lang w:val="en-US" w:eastAsia="zh-CN"/>
              </w:rPr>
            </w:pPr>
            <w:r>
              <w:rPr>
                <w:rFonts w:hint="eastAsia"/>
                <w:color w:val="000000"/>
                <w:sz w:val="24"/>
                <w:szCs w:val="24"/>
                <w:lang w:val="en-US" w:eastAsia="zh-CN"/>
              </w:rPr>
              <w:t>分值</w:t>
            </w:r>
          </w:p>
        </w:tc>
        <w:tc>
          <w:tcPr>
            <w:tcW w:w="1838" w:type="dxa"/>
            <w:shd w:val="clear" w:color="auto" w:fill="EEECE1"/>
            <w:noWrap w:val="0"/>
            <w:vAlign w:val="center"/>
          </w:tcPr>
          <w:p>
            <w:pPr>
              <w:pStyle w:val="24"/>
              <w:spacing w:line="320" w:lineRule="exact"/>
              <w:rPr>
                <w:rFonts w:hint="eastAsia"/>
                <w:color w:val="000000"/>
                <w:sz w:val="24"/>
                <w:szCs w:val="24"/>
                <w:lang w:val="en-US" w:eastAsia="zh-CN"/>
              </w:rPr>
            </w:pPr>
            <w:r>
              <w:rPr>
                <w:rFonts w:hint="eastAsia"/>
                <w:color w:val="000000"/>
                <w:sz w:val="24"/>
                <w:szCs w:val="24"/>
                <w:lang w:val="en-US" w:eastAsia="zh-CN"/>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37"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3.11.1人力资源配置指标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3.11.1.1住院病案管理人员月均负担出院患者病历数</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出院患者病历总数/同期住院病案管理人员实际工作总月数</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37"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3.11.2病历书写时效性指标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3.11.2.1入院记录24小时内完成率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入院记录在患者入院24小时内完成的住院患者病历数/同期住院患者病历总数×100%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3.11.2.2手术记录24小时内完成率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手术记录在术后24小时内完成的住院患者病历数/同期住院手术患者病历总数×100%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3.11.2.3出院记录24小时内完成率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出院记录在患者出院后24小时内完成的病历数/同期出院患者病历总数×100%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3.11.2.4病案首页24小时内完成率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病案首页在患者出院后24小时内完成的病历数/同期出院患者病历总数×100%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837"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3.11.3重大检查记录符合率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3.11.3.1病理检查记录符合率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手术记录、病理检查报告单、病程记录相对应的住院患者病历数/同期开展病理检查的住院患者病历总数×100%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837"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3.11.4诊疗行为记录符合率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3.11.4.1抗菌药物使用记录符合率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抗菌药物使用医嘱、病程记录相对应的住院患者病历数/同期使用抗菌药物的住院患者病历总数×100%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3.11.4.2手术相关记录完整率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手术相关记录完整的住院患者病历数/同期住院手术患者病历总数×100%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3.11.4.3医师查房记录完整率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医师查房记录完整的住院患者病历数/同期住院患者病历总数×100%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3.11.4.4患者抢救记录及时完成率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抢救记录及时完成的住院患者病历数/同期接受抢救的住院患者病历总数×100%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37"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3.11.5病历归档质量指标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3.11.5.1出院患者病历归档完整率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归档病例内容完整的出院患者病历数/同期出院患者病历总数×100%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3.11.5.2主要诊断填写正确率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病案首页中主要诊断填写正确的出院患者病历数/同期出院患者病历总数×100%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3.11.5.3主要诊断编码正确率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病案首页中主要诊断编码正确的出院患者病历数/同期出院患者病历总数×100%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3.11.5.4主要手术填写正确率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病案首页中主要手术填写正确的出院患者病历数/同期出院手术患者病历总数×100%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3.11.5.5主要手术编码正确率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病案首页中主要手术编码正确的出院患者病历数/同期出院手术患者病历总数×100%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3.11.5.6不合理复制病历发生率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出现不合理复制病历内容的出院患者病历数/同期出院患者病历总数×100%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3.11.5.7知情同意书规范签署率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规范签署知情同意书的出院患者病历数/同期存在知情同意书签署的出院患者病历总数×100%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3.11.5.8甲级病历率</w:t>
            </w:r>
          </w:p>
        </w:tc>
        <w:tc>
          <w:tcPr>
            <w:tcW w:w="3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甲级出院患者病历数/同期出院患者病历总数×100%</w:t>
            </w:r>
          </w:p>
        </w:tc>
        <w:tc>
          <w:tcPr>
            <w:tcW w:w="13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指标</w:t>
            </w:r>
          </w:p>
        </w:tc>
        <w:tc>
          <w:tcPr>
            <w:tcW w:w="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0.5</w:t>
            </w:r>
          </w:p>
        </w:tc>
        <w:tc>
          <w:tcPr>
            <w:tcW w:w="1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监测达标</w:t>
            </w:r>
          </w:p>
        </w:tc>
      </w:tr>
    </w:tbl>
    <w:p>
      <w:pPr>
        <w:rPr>
          <w:rFonts w:hint="eastAsia"/>
          <w:color w:val="00000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bidi w:val="0"/>
        <w:jc w:val="center"/>
        <w:rPr>
          <w:rFonts w:hint="eastAsia"/>
          <w:color w:val="000000"/>
          <w:lang w:eastAsia="zh-CN"/>
        </w:rPr>
      </w:pPr>
      <w:bookmarkStart w:id="137" w:name="_Toc29414"/>
      <w:r>
        <w:rPr>
          <w:rFonts w:hint="eastAsia"/>
          <w:color w:val="000000"/>
        </w:rPr>
        <w:t>第四章  单病种（术种）质量控制指标</w:t>
      </w:r>
      <w:r>
        <w:rPr>
          <w:rFonts w:hint="eastAsia"/>
          <w:color w:val="000000"/>
          <w:lang w:eastAsia="zh-CN"/>
        </w:rPr>
        <w:t>（</w:t>
      </w:r>
      <w:r>
        <w:rPr>
          <w:rFonts w:hint="eastAsia"/>
          <w:color w:val="000000"/>
          <w:lang w:val="en-US" w:eastAsia="zh-CN"/>
        </w:rPr>
        <w:t>58分</w:t>
      </w:r>
      <w:r>
        <w:rPr>
          <w:rFonts w:hint="eastAsia"/>
          <w:color w:val="000000"/>
          <w:lang w:eastAsia="zh-CN"/>
        </w:rPr>
        <w:t>）</w:t>
      </w:r>
      <w:bookmarkEnd w:id="137"/>
    </w:p>
    <w:p>
      <w:pPr>
        <w:pStyle w:val="5"/>
        <w:bidi w:val="0"/>
        <w:rPr>
          <w:rFonts w:hint="default"/>
          <w:color w:val="000000"/>
          <w:lang w:val="en-US" w:eastAsia="zh-CN"/>
        </w:rPr>
      </w:pPr>
      <w:bookmarkStart w:id="138" w:name="_Toc23709"/>
      <w:r>
        <w:rPr>
          <w:rFonts w:hint="eastAsia"/>
          <w:color w:val="000000"/>
          <w:lang w:val="en-US" w:eastAsia="zh-CN"/>
        </w:rPr>
        <w:t>一、单病种质量控制指标（15分）</w:t>
      </w:r>
      <w:bookmarkEnd w:id="138"/>
    </w:p>
    <w:p>
      <w:pPr>
        <w:pStyle w:val="21"/>
        <w:ind w:firstLine="0"/>
        <w:rPr>
          <w:rStyle w:val="20"/>
          <w:rFonts w:hint="eastAsia" w:ascii="仿宋_GB2312" w:hAnsi="仿宋_GB2312" w:cs="仿宋_GB2312"/>
          <w:color w:val="000000"/>
          <w:sz w:val="28"/>
          <w:szCs w:val="28"/>
        </w:rPr>
      </w:pPr>
      <w:r>
        <w:rPr>
          <w:rStyle w:val="20"/>
          <w:rFonts w:hint="eastAsia" w:ascii="仿宋_GB2312" w:hAnsi="仿宋_GB2312" w:cs="仿宋_GB2312"/>
          <w:color w:val="000000"/>
          <w:sz w:val="28"/>
          <w:szCs w:val="28"/>
        </w:rPr>
        <w:t>本节评审设</w:t>
      </w:r>
      <w:r>
        <w:rPr>
          <w:rStyle w:val="20"/>
          <w:rFonts w:hint="eastAsia" w:ascii="仿宋_GB2312" w:hAnsi="仿宋_GB2312" w:cs="仿宋_GB2312"/>
          <w:color w:val="000000"/>
          <w:sz w:val="28"/>
          <w:szCs w:val="28"/>
          <w:lang w:val="en-US" w:eastAsia="zh-CN"/>
        </w:rPr>
        <w:t>5</w:t>
      </w:r>
      <w:r>
        <w:rPr>
          <w:rStyle w:val="20"/>
          <w:rFonts w:hint="eastAsia" w:ascii="仿宋_GB2312" w:hAnsi="仿宋_GB2312" w:cs="仿宋_GB2312"/>
          <w:color w:val="000000"/>
          <w:sz w:val="28"/>
          <w:szCs w:val="28"/>
        </w:rPr>
        <w:t>条</w:t>
      </w:r>
      <w:r>
        <w:rPr>
          <w:rStyle w:val="20"/>
          <w:rFonts w:hint="eastAsia" w:ascii="仿宋_GB2312" w:hAnsi="仿宋_GB2312" w:cs="仿宋_GB2312"/>
          <w:color w:val="000000"/>
          <w:sz w:val="28"/>
          <w:szCs w:val="28"/>
          <w:lang w:val="en-US" w:eastAsia="zh-CN"/>
        </w:rPr>
        <w:t>15个指标</w:t>
      </w:r>
      <w:r>
        <w:rPr>
          <w:rStyle w:val="20"/>
          <w:rFonts w:hint="eastAsia" w:ascii="仿宋_GB2312" w:hAnsi="仿宋_GB2312" w:cs="仿宋_GB2312"/>
          <w:color w:val="000000"/>
          <w:sz w:val="28"/>
          <w:szCs w:val="28"/>
        </w:rPr>
        <w:t>，均为数据评审指标，共</w:t>
      </w:r>
      <w:r>
        <w:rPr>
          <w:rStyle w:val="20"/>
          <w:rFonts w:hint="eastAsia" w:ascii="仿宋_GB2312" w:hAnsi="仿宋_GB2312" w:cs="仿宋_GB2312"/>
          <w:color w:val="000000"/>
          <w:sz w:val="28"/>
          <w:szCs w:val="28"/>
          <w:lang w:val="en-US" w:eastAsia="zh-CN"/>
        </w:rPr>
        <w:t>15</w:t>
      </w:r>
      <w:r>
        <w:rPr>
          <w:rStyle w:val="20"/>
          <w:rFonts w:hint="eastAsia" w:ascii="仿宋_GB2312" w:hAnsi="仿宋_GB2312" w:cs="仿宋_GB2312"/>
          <w:color w:val="000000"/>
          <w:sz w:val="28"/>
          <w:szCs w:val="28"/>
        </w:rPr>
        <w:t>分。</w:t>
      </w:r>
    </w:p>
    <w:tbl>
      <w:tblPr>
        <w:tblStyle w:val="14"/>
        <w:tblW w:w="9734" w:type="dxa"/>
        <w:jc w:val="center"/>
        <w:tblLayout w:type="autofit"/>
        <w:tblCellMar>
          <w:top w:w="0" w:type="dxa"/>
          <w:left w:w="108" w:type="dxa"/>
          <w:bottom w:w="0" w:type="dxa"/>
          <w:right w:w="108" w:type="dxa"/>
        </w:tblCellMar>
      </w:tblPr>
      <w:tblGrid>
        <w:gridCol w:w="2467"/>
        <w:gridCol w:w="2323"/>
        <w:gridCol w:w="1661"/>
        <w:gridCol w:w="3283"/>
      </w:tblGrid>
      <w:tr>
        <w:tblPrEx>
          <w:tblCellMar>
            <w:top w:w="0" w:type="dxa"/>
            <w:left w:w="108" w:type="dxa"/>
            <w:bottom w:w="0" w:type="dxa"/>
            <w:right w:w="108" w:type="dxa"/>
          </w:tblCellMar>
        </w:tblPrEx>
        <w:trPr>
          <w:trHeight w:val="567" w:hRule="atLeast"/>
          <w:tblHeader/>
          <w:jc w:val="center"/>
        </w:trPr>
        <w:tc>
          <w:tcPr>
            <w:tcW w:w="2467"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25"/>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监测指标</w:t>
            </w:r>
          </w:p>
        </w:tc>
        <w:tc>
          <w:tcPr>
            <w:tcW w:w="2323"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25"/>
              <w:spacing w:line="320" w:lineRule="exact"/>
              <w:ind w:left="105" w:leftChars="50" w:right="105" w:rightChars="50"/>
              <w:jc w:val="center"/>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指标设定</w:t>
            </w:r>
          </w:p>
        </w:tc>
        <w:tc>
          <w:tcPr>
            <w:tcW w:w="1661"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25"/>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分值</w:t>
            </w:r>
          </w:p>
        </w:tc>
        <w:tc>
          <w:tcPr>
            <w:tcW w:w="3283"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25"/>
              <w:spacing w:line="320" w:lineRule="exact"/>
              <w:ind w:left="105" w:leftChars="50" w:right="105" w:rightChars="50"/>
              <w:jc w:val="center"/>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108" w:type="dxa"/>
            <w:bottom w:w="0" w:type="dxa"/>
            <w:right w:w="108" w:type="dxa"/>
          </w:tblCellMar>
        </w:tblPrEx>
        <w:trPr>
          <w:trHeight w:val="845" w:hRule="atLeast"/>
          <w:jc w:val="center"/>
        </w:trPr>
        <w:tc>
          <w:tcPr>
            <w:tcW w:w="973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val="0"/>
                <w:bCs w:val="0"/>
                <w:color w:val="000000"/>
                <w:sz w:val="24"/>
                <w:szCs w:val="24"/>
              </w:rPr>
              <w:t>4.</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1  带状疱疹不伴</w:t>
            </w:r>
            <w:r>
              <w:rPr>
                <w:rFonts w:hint="eastAsia" w:ascii="仿宋_GB2312" w:hAnsi="仿宋_GB2312" w:eastAsia="仿宋_GB2312" w:cs="仿宋_GB2312"/>
                <w:b w:val="0"/>
                <w:bCs w:val="0"/>
                <w:color w:val="000000"/>
                <w:sz w:val="24"/>
                <w:szCs w:val="24"/>
                <w:lang w:val="en-US" w:eastAsia="zh-CN"/>
              </w:rPr>
              <w:t>有</w:t>
            </w:r>
            <w:r>
              <w:rPr>
                <w:rFonts w:hint="eastAsia" w:ascii="仿宋_GB2312" w:hAnsi="仿宋_GB2312" w:eastAsia="仿宋_GB2312" w:cs="仿宋_GB2312"/>
                <w:b w:val="0"/>
                <w:bCs w:val="0"/>
                <w:color w:val="000000"/>
                <w:sz w:val="24"/>
                <w:szCs w:val="24"/>
              </w:rPr>
              <w:t>并发症</w:t>
            </w:r>
            <w:r>
              <w:rPr>
                <w:rFonts w:hint="eastAsia" w:ascii="仿宋_GB2312" w:hAnsi="仿宋_GB2312" w:eastAsia="仿宋_GB2312" w:cs="仿宋_GB2312"/>
                <w:b/>
                <w:bCs/>
                <w:color w:val="000000"/>
                <w:sz w:val="24"/>
                <w:szCs w:val="24"/>
              </w:rPr>
              <w:t xml:space="preserve">  </w:t>
            </w:r>
          </w:p>
          <w:p>
            <w:pPr>
              <w:pStyle w:val="25"/>
              <w:spacing w:line="320" w:lineRule="exact"/>
              <w:ind w:left="105" w:leftChars="50" w:right="105" w:rightChars="50"/>
              <w:rPr>
                <w:rFonts w:ascii="仿宋_GB2312" w:hAnsi="仿宋_GB2312" w:cs="仿宋_GB2312"/>
                <w:color w:val="000000"/>
                <w:sz w:val="24"/>
                <w:szCs w:val="24"/>
              </w:rPr>
            </w:pPr>
            <w:r>
              <w:rPr>
                <w:rFonts w:hint="eastAsia" w:ascii="仿宋_GB2312" w:hAnsi="仿宋_GB2312" w:eastAsia="仿宋_GB2312" w:cs="仿宋_GB2312"/>
                <w:color w:val="000000"/>
                <w:sz w:val="24"/>
                <w:szCs w:val="24"/>
              </w:rPr>
              <w:t>主要诊断  ICD-10 编码：B02.900 的出院患者</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4.1.1.1</w:t>
            </w:r>
          </w:p>
          <w:p>
            <w:pPr>
              <w:pStyle w:val="25"/>
              <w:spacing w:line="320" w:lineRule="exact"/>
              <w:ind w:left="105" w:leftChars="50" w:right="105" w:rightChars="50"/>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平均住院日</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default"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 xml:space="preserve">4.1.1.2 </w:t>
            </w:r>
          </w:p>
          <w:p>
            <w:pPr>
              <w:pStyle w:val="25"/>
              <w:spacing w:line="320" w:lineRule="exact"/>
              <w:ind w:left="105" w:leftChars="50" w:right="105" w:rightChars="50"/>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好转率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 xml:space="preserve">4.1.1.3 </w:t>
            </w:r>
          </w:p>
          <w:p>
            <w:pPr>
              <w:pStyle w:val="25"/>
              <w:spacing w:line="320" w:lineRule="exact"/>
              <w:ind w:left="105" w:leftChars="50" w:right="105" w:rightChars="50"/>
              <w:rPr>
                <w:rFonts w:hint="eastAsia" w:ascii="仿宋_GB2312" w:hAnsi="仿宋_GB2312" w:eastAsia="仿宋_GB2312" w:cs="仿宋_GB2312"/>
                <w:color w:val="000000"/>
                <w:sz w:val="24"/>
                <w:szCs w:val="24"/>
                <w:highlight w:val="none"/>
                <w:shd w:val="clear" w:color="auto" w:fill="FFFFFF"/>
                <w:lang w:val="en-US" w:eastAsia="zh-CN" w:bidi="ar-SA"/>
              </w:rPr>
            </w:pPr>
            <w:r>
              <w:rPr>
                <w:rFonts w:hint="eastAsia" w:ascii="仿宋_GB2312" w:hAnsi="仿宋_GB2312" w:eastAsia="仿宋_GB2312" w:cs="仿宋_GB2312"/>
                <w:color w:val="000000"/>
                <w:sz w:val="24"/>
                <w:szCs w:val="24"/>
                <w:highlight w:val="none"/>
                <w:shd w:val="clear" w:color="auto" w:fill="FFFFFF"/>
                <w:lang w:val="en-US" w:eastAsia="zh-CN" w:bidi="ar-SA"/>
              </w:rPr>
              <w:t>死亡率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845" w:hRule="atLeast"/>
          <w:jc w:val="center"/>
        </w:trPr>
        <w:tc>
          <w:tcPr>
            <w:tcW w:w="973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 xml:space="preserve">2 急性荨麻疹   </w:t>
            </w:r>
          </w:p>
          <w:p>
            <w:pPr>
              <w:pStyle w:val="25"/>
              <w:spacing w:line="320" w:lineRule="exact"/>
              <w:ind w:left="105" w:leftChars="50" w:right="105" w:rightChars="50"/>
              <w:rPr>
                <w:rFonts w:ascii="仿宋_GB2312" w:hAnsi="仿宋_GB2312" w:cs="仿宋_GB2312"/>
                <w:color w:val="000000"/>
                <w:sz w:val="24"/>
                <w:szCs w:val="24"/>
              </w:rPr>
            </w:pPr>
            <w:r>
              <w:rPr>
                <w:rFonts w:hint="eastAsia" w:ascii="仿宋_GB2312" w:hAnsi="仿宋_GB2312" w:eastAsia="仿宋_GB2312" w:cs="仿宋_GB2312"/>
                <w:b w:val="0"/>
                <w:bCs w:val="0"/>
                <w:color w:val="000000"/>
                <w:sz w:val="24"/>
                <w:szCs w:val="24"/>
              </w:rPr>
              <w:t>主要诊断ICD-10 编码：L50.800</w:t>
            </w:r>
            <w:r>
              <w:rPr>
                <w:rFonts w:hint="eastAsia" w:ascii="仿宋_GB2312" w:hAnsi="仿宋_GB2312" w:eastAsia="仿宋_GB2312" w:cs="仿宋_GB2312"/>
                <w:b w:val="0"/>
                <w:bCs w:val="0"/>
                <w:color w:val="000000"/>
                <w:sz w:val="24"/>
                <w:szCs w:val="24"/>
                <w:lang w:val="en-US" w:eastAsia="zh-CN"/>
              </w:rPr>
              <w:t>至L50.801</w:t>
            </w:r>
            <w:r>
              <w:rPr>
                <w:rFonts w:hint="eastAsia" w:ascii="仿宋_GB2312" w:hAnsi="仿宋_GB2312" w:eastAsia="仿宋_GB2312" w:cs="仿宋_GB2312"/>
                <w:b w:val="0"/>
                <w:bCs w:val="0"/>
                <w:color w:val="000000"/>
                <w:sz w:val="24"/>
                <w:szCs w:val="24"/>
              </w:rPr>
              <w:t>的出院患者</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2.1</w:t>
            </w:r>
            <w:r>
              <w:rPr>
                <w:rFonts w:hint="eastAsia" w:ascii="仿宋_GB2312" w:hAnsi="仿宋_GB2312" w:eastAsia="仿宋_GB2312" w:cs="仿宋_GB2312"/>
                <w:b w:val="0"/>
                <w:bCs w:val="0"/>
                <w:color w:val="000000"/>
                <w:sz w:val="24"/>
                <w:szCs w:val="24"/>
              </w:rPr>
              <w:t xml:space="preserve"> </w:t>
            </w:r>
          </w:p>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平均住院日</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2.2</w:t>
            </w:r>
          </w:p>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好转率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 xml:space="preserve">2.3 </w:t>
            </w:r>
          </w:p>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死亡率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85" w:hRule="atLeast"/>
          <w:jc w:val="center"/>
        </w:trPr>
        <w:tc>
          <w:tcPr>
            <w:tcW w:w="973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w:t>
            </w:r>
            <w:r>
              <w:rPr>
                <w:rFonts w:hint="eastAsia" w:ascii="仿宋_GB2312" w:hAnsi="仿宋_GB2312" w:eastAsia="仿宋_GB2312" w:cs="仿宋_GB2312"/>
                <w:b w:val="0"/>
                <w:bCs w:val="0"/>
                <w:color w:val="000000"/>
                <w:sz w:val="24"/>
                <w:szCs w:val="24"/>
                <w:lang w:val="en-US" w:eastAsia="zh-CN"/>
              </w:rPr>
              <w:t>1.3寻常性银屑病</w:t>
            </w:r>
            <w:r>
              <w:rPr>
                <w:rFonts w:hint="eastAsia" w:ascii="仿宋_GB2312" w:hAnsi="仿宋_GB2312" w:eastAsia="仿宋_GB2312" w:cs="仿宋_GB2312"/>
                <w:b w:val="0"/>
                <w:bCs w:val="0"/>
                <w:color w:val="000000"/>
                <w:sz w:val="24"/>
                <w:szCs w:val="24"/>
              </w:rPr>
              <w:t xml:space="preserve">  </w:t>
            </w:r>
          </w:p>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主要诊断ICD-10 编码 L40.000的出院患者</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default" w:ascii="仿宋_GB2312" w:hAnsi="仿宋_GB2312" w:eastAsia="仿宋_GB2312" w:cs="仿宋_GB2312"/>
                <w:b w:val="0"/>
                <w:bCs w:val="0"/>
                <w:color w:val="000000"/>
                <w:sz w:val="24"/>
                <w:szCs w:val="24"/>
                <w:lang w:val="en-US"/>
              </w:rPr>
            </w:pPr>
            <w:r>
              <w:rPr>
                <w:rFonts w:hint="eastAsia" w:ascii="仿宋_GB2312" w:hAnsi="仿宋_GB2312" w:eastAsia="仿宋_GB2312" w:cs="仿宋_GB2312"/>
                <w:b w:val="0"/>
                <w:bCs w:val="0"/>
                <w:color w:val="000000"/>
                <w:sz w:val="24"/>
                <w:szCs w:val="24"/>
              </w:rPr>
              <w:t>4.</w:t>
            </w:r>
            <w:r>
              <w:rPr>
                <w:rFonts w:hint="eastAsia" w:ascii="仿宋_GB2312" w:hAnsi="仿宋_GB2312" w:eastAsia="仿宋_GB2312" w:cs="仿宋_GB2312"/>
                <w:b w:val="0"/>
                <w:bCs w:val="0"/>
                <w:color w:val="000000"/>
                <w:sz w:val="24"/>
                <w:szCs w:val="24"/>
                <w:lang w:val="en-US" w:eastAsia="zh-CN"/>
              </w:rPr>
              <w:t>1.3.1</w:t>
            </w:r>
          </w:p>
          <w:p>
            <w:pPr>
              <w:pStyle w:val="25"/>
              <w:spacing w:line="320" w:lineRule="exact"/>
              <w:ind w:left="105" w:leftChars="50" w:right="105" w:right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平均住院日</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4.1.3.2</w:t>
            </w:r>
          </w:p>
          <w:p>
            <w:pPr>
              <w:pStyle w:val="25"/>
              <w:spacing w:line="320" w:lineRule="exact"/>
              <w:ind w:left="105" w:leftChars="50" w:right="105" w:rightChars="5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4.1.3.3 </w:t>
            </w:r>
          </w:p>
          <w:p>
            <w:pPr>
              <w:pStyle w:val="25"/>
              <w:spacing w:line="320" w:lineRule="exact"/>
              <w:ind w:left="105" w:leftChars="50" w:right="105" w:rightChars="5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845" w:hRule="atLeast"/>
          <w:jc w:val="center"/>
        </w:trPr>
        <w:tc>
          <w:tcPr>
            <w:tcW w:w="973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4.1.4特应性皮炎  </w:t>
            </w:r>
          </w:p>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 编码： L20.800、L20.900、L20.900x002、L20.900x003的出院患者</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4.1.4.1 </w:t>
            </w:r>
          </w:p>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4.1.4.2  </w:t>
            </w:r>
          </w:p>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4.1.4.3 </w:t>
            </w:r>
          </w:p>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845" w:hRule="atLeast"/>
          <w:jc w:val="center"/>
        </w:trPr>
        <w:tc>
          <w:tcPr>
            <w:tcW w:w="973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4.1.5 泛发性湿疹</w:t>
            </w:r>
          </w:p>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 编码：L30.901的出院患者</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4.1.5.1 </w:t>
            </w:r>
          </w:p>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4.1.5.2 </w:t>
            </w:r>
          </w:p>
          <w:p>
            <w:pPr>
              <w:pStyle w:val="25"/>
              <w:spacing w:line="320" w:lineRule="exact"/>
              <w:ind w:left="105" w:leftChars="50"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845" w:hRule="atLeast"/>
          <w:jc w:val="center"/>
        </w:trPr>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left="105" w:leftChars="50" w:right="105" w:rightChars="50"/>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4.1.5.3 </w:t>
            </w:r>
          </w:p>
          <w:p>
            <w:pPr>
              <w:pStyle w:val="25"/>
              <w:spacing w:line="320" w:lineRule="exact"/>
              <w:ind w:left="105" w:leftChars="50" w:right="105" w:rightChars="50"/>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bl>
    <w:p>
      <w:pPr>
        <w:pStyle w:val="5"/>
        <w:bidi w:val="0"/>
        <w:rPr>
          <w:rFonts w:hint="eastAsia"/>
          <w:color w:val="000000"/>
          <w:lang w:val="en-US" w:eastAsia="zh-CN"/>
        </w:rPr>
      </w:pPr>
      <w:bookmarkStart w:id="139" w:name="_Toc87614225"/>
    </w:p>
    <w:p>
      <w:pPr>
        <w:pStyle w:val="5"/>
        <w:bidi w:val="0"/>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5"/>
        <w:bidi w:val="0"/>
        <w:rPr>
          <w:rFonts w:hint="eastAsia"/>
          <w:color w:val="000000"/>
        </w:rPr>
      </w:pPr>
      <w:bookmarkStart w:id="140" w:name="_Toc1062"/>
      <w:r>
        <w:rPr>
          <w:rFonts w:hint="eastAsia"/>
          <w:color w:val="000000"/>
          <w:lang w:val="en-US" w:eastAsia="zh-CN"/>
        </w:rPr>
        <w:br w:type="page"/>
      </w:r>
      <w:r>
        <w:rPr>
          <w:rFonts w:hint="eastAsia"/>
          <w:color w:val="000000"/>
          <w:lang w:val="en-US" w:eastAsia="zh-CN"/>
        </w:rPr>
        <w:t>二</w:t>
      </w:r>
      <w:r>
        <w:rPr>
          <w:rFonts w:hint="eastAsia"/>
          <w:color w:val="000000"/>
        </w:rPr>
        <w:t>、</w:t>
      </w:r>
      <w:bookmarkEnd w:id="139"/>
      <w:r>
        <w:rPr>
          <w:rFonts w:hint="eastAsia"/>
          <w:color w:val="000000"/>
          <w:lang w:val="en-US" w:eastAsia="zh-CN"/>
        </w:rPr>
        <w:t>重点监测病种质量控制指标（28分）</w:t>
      </w:r>
      <w:bookmarkEnd w:id="140"/>
    </w:p>
    <w:p>
      <w:pPr>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本节评审设</w:t>
      </w:r>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条</w:t>
      </w:r>
      <w:r>
        <w:rPr>
          <w:rFonts w:hint="eastAsia" w:ascii="宋体" w:hAnsi="宋体" w:cs="宋体"/>
          <w:color w:val="000000"/>
          <w:sz w:val="28"/>
          <w:szCs w:val="28"/>
          <w:shd w:val="clear" w:color="auto" w:fill="FFFFFF"/>
          <w:lang w:val="en-US" w:eastAsia="zh-CN"/>
        </w:rPr>
        <w:t>28</w:t>
      </w:r>
      <w:r>
        <w:rPr>
          <w:rFonts w:hint="eastAsia" w:ascii="宋体" w:hAnsi="宋体" w:eastAsia="宋体" w:cs="宋体"/>
          <w:color w:val="000000"/>
          <w:sz w:val="28"/>
          <w:szCs w:val="28"/>
          <w:shd w:val="clear" w:color="auto" w:fill="FFFFFF"/>
        </w:rPr>
        <w:t>个指标，共</w:t>
      </w:r>
      <w:r>
        <w:rPr>
          <w:rFonts w:hint="eastAsia" w:ascii="宋体" w:hAnsi="宋体" w:cs="宋体"/>
          <w:color w:val="000000"/>
          <w:sz w:val="28"/>
          <w:szCs w:val="28"/>
          <w:shd w:val="clear" w:color="auto" w:fill="FFFFFF"/>
          <w:lang w:val="en-US" w:eastAsia="zh-CN"/>
        </w:rPr>
        <w:t>28</w:t>
      </w:r>
      <w:r>
        <w:rPr>
          <w:rFonts w:hint="eastAsia" w:ascii="宋体" w:hAnsi="宋体" w:eastAsia="宋体" w:cs="宋体"/>
          <w:color w:val="000000"/>
          <w:sz w:val="28"/>
          <w:szCs w:val="28"/>
          <w:shd w:val="clear" w:color="auto" w:fill="FFFFFF"/>
        </w:rPr>
        <w:t>分。</w:t>
      </w:r>
    </w:p>
    <w:tbl>
      <w:tblPr>
        <w:tblStyle w:val="14"/>
        <w:tblW w:w="9764" w:type="dxa"/>
        <w:tblInd w:w="-606" w:type="dxa"/>
        <w:tblLayout w:type="autofit"/>
        <w:tblCellMar>
          <w:top w:w="0" w:type="dxa"/>
          <w:left w:w="108" w:type="dxa"/>
          <w:bottom w:w="0" w:type="dxa"/>
          <w:right w:w="108" w:type="dxa"/>
        </w:tblCellMar>
      </w:tblPr>
      <w:tblGrid>
        <w:gridCol w:w="2422"/>
        <w:gridCol w:w="2384"/>
        <w:gridCol w:w="1149"/>
        <w:gridCol w:w="3809"/>
      </w:tblGrid>
      <w:tr>
        <w:tblPrEx>
          <w:tblCellMar>
            <w:top w:w="0" w:type="dxa"/>
            <w:left w:w="108" w:type="dxa"/>
            <w:bottom w:w="0" w:type="dxa"/>
            <w:right w:w="108" w:type="dxa"/>
          </w:tblCellMar>
        </w:tblPrEx>
        <w:trPr>
          <w:trHeight w:val="655" w:hRule="atLeast"/>
          <w:tblHeader/>
        </w:trPr>
        <w:tc>
          <w:tcPr>
            <w:tcW w:w="2422"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25"/>
              <w:spacing w:line="320" w:lineRule="exact"/>
              <w:ind w:left="105" w:leftChars="50" w:right="105" w:rightChars="50"/>
              <w:jc w:val="center"/>
              <w:rPr>
                <w:rFonts w:hint="eastAsia" w:ascii="黑体" w:hAnsi="黑体" w:eastAsia="黑体" w:cs="黑体"/>
                <w:color w:val="000000"/>
                <w:sz w:val="24"/>
                <w:szCs w:val="24"/>
                <w:shd w:val="clear" w:color="auto" w:fill="FFFFFF"/>
              </w:rPr>
            </w:pPr>
            <w:r>
              <w:rPr>
                <w:rFonts w:hint="eastAsia" w:ascii="黑体" w:hAnsi="黑体" w:eastAsia="黑体" w:cs="黑体"/>
                <w:color w:val="000000"/>
                <w:sz w:val="24"/>
                <w:szCs w:val="24"/>
              </w:rPr>
              <w:t>监测指标</w:t>
            </w:r>
          </w:p>
        </w:tc>
        <w:tc>
          <w:tcPr>
            <w:tcW w:w="2384"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25"/>
              <w:spacing w:line="320" w:lineRule="exact"/>
              <w:ind w:left="105" w:leftChars="50" w:right="105" w:rightChars="50"/>
              <w:jc w:val="center"/>
              <w:rPr>
                <w:rFonts w:hint="eastAsia" w:ascii="黑体" w:hAnsi="黑体" w:eastAsia="黑体" w:cs="黑体"/>
                <w:color w:val="000000"/>
                <w:sz w:val="24"/>
                <w:szCs w:val="24"/>
                <w:shd w:val="clear" w:color="auto" w:fill="FFFFFF"/>
              </w:rPr>
            </w:pPr>
            <w:r>
              <w:rPr>
                <w:rFonts w:hint="eastAsia" w:ascii="黑体" w:hAnsi="黑体" w:eastAsia="黑体" w:cs="黑体"/>
                <w:color w:val="000000"/>
                <w:sz w:val="24"/>
                <w:szCs w:val="24"/>
                <w:lang w:val="en-US" w:eastAsia="zh-CN"/>
              </w:rPr>
              <w:t>指标设定</w:t>
            </w:r>
          </w:p>
        </w:tc>
        <w:tc>
          <w:tcPr>
            <w:tcW w:w="1149"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25"/>
              <w:spacing w:line="320" w:lineRule="exact"/>
              <w:ind w:left="105" w:leftChars="50" w:right="105" w:rightChars="50"/>
              <w:jc w:val="center"/>
              <w:rPr>
                <w:rFonts w:hint="eastAsia" w:ascii="黑体" w:hAnsi="黑体" w:eastAsia="黑体" w:cs="黑体"/>
                <w:color w:val="000000"/>
                <w:sz w:val="24"/>
                <w:szCs w:val="24"/>
                <w:shd w:val="clear" w:color="auto" w:fill="FFFFFF"/>
              </w:rPr>
            </w:pPr>
            <w:r>
              <w:rPr>
                <w:rFonts w:hint="eastAsia" w:ascii="黑体" w:hAnsi="黑体" w:eastAsia="黑体" w:cs="黑体"/>
                <w:color w:val="000000"/>
                <w:sz w:val="24"/>
                <w:szCs w:val="24"/>
              </w:rPr>
              <w:t>分值</w:t>
            </w:r>
          </w:p>
        </w:tc>
        <w:tc>
          <w:tcPr>
            <w:tcW w:w="3809"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25"/>
              <w:spacing w:line="320" w:lineRule="exact"/>
              <w:ind w:left="105" w:leftChars="50" w:right="105" w:rightChars="50"/>
              <w:jc w:val="center"/>
              <w:rPr>
                <w:rFonts w:hint="eastAsia" w:ascii="黑体" w:hAnsi="黑体" w:eastAsia="黑体" w:cs="黑体"/>
                <w:color w:val="000000"/>
                <w:sz w:val="24"/>
                <w:szCs w:val="24"/>
                <w:shd w:val="clear" w:color="auto" w:fill="FFFFFF"/>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108" w:type="dxa"/>
            <w:bottom w:w="0" w:type="dxa"/>
            <w:right w:w="108" w:type="dxa"/>
          </w:tblCellMar>
        </w:tblPrEx>
        <w:trPr>
          <w:trHeight w:val="655" w:hRule="atLeast"/>
        </w:trPr>
        <w:tc>
          <w:tcPr>
            <w:tcW w:w="976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4.2.1 天疱疮（首次住院）</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主要诊断ICD-10编码：L00.x01、L10.000至L10.900的出院患者</w:t>
            </w:r>
          </w:p>
        </w:tc>
      </w:tr>
      <w:tr>
        <w:tblPrEx>
          <w:tblCellMar>
            <w:top w:w="0" w:type="dxa"/>
            <w:left w:w="108" w:type="dxa"/>
            <w:bottom w:w="0" w:type="dxa"/>
            <w:right w:w="108" w:type="dxa"/>
          </w:tblCellMar>
        </w:tblPrEx>
        <w:trPr>
          <w:trHeight w:val="614" w:hRule="atLeast"/>
        </w:trPr>
        <w:tc>
          <w:tcPr>
            <w:tcW w:w="2422"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4.2.1.1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4.2.1.2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000000" w:sz="4" w:space="0"/>
              <w:left w:val="single" w:color="000000" w:sz="4" w:space="0"/>
              <w:bottom w:val="single" w:color="000000" w:sz="4" w:space="0"/>
              <w:right w:val="single" w:color="000000"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4.2.1.3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917" w:hRule="atLeast"/>
        </w:trPr>
        <w:tc>
          <w:tcPr>
            <w:tcW w:w="2422" w:type="dxa"/>
            <w:tcBorders>
              <w:top w:val="single" w:color="000000" w:sz="4" w:space="0"/>
              <w:left w:val="single" w:color="000000" w:sz="4" w:space="0"/>
              <w:bottom w:val="single" w:color="auto" w:sz="4" w:space="0"/>
              <w:right w:val="single" w:color="000000"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4.2.1.4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31天内非计划再次入院率</w:t>
            </w:r>
          </w:p>
        </w:tc>
        <w:tc>
          <w:tcPr>
            <w:tcW w:w="23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77" w:hRule="atLeast"/>
        </w:trPr>
        <w:tc>
          <w:tcPr>
            <w:tcW w:w="976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4.2.2红斑狼疮（首次住院）</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主要诊断ICD-10编码：L93.000至L93.202、M32.000至M32.100x001、M32.800至M32.901的出院患者</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4.2.2.1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4.2.2.2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4.2.2.3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917"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4.2.2.4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31天内非计划再次入院率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1267" w:hRule="atLeast"/>
        </w:trPr>
        <w:tc>
          <w:tcPr>
            <w:tcW w:w="976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4.2.3硬皮病（首次住院）</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主要诊断ICD-10编码：L94.000至L94.100、L94.300x001、M34.000、M34.200、M34.800、M34.900、M34.900X001、O99.800x213、P83.800x004的出院患者</w:t>
            </w:r>
          </w:p>
        </w:tc>
      </w:tr>
      <w:tr>
        <w:tblPrEx>
          <w:tblCellMar>
            <w:top w:w="0" w:type="dxa"/>
            <w:left w:w="108" w:type="dxa"/>
            <w:bottom w:w="0" w:type="dxa"/>
            <w:right w:w="108" w:type="dxa"/>
          </w:tblCellMar>
        </w:tblPrEx>
        <w:trPr>
          <w:trHeight w:val="90"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4.2.3.1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4.2.3.2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4.2.3.3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917"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4.2.3.4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31天内非计划再次入院率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1095" w:hRule="atLeast"/>
        </w:trPr>
        <w:tc>
          <w:tcPr>
            <w:tcW w:w="976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4.2.4红皮病（首次住院）</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主要诊断ICD-10编码：L21.100x002、L53.901、O99.703的出院患者</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4.2.4.1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4.2.4.2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4.2.4.3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917"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4.2.4.4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31天内非计划再次入院率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1339" w:hRule="atLeast"/>
        </w:trPr>
        <w:tc>
          <w:tcPr>
            <w:tcW w:w="976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4.2.5慢性光化性皮炎（首次住院）</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主要诊断ICD-10编码：L57.801、L59.801的出院患者</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4.2.5.1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4.2.5.2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4.2.5.3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917"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4.2.5.4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31天内非计划再次入院率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1344" w:hRule="atLeast"/>
        </w:trPr>
        <w:tc>
          <w:tcPr>
            <w:tcW w:w="976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4.2.6皮肌炎/多发性肌炎（首次住院）</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主要诊断ICD-10编码：D48.904+M36.0*、M33.000、M33.100至M33.101、M33.200x001的出院患者</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4.2.6.1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4.2.6.2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4.3.6.3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917"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4.2.6.4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31天内非计划</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再次入院率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1262" w:hRule="atLeast"/>
        </w:trPr>
        <w:tc>
          <w:tcPr>
            <w:tcW w:w="976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4.2.7重症多形红斑/中毒性表皮坏死松解型药疹（首次住院）</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主要诊断ICD-10编码：L51.100至L51.200、L51.900x003的出院患者</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4.2.7.1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平均住院日</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4.2.7.2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死亡率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614"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4.2.7.3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好转率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监测比较，逐步提高。</w:t>
            </w:r>
          </w:p>
        </w:tc>
      </w:tr>
      <w:tr>
        <w:tblPrEx>
          <w:tblCellMar>
            <w:top w:w="0" w:type="dxa"/>
            <w:left w:w="108" w:type="dxa"/>
            <w:bottom w:w="0" w:type="dxa"/>
            <w:right w:w="108" w:type="dxa"/>
          </w:tblCellMar>
        </w:tblPrEx>
        <w:trPr>
          <w:trHeight w:val="1057" w:hRule="atLeast"/>
        </w:trPr>
        <w:tc>
          <w:tcPr>
            <w:tcW w:w="2422"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4.2.7.4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31天内非计划再次入院率</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bl>
    <w:p>
      <w:pPr>
        <w:pStyle w:val="5"/>
        <w:bidi w:val="0"/>
        <w:rPr>
          <w:rFonts w:hint="eastAsia"/>
          <w:color w:val="000000"/>
          <w:lang w:val="en-US" w:eastAsia="zh-CN"/>
        </w:rPr>
      </w:pPr>
    </w:p>
    <w:p>
      <w:pPr>
        <w:pStyle w:val="5"/>
        <w:bidi w:val="0"/>
        <w:rPr>
          <w:rFonts w:hint="eastAsia"/>
          <w:color w:val="000000"/>
          <w:lang w:val="en-US" w:eastAsia="zh-CN"/>
        </w:rPr>
      </w:pPr>
    </w:p>
    <w:p>
      <w:pPr>
        <w:pStyle w:val="5"/>
        <w:bidi w:val="0"/>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2"/>
        <w:rPr>
          <w:rFonts w:hint="eastAsia"/>
          <w:color w:val="000000"/>
          <w:lang w:val="en-US" w:eastAsia="zh-CN"/>
        </w:rPr>
      </w:pPr>
    </w:p>
    <w:p>
      <w:pPr>
        <w:rPr>
          <w:rFonts w:hint="eastAsia"/>
          <w:color w:val="000000"/>
          <w:lang w:val="en-US" w:eastAsia="zh-CN"/>
        </w:rPr>
      </w:pPr>
    </w:p>
    <w:p>
      <w:pPr>
        <w:pStyle w:val="5"/>
        <w:bidi w:val="0"/>
        <w:rPr>
          <w:rFonts w:hint="eastAsia"/>
          <w:color w:val="000000"/>
          <w:lang w:val="en-US" w:eastAsia="zh-CN"/>
        </w:rPr>
      </w:pPr>
    </w:p>
    <w:p>
      <w:pPr>
        <w:pStyle w:val="5"/>
        <w:bidi w:val="0"/>
        <w:rPr>
          <w:rFonts w:hint="eastAsia"/>
          <w:color w:val="000000"/>
        </w:rPr>
      </w:pPr>
      <w:bookmarkStart w:id="141" w:name="_Toc24108"/>
      <w:r>
        <w:rPr>
          <w:rFonts w:hint="eastAsia"/>
          <w:color w:val="000000"/>
          <w:lang w:val="en-US" w:eastAsia="zh-CN"/>
        </w:rPr>
        <w:br w:type="page"/>
      </w:r>
      <w:r>
        <w:rPr>
          <w:rFonts w:hint="eastAsia"/>
          <w:color w:val="000000"/>
          <w:lang w:val="en-US" w:eastAsia="zh-CN"/>
        </w:rPr>
        <w:t>三</w:t>
      </w:r>
      <w:r>
        <w:rPr>
          <w:rFonts w:hint="eastAsia"/>
          <w:color w:val="000000"/>
        </w:rPr>
        <w:t>、</w:t>
      </w:r>
      <w:r>
        <w:rPr>
          <w:rFonts w:hint="eastAsia"/>
          <w:color w:val="000000"/>
          <w:lang w:val="en-US" w:eastAsia="zh-CN"/>
        </w:rPr>
        <w:t>重点监测术种质量控制指标（15分）</w:t>
      </w:r>
      <w:bookmarkEnd w:id="141"/>
    </w:p>
    <w:p>
      <w:pPr>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本节评审设</w:t>
      </w:r>
      <w:r>
        <w:rPr>
          <w:rFonts w:hint="eastAsia" w:ascii="宋体" w:hAnsi="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rPr>
        <w:t>条</w:t>
      </w: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rPr>
        <w:t>个指标，共</w:t>
      </w:r>
      <w:r>
        <w:rPr>
          <w:rFonts w:hint="eastAsia" w:ascii="宋体" w:hAnsi="宋体" w:cs="宋体"/>
          <w:color w:val="000000"/>
          <w:sz w:val="28"/>
          <w:szCs w:val="28"/>
          <w:shd w:val="clear" w:color="auto" w:fill="FFFFFF"/>
          <w:lang w:val="en-US" w:eastAsia="zh-CN"/>
        </w:rPr>
        <w:t>15</w:t>
      </w:r>
      <w:r>
        <w:rPr>
          <w:rFonts w:hint="eastAsia" w:ascii="宋体" w:hAnsi="宋体" w:eastAsia="宋体" w:cs="宋体"/>
          <w:color w:val="000000"/>
          <w:sz w:val="28"/>
          <w:szCs w:val="28"/>
          <w:shd w:val="clear" w:color="auto" w:fill="FFFFFF"/>
        </w:rPr>
        <w:t>分。</w:t>
      </w:r>
    </w:p>
    <w:tbl>
      <w:tblPr>
        <w:tblStyle w:val="14"/>
        <w:tblW w:w="9794" w:type="dxa"/>
        <w:tblInd w:w="-636" w:type="dxa"/>
        <w:tblLayout w:type="autofit"/>
        <w:tblCellMar>
          <w:top w:w="0" w:type="dxa"/>
          <w:left w:w="108" w:type="dxa"/>
          <w:bottom w:w="0" w:type="dxa"/>
          <w:right w:w="108" w:type="dxa"/>
        </w:tblCellMar>
      </w:tblPr>
      <w:tblGrid>
        <w:gridCol w:w="2485"/>
        <w:gridCol w:w="2351"/>
        <w:gridCol w:w="1116"/>
        <w:gridCol w:w="3842"/>
      </w:tblGrid>
      <w:tr>
        <w:tblPrEx>
          <w:tblCellMar>
            <w:top w:w="0" w:type="dxa"/>
            <w:left w:w="108" w:type="dxa"/>
            <w:bottom w:w="0" w:type="dxa"/>
            <w:right w:w="108" w:type="dxa"/>
          </w:tblCellMar>
        </w:tblPrEx>
        <w:trPr>
          <w:trHeight w:val="640" w:hRule="atLeast"/>
        </w:trPr>
        <w:tc>
          <w:tcPr>
            <w:tcW w:w="248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5"/>
              <w:spacing w:line="320" w:lineRule="exact"/>
              <w:ind w:left="105" w:leftChars="50" w:right="105" w:rightChars="5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rPr>
              <w:t>监测指标</w:t>
            </w:r>
          </w:p>
        </w:tc>
        <w:tc>
          <w:tcPr>
            <w:tcW w:w="23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5"/>
              <w:spacing w:line="320" w:lineRule="exact"/>
              <w:ind w:left="105" w:leftChars="50" w:right="105" w:rightChars="5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lang w:val="en-US" w:eastAsia="zh-CN"/>
              </w:rPr>
              <w:t>指标设定</w:t>
            </w:r>
          </w:p>
        </w:tc>
        <w:tc>
          <w:tcPr>
            <w:tcW w:w="111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5"/>
              <w:spacing w:line="320" w:lineRule="exact"/>
              <w:ind w:left="105" w:leftChars="50" w:right="105" w:rightChars="5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rPr>
              <w:t>分值</w:t>
            </w:r>
          </w:p>
        </w:tc>
        <w:tc>
          <w:tcPr>
            <w:tcW w:w="3842"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5"/>
              <w:spacing w:line="320" w:lineRule="exact"/>
              <w:ind w:left="105" w:leftChars="50" w:right="105" w:rightChars="5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rPr>
              <w:t>评分</w:t>
            </w:r>
            <w:r>
              <w:rPr>
                <w:rFonts w:hint="eastAsia" w:ascii="黑体" w:hAnsi="黑体" w:eastAsia="黑体" w:cs="黑体"/>
                <w:color w:val="000000"/>
                <w:sz w:val="24"/>
                <w:szCs w:val="24"/>
                <w:lang w:val="en-US" w:eastAsia="zh-CN"/>
              </w:rPr>
              <w:t>指标导向</w:t>
            </w:r>
          </w:p>
        </w:tc>
      </w:tr>
      <w:tr>
        <w:tblPrEx>
          <w:tblCellMar>
            <w:top w:w="0" w:type="dxa"/>
            <w:left w:w="108" w:type="dxa"/>
            <w:bottom w:w="0" w:type="dxa"/>
            <w:right w:w="108" w:type="dxa"/>
          </w:tblCellMar>
        </w:tblPrEx>
        <w:trPr>
          <w:trHeight w:val="964" w:hRule="atLeast"/>
        </w:trPr>
        <w:tc>
          <w:tcPr>
            <w:tcW w:w="979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4.3.1皮肤恶性肿瘤物莫氏(Mohs)显微描记切除术</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主要手术编码：86.2400x001的出院患者</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4.3.1.1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围手术期并发症发生率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4.3.1.2</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31天内重返手术率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4.3.1.3</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术后2周内感染率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979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4.3.2 带蒂皮瓣或皮瓣移植术。</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所有手术编码：86.7000至86.7504的出院患者。</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4.3.2.1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围手术期并发症发生率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4.3.2.2</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31天内重返手术率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4.3.2.3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术后2周内感染率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979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4.3.3皮肤赘生物去除术</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所有手术编码：86.3x10x071至86.3x12的出院患者</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4.3.3.1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围手术期并发症发生率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4.3.3.2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31天内重返手术率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4.3.3.3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术后2周内感染率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979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4.3.4皮片移植术。</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所有手术编码：86.6000至86.6304；86.6900至86.6906的出院患者。</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4.3.4.1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围手术期并发症发生率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4.3.4.2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31天内重返手术率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4.3.4.3  </w:t>
            </w:r>
          </w:p>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术后2周内感染率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9794" w:type="dxa"/>
            <w:gridSpan w:val="4"/>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4.3.5 皮肤病损根治切除术，所有手术编码：86.4x01至86.4x03的出院患者</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4.3.5.1    </w:t>
            </w:r>
          </w:p>
          <w:p>
            <w:pPr>
              <w:pStyle w:val="25"/>
              <w:spacing w:line="320" w:lineRule="exact"/>
              <w:ind w:right="105" w:rightChars="50"/>
              <w:jc w:val="left"/>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围手术期并发症发生率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4.3.5.2</w:t>
            </w:r>
          </w:p>
          <w:p>
            <w:pPr>
              <w:pStyle w:val="25"/>
              <w:spacing w:line="320" w:lineRule="exact"/>
              <w:ind w:right="105" w:rightChars="50"/>
              <w:jc w:val="left"/>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31天内重返手术率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r>
        <w:tblPrEx>
          <w:tblCellMar>
            <w:top w:w="0" w:type="dxa"/>
            <w:left w:w="108" w:type="dxa"/>
            <w:bottom w:w="0" w:type="dxa"/>
            <w:right w:w="108" w:type="dxa"/>
          </w:tblCellMar>
        </w:tblPrEx>
        <w:trPr>
          <w:trHeight w:val="9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4.3.5.3</w:t>
            </w:r>
          </w:p>
          <w:p>
            <w:pPr>
              <w:pStyle w:val="25"/>
              <w:spacing w:line="320" w:lineRule="exact"/>
              <w:ind w:right="105" w:rightChars="50"/>
              <w:jc w:val="left"/>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术后2周内感染率</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定量指标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1</w:t>
            </w:r>
          </w:p>
        </w:tc>
        <w:tc>
          <w:tcPr>
            <w:tcW w:w="3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pPr>
            <w:r>
              <w:rPr>
                <w:rFonts w:hint="eastAsia" w:ascii="仿宋_GB2312" w:hAnsi="Calibri" w:eastAsia="仿宋_GB2312" w:cs="仿宋_GB2312"/>
                <w:b w:val="0"/>
                <w:bCs w:val="0"/>
                <w:i w:val="0"/>
                <w:iCs w:val="0"/>
                <w:color w:val="000000"/>
                <w:spacing w:val="0"/>
                <w:w w:val="100"/>
                <w:kern w:val="2"/>
                <w:sz w:val="24"/>
                <w:szCs w:val="24"/>
                <w:vertAlign w:val="baseline"/>
                <w:lang w:val="en-US" w:eastAsia="zh-CN" w:bidi="ar-SA"/>
              </w:rPr>
              <w:t>监测比较，逐步降低。</w:t>
            </w:r>
          </w:p>
        </w:tc>
      </w:tr>
    </w:tbl>
    <w:p>
      <w:pPr>
        <w:pStyle w:val="2"/>
        <w:rPr>
          <w:color w:val="000000"/>
        </w:rPr>
      </w:pPr>
    </w:p>
    <w:p>
      <w:pPr>
        <w:rPr>
          <w:color w:val="000000"/>
        </w:rPr>
      </w:pPr>
    </w:p>
    <w:p>
      <w:pPr>
        <w:pStyle w:val="2"/>
        <w:rPr>
          <w:color w:val="00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76"/>
    <w:bookmarkEnd w:id="77"/>
    <w:bookmarkEnd w:id="78"/>
    <w:bookmarkEnd w:id="79"/>
    <w:p>
      <w:pPr>
        <w:pStyle w:val="3"/>
        <w:bidi w:val="0"/>
        <w:rPr>
          <w:rFonts w:hint="eastAsia"/>
          <w:color w:val="000000"/>
          <w:lang w:val="en-US" w:eastAsia="zh-CN"/>
        </w:rPr>
      </w:pPr>
      <w:bookmarkStart w:id="142" w:name="_Toc890"/>
      <w:bookmarkStart w:id="143" w:name="_Toc8746"/>
      <w:r>
        <w:rPr>
          <w:rFonts w:hint="eastAsia"/>
          <w:color w:val="000000"/>
          <w:lang w:val="en-US" w:eastAsia="zh-CN"/>
        </w:rPr>
        <w:t>第三部分   现场检查（共400分）</w:t>
      </w:r>
      <w:bookmarkEnd w:id="142"/>
      <w:bookmarkEnd w:id="143"/>
      <w:bookmarkStart w:id="144" w:name="_Toc30400"/>
    </w:p>
    <w:p>
      <w:pPr>
        <w:pStyle w:val="4"/>
        <w:bidi w:val="0"/>
        <w:rPr>
          <w:rFonts w:hint="default"/>
          <w:color w:val="000000"/>
          <w:lang w:val="en-US" w:eastAsia="zh-CN"/>
        </w:rPr>
      </w:pPr>
      <w:bookmarkStart w:id="145" w:name="_Toc19371"/>
      <w:bookmarkStart w:id="146" w:name="_Toc21554"/>
      <w:r>
        <w:rPr>
          <w:rFonts w:hint="eastAsia"/>
          <w:color w:val="000000"/>
          <w:lang w:val="en-US" w:eastAsia="zh-CN"/>
        </w:rPr>
        <w:t xml:space="preserve">第一章 </w:t>
      </w:r>
      <w:r>
        <w:rPr>
          <w:rFonts w:hint="eastAsia"/>
          <w:color w:val="000000"/>
        </w:rPr>
        <w:t>医院功能与任务（</w:t>
      </w:r>
      <w:r>
        <w:rPr>
          <w:rFonts w:hint="eastAsia"/>
          <w:color w:val="000000"/>
          <w:lang w:val="en-US" w:eastAsia="zh-CN"/>
        </w:rPr>
        <w:t>32</w:t>
      </w:r>
      <w:r>
        <w:rPr>
          <w:rFonts w:hint="eastAsia"/>
          <w:color w:val="000000"/>
        </w:rPr>
        <w:t>分）</w:t>
      </w:r>
      <w:bookmarkEnd w:id="145"/>
      <w:bookmarkEnd w:id="146"/>
    </w:p>
    <w:bookmarkEnd w:id="144"/>
    <w:p>
      <w:pPr>
        <w:pStyle w:val="5"/>
        <w:bidi w:val="0"/>
        <w:rPr>
          <w:rFonts w:hint="eastAsia"/>
          <w:color w:val="000000"/>
        </w:rPr>
      </w:pPr>
      <w:bookmarkStart w:id="147" w:name="_Toc31273"/>
      <w:bookmarkStart w:id="148" w:name="_Toc10115"/>
      <w:r>
        <w:rPr>
          <w:rFonts w:hint="eastAsia"/>
          <w:color w:val="000000"/>
        </w:rPr>
        <w:t>一、</w:t>
      </w:r>
      <w:r>
        <w:rPr>
          <w:rFonts w:hint="eastAsia"/>
          <w:color w:val="000000"/>
          <w:lang w:val="en-US" w:eastAsia="zh-CN"/>
        </w:rPr>
        <w:t>依据</w:t>
      </w:r>
      <w:r>
        <w:rPr>
          <w:rFonts w:hint="eastAsia"/>
          <w:color w:val="000000"/>
        </w:rPr>
        <w:t>医院的功能任务，确定医院的发展目标和中长期发展规划</w:t>
      </w:r>
      <w:r>
        <w:rPr>
          <w:rFonts w:hint="eastAsia"/>
          <w:color w:val="000000"/>
          <w:lang w:val="en-US" w:eastAsia="zh-CN"/>
        </w:rPr>
        <w:t>（6分）</w:t>
      </w:r>
      <w:bookmarkEnd w:id="147"/>
      <w:bookmarkEnd w:id="14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9"/>
        <w:gridCol w:w="3793"/>
        <w:gridCol w:w="1429"/>
        <w:gridCol w:w="713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5262" w:type="dxa"/>
            <w:gridSpan w:val="3"/>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eastAsia="zh-CN"/>
              </w:rPr>
              <w:t>细则</w:t>
            </w:r>
          </w:p>
        </w:tc>
        <w:tc>
          <w:tcPr>
            <w:tcW w:w="1429"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7136"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875" w:type="dxa"/>
            <w:shd w:val="clear" w:color="auto" w:fill="FEF2CC"/>
            <w:noWrap w:val="0"/>
            <w:vAlign w:val="center"/>
          </w:tcPr>
          <w:p>
            <w:pPr>
              <w:pStyle w:val="25"/>
              <w:spacing w:line="320" w:lineRule="exact"/>
              <w:ind w:right="105" w:rightChars="5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702" w:type="dxa"/>
            <w:gridSpan w:val="6"/>
            <w:noWrap w:val="0"/>
            <w:vAlign w:val="center"/>
          </w:tcPr>
          <w:p>
            <w:pPr>
              <w:pStyle w:val="24"/>
              <w:spacing w:line="320" w:lineRule="exact"/>
              <w:jc w:val="left"/>
              <w:rPr>
                <w:rFonts w:hint="eastAsia" w:ascii="仿宋_GB2312" w:hAnsi="仿宋_GB2312" w:eastAsia="仿宋_GB2312" w:cs="仿宋_GB2312"/>
                <w:color w:val="000000"/>
                <w:sz w:val="24"/>
                <w:szCs w:val="24"/>
              </w:rPr>
            </w:pPr>
          </w:p>
          <w:p>
            <w:pPr>
              <w:pStyle w:val="24"/>
              <w:spacing w:line="320" w:lineRule="exact"/>
              <w:jc w:val="left"/>
              <w:rPr>
                <w:rFonts w:hint="eastAsia" w:ascii="仿宋_GB2312" w:hAnsi="仿宋_GB2312" w:eastAsia="仿宋_GB2312" w:cs="仿宋_GB2312"/>
                <w:strike/>
                <w:dstrike w:val="0"/>
                <w:color w:val="000000"/>
                <w:sz w:val="24"/>
                <w:szCs w:val="24"/>
                <w:lang w:eastAsia="zh-CN"/>
              </w:rPr>
            </w:pPr>
            <w:r>
              <w:rPr>
                <w:rFonts w:hint="eastAsia" w:ascii="仿宋_GB2312" w:hAnsi="仿宋_GB2312" w:eastAsia="仿宋_GB2312" w:cs="仿宋_GB2312"/>
                <w:color w:val="000000"/>
                <w:sz w:val="24"/>
                <w:szCs w:val="24"/>
              </w:rPr>
              <w:t>（一）医院的功能与任务，符合本区域卫生发展规划（2分）</w:t>
            </w:r>
            <w:r>
              <w:rPr>
                <w:rFonts w:hint="eastAsia" w:ascii="仿宋_GB2312" w:hAnsi="仿宋_GB2312" w:eastAsia="仿宋_GB2312" w:cs="仿宋_GB2312"/>
                <w:color w:val="000000"/>
                <w:sz w:val="24"/>
                <w:szCs w:val="24"/>
                <w:lang w:eastAsia="zh-CN"/>
              </w:rPr>
              <w:t>。</w:t>
            </w:r>
          </w:p>
          <w:p>
            <w:pPr>
              <w:pStyle w:val="25"/>
              <w:spacing w:line="320" w:lineRule="exact"/>
              <w:ind w:right="105" w:rightChars="50"/>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69"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1.1.1.1</w:t>
            </w:r>
          </w:p>
        </w:tc>
        <w:tc>
          <w:tcPr>
            <w:tcW w:w="3793"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医院有明确的功能和任务。</w:t>
            </w:r>
          </w:p>
        </w:tc>
        <w:tc>
          <w:tcPr>
            <w:tcW w:w="1429"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rPr>
                <w:rFonts w:hint="eastAsia" w:ascii="仿宋_GB2312" w:hAnsi="仿宋_GB2312" w:eastAsia="仿宋_GB2312" w:cs="仿宋_GB2312"/>
                <w:color w:val="000000"/>
                <w:kern w:val="0"/>
                <w:sz w:val="24"/>
                <w:szCs w:val="24"/>
              </w:rPr>
            </w:pPr>
            <w:r>
              <w:rPr>
                <w:rStyle w:val="27"/>
                <w:rFonts w:hint="eastAsia" w:ascii="仿宋_GB2312" w:hAnsi="仿宋_GB2312" w:eastAsia="仿宋_GB2312" w:cs="仿宋_GB2312"/>
                <w:color w:val="000000"/>
                <w:sz w:val="24"/>
                <w:szCs w:val="24"/>
              </w:rPr>
              <w:t>记录查看</w:t>
            </w:r>
          </w:p>
        </w:tc>
        <w:tc>
          <w:tcPr>
            <w:tcW w:w="7136" w:type="dxa"/>
            <w:noWrap w:val="0"/>
            <w:vAlign w:val="center"/>
          </w:tcPr>
          <w:p>
            <w:pPr>
              <w:pStyle w:val="25"/>
              <w:spacing w:line="320" w:lineRule="exact"/>
              <w:ind w:right="105" w:rightChars="5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1.查阅</w:t>
            </w:r>
            <w:r>
              <w:rPr>
                <w:rFonts w:hint="eastAsia" w:ascii="仿宋_GB2312" w:hAnsi="仿宋_GB2312" w:eastAsia="仿宋_GB2312" w:cs="仿宋_GB2312"/>
                <w:color w:val="000000"/>
                <w:sz w:val="24"/>
                <w:szCs w:val="24"/>
                <w:lang w:eastAsia="zh-CN"/>
              </w:rPr>
              <w:t>医院制定的章程是否体现明确的功能与任务</w:t>
            </w:r>
            <w:r>
              <w:rPr>
                <w:rFonts w:hint="eastAsia" w:ascii="仿宋_GB2312" w:hAnsi="仿宋_GB2312" w:eastAsia="仿宋_GB2312" w:cs="仿宋_GB2312"/>
                <w:color w:val="000000"/>
                <w:sz w:val="24"/>
                <w:szCs w:val="24"/>
              </w:rPr>
              <w:t>（0.5分）；</w:t>
            </w:r>
          </w:p>
        </w:tc>
        <w:tc>
          <w:tcPr>
            <w:tcW w:w="875" w:type="dxa"/>
            <w:vMerge w:val="restart"/>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93"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29"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36" w:type="dxa"/>
            <w:noWrap w:val="0"/>
            <w:vAlign w:val="center"/>
          </w:tcPr>
          <w:p>
            <w:pPr>
              <w:pStyle w:val="25"/>
              <w:spacing w:line="320" w:lineRule="exact"/>
              <w:ind w:right="105" w:rightChars="5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医疗诊疗科目是否满足医院功能与任务的需要</w:t>
            </w:r>
            <w:r>
              <w:rPr>
                <w:rFonts w:hint="eastAsia" w:ascii="仿宋_GB2312" w:hAnsi="仿宋_GB2312" w:eastAsia="仿宋_GB2312" w:cs="仿宋_GB2312"/>
                <w:color w:val="000000"/>
                <w:sz w:val="24"/>
                <w:szCs w:val="24"/>
              </w:rPr>
              <w:t>（0.5分）。</w:t>
            </w:r>
          </w:p>
        </w:tc>
        <w:tc>
          <w:tcPr>
            <w:tcW w:w="875"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69"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1.1.1.2</w:t>
            </w:r>
          </w:p>
        </w:tc>
        <w:tc>
          <w:tcPr>
            <w:tcW w:w="3793"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功能和任务符合本区域卫生发展规划。</w:t>
            </w:r>
          </w:p>
        </w:tc>
        <w:tc>
          <w:tcPr>
            <w:tcW w:w="1429"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记录查看</w:t>
            </w:r>
          </w:p>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人员访谈</w:t>
            </w:r>
          </w:p>
        </w:tc>
        <w:tc>
          <w:tcPr>
            <w:tcW w:w="7136" w:type="dxa"/>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1.查阅医院中长期规划</w:t>
            </w:r>
            <w:r>
              <w:rPr>
                <w:rFonts w:hint="eastAsia" w:ascii="仿宋_GB2312" w:hAnsi="仿宋_GB2312" w:eastAsia="仿宋_GB2312" w:cs="仿宋_GB2312"/>
                <w:color w:val="000000"/>
                <w:sz w:val="24"/>
                <w:szCs w:val="24"/>
                <w:lang w:eastAsia="zh-CN"/>
              </w:rPr>
              <w:t>是否依据</w:t>
            </w:r>
            <w:r>
              <w:rPr>
                <w:rFonts w:hint="eastAsia" w:ascii="仿宋_GB2312" w:hAnsi="仿宋_GB2312" w:eastAsia="仿宋_GB2312" w:cs="仿宋_GB2312"/>
                <w:color w:val="000000"/>
                <w:sz w:val="24"/>
                <w:szCs w:val="24"/>
              </w:rPr>
              <w:t>自治区或所在市</w:t>
            </w:r>
            <w:r>
              <w:rPr>
                <w:rFonts w:hint="eastAsia" w:ascii="仿宋_GB2312" w:hAnsi="仿宋_GB2312" w:eastAsia="仿宋_GB2312" w:cs="仿宋_GB2312"/>
                <w:color w:val="000000"/>
                <w:sz w:val="24"/>
                <w:szCs w:val="24"/>
                <w:lang w:eastAsia="zh-CN"/>
              </w:rPr>
              <w:t>（县）区域卫生发展规划制定</w:t>
            </w:r>
            <w:r>
              <w:rPr>
                <w:rFonts w:hint="eastAsia" w:ascii="仿宋_GB2312" w:hAnsi="仿宋_GB2312" w:eastAsia="仿宋_GB2312" w:cs="仿宋_GB2312"/>
                <w:color w:val="000000"/>
                <w:sz w:val="24"/>
                <w:szCs w:val="24"/>
              </w:rPr>
              <w:t>（0.3分）；</w:t>
            </w:r>
          </w:p>
        </w:tc>
        <w:tc>
          <w:tcPr>
            <w:tcW w:w="875" w:type="dxa"/>
            <w:vMerge w:val="restart"/>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69" w:type="dxa"/>
            <w:gridSpan w:val="2"/>
            <w:vMerge w:val="continue"/>
            <w:noWrap w:val="0"/>
            <w:vAlign w:val="center"/>
          </w:tcPr>
          <w:p>
            <w:pPr>
              <w:pStyle w:val="25"/>
              <w:spacing w:line="320" w:lineRule="exact"/>
              <w:ind w:left="105" w:leftChars="50" w:right="105" w:rightChars="50" w:firstLine="120" w:firstLineChars="50"/>
              <w:rPr>
                <w:rFonts w:hint="eastAsia" w:ascii="仿宋_GB2312" w:hAnsi="仿宋_GB2312" w:eastAsia="仿宋_GB2312" w:cs="仿宋_GB2312"/>
                <w:color w:val="000000"/>
                <w:sz w:val="24"/>
                <w:szCs w:val="24"/>
              </w:rPr>
            </w:pPr>
          </w:p>
        </w:tc>
        <w:tc>
          <w:tcPr>
            <w:tcW w:w="3793" w:type="dxa"/>
            <w:vMerge w:val="continue"/>
            <w:noWrap w:val="0"/>
            <w:vAlign w:val="center"/>
          </w:tcPr>
          <w:p>
            <w:pPr>
              <w:pStyle w:val="25"/>
              <w:spacing w:line="320" w:lineRule="exact"/>
              <w:ind w:left="105" w:leftChars="50" w:right="105" w:rightChars="50" w:firstLine="120" w:firstLineChars="50"/>
              <w:rPr>
                <w:rFonts w:hint="eastAsia" w:ascii="仿宋_GB2312" w:hAnsi="仿宋_GB2312" w:eastAsia="仿宋_GB2312" w:cs="仿宋_GB2312"/>
                <w:color w:val="000000"/>
                <w:sz w:val="24"/>
                <w:szCs w:val="24"/>
              </w:rPr>
            </w:pPr>
          </w:p>
        </w:tc>
        <w:tc>
          <w:tcPr>
            <w:tcW w:w="1429" w:type="dxa"/>
            <w:vMerge w:val="continue"/>
            <w:noWrap w:val="0"/>
            <w:vAlign w:val="center"/>
          </w:tcPr>
          <w:p>
            <w:pPr>
              <w:pStyle w:val="25"/>
              <w:spacing w:line="320" w:lineRule="exact"/>
              <w:ind w:left="105" w:leftChars="50" w:right="105" w:rightChars="50" w:firstLine="120" w:firstLineChars="50"/>
              <w:rPr>
                <w:rFonts w:hint="eastAsia" w:ascii="仿宋_GB2312" w:hAnsi="仿宋_GB2312" w:eastAsia="仿宋_GB2312" w:cs="仿宋_GB2312"/>
                <w:color w:val="000000"/>
                <w:sz w:val="24"/>
                <w:szCs w:val="24"/>
              </w:rPr>
            </w:pPr>
          </w:p>
        </w:tc>
        <w:tc>
          <w:tcPr>
            <w:tcW w:w="7136" w:type="dxa"/>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医院中长期规划目标、步骤、工作措施符合当地区域卫生发展规划要求</w:t>
            </w:r>
            <w:r>
              <w:rPr>
                <w:rFonts w:hint="eastAsia" w:ascii="仿宋_GB2312" w:hAnsi="仿宋_GB2312" w:eastAsia="仿宋_GB2312" w:cs="仿宋_GB2312"/>
                <w:i w:val="0"/>
                <w:iCs w:val="0"/>
                <w:color w:val="000000"/>
                <w:kern w:val="0"/>
                <w:sz w:val="24"/>
                <w:szCs w:val="24"/>
                <w:u w:val="none"/>
                <w:lang w:val="en-US" w:eastAsia="zh-CN" w:bidi="ar"/>
              </w:rPr>
              <w:t>（0.3分）；</w:t>
            </w:r>
          </w:p>
        </w:tc>
        <w:tc>
          <w:tcPr>
            <w:tcW w:w="875" w:type="dxa"/>
            <w:vMerge w:val="continue"/>
            <w:noWrap w:val="0"/>
            <w:vAlign w:val="center"/>
          </w:tcPr>
          <w:p>
            <w:pPr>
              <w:pStyle w:val="25"/>
              <w:spacing w:line="320" w:lineRule="exact"/>
              <w:ind w:left="105" w:leftChars="50" w:right="105" w:rightChars="50" w:firstLine="120" w:firstLineChars="5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69" w:type="dxa"/>
            <w:gridSpan w:val="2"/>
            <w:vMerge w:val="continue"/>
            <w:noWrap w:val="0"/>
            <w:vAlign w:val="center"/>
          </w:tcPr>
          <w:p>
            <w:pPr>
              <w:pStyle w:val="25"/>
              <w:spacing w:line="320" w:lineRule="exact"/>
              <w:ind w:left="105" w:leftChars="50" w:right="105" w:rightChars="50" w:firstLine="120" w:firstLineChars="50"/>
              <w:rPr>
                <w:rFonts w:hint="eastAsia" w:ascii="仿宋_GB2312" w:hAnsi="仿宋_GB2312" w:eastAsia="仿宋_GB2312" w:cs="仿宋_GB2312"/>
                <w:color w:val="000000"/>
                <w:sz w:val="24"/>
                <w:szCs w:val="24"/>
              </w:rPr>
            </w:pPr>
          </w:p>
        </w:tc>
        <w:tc>
          <w:tcPr>
            <w:tcW w:w="3793" w:type="dxa"/>
            <w:vMerge w:val="continue"/>
            <w:noWrap w:val="0"/>
            <w:vAlign w:val="center"/>
          </w:tcPr>
          <w:p>
            <w:pPr>
              <w:pStyle w:val="25"/>
              <w:spacing w:line="320" w:lineRule="exact"/>
              <w:ind w:left="105" w:leftChars="50" w:right="105" w:rightChars="50" w:firstLine="120" w:firstLineChars="50"/>
              <w:rPr>
                <w:rFonts w:hint="eastAsia" w:ascii="仿宋_GB2312" w:hAnsi="仿宋_GB2312" w:eastAsia="仿宋_GB2312" w:cs="仿宋_GB2312"/>
                <w:color w:val="000000"/>
                <w:sz w:val="24"/>
                <w:szCs w:val="24"/>
              </w:rPr>
            </w:pPr>
          </w:p>
        </w:tc>
        <w:tc>
          <w:tcPr>
            <w:tcW w:w="1429" w:type="dxa"/>
            <w:vMerge w:val="continue"/>
            <w:noWrap w:val="0"/>
            <w:vAlign w:val="center"/>
          </w:tcPr>
          <w:p>
            <w:pPr>
              <w:pStyle w:val="25"/>
              <w:spacing w:line="320" w:lineRule="exact"/>
              <w:ind w:left="105" w:leftChars="50" w:right="105" w:rightChars="50" w:firstLine="120" w:firstLineChars="50"/>
              <w:rPr>
                <w:rFonts w:hint="eastAsia" w:ascii="仿宋_GB2312" w:hAnsi="仿宋_GB2312" w:eastAsia="仿宋_GB2312" w:cs="仿宋_GB2312"/>
                <w:color w:val="000000"/>
                <w:sz w:val="24"/>
                <w:szCs w:val="24"/>
              </w:rPr>
            </w:pPr>
          </w:p>
        </w:tc>
        <w:tc>
          <w:tcPr>
            <w:tcW w:w="7136" w:type="dxa"/>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3.访谈人员10名，员工知晓医院的宗旨、核心理念、目标和功能定位（0.4分）。</w:t>
            </w:r>
          </w:p>
        </w:tc>
        <w:tc>
          <w:tcPr>
            <w:tcW w:w="875" w:type="dxa"/>
            <w:vMerge w:val="continue"/>
            <w:noWrap w:val="0"/>
            <w:vAlign w:val="center"/>
          </w:tcPr>
          <w:p>
            <w:pPr>
              <w:pStyle w:val="25"/>
              <w:spacing w:line="320" w:lineRule="exact"/>
              <w:ind w:left="105" w:leftChars="50" w:right="105" w:rightChars="50" w:firstLine="120" w:firstLineChars="5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702" w:type="dxa"/>
            <w:gridSpan w:val="6"/>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（二）制定医院中长期规划与年度计划，医院规模和发展目标与医院的功能任务一致（2分）。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69"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1.1.2.1</w:t>
            </w:r>
          </w:p>
        </w:tc>
        <w:tc>
          <w:tcPr>
            <w:tcW w:w="3793"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医院制定中长期规划及年度计划，并经职工代表大会或院长办公会通过。</w:t>
            </w:r>
          </w:p>
        </w:tc>
        <w:tc>
          <w:tcPr>
            <w:tcW w:w="1429"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记录查看</w:t>
            </w:r>
          </w:p>
        </w:tc>
        <w:tc>
          <w:tcPr>
            <w:tcW w:w="7136" w:type="dxa"/>
            <w:noWrap w:val="0"/>
            <w:vAlign w:val="center"/>
          </w:tcPr>
          <w:p>
            <w:pPr>
              <w:pStyle w:val="25"/>
              <w:spacing w:line="320" w:lineRule="exact"/>
              <w:ind w:right="105" w:rightChars="5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1.医院</w:t>
            </w:r>
            <w:r>
              <w:rPr>
                <w:rFonts w:hint="eastAsia" w:ascii="仿宋_GB2312" w:hAnsi="仿宋_GB2312" w:eastAsia="仿宋_GB2312" w:cs="仿宋_GB2312"/>
                <w:color w:val="000000"/>
                <w:sz w:val="24"/>
                <w:szCs w:val="24"/>
                <w:lang w:val="en-US" w:eastAsia="zh-CN"/>
              </w:rPr>
              <w:t>制定有</w:t>
            </w:r>
            <w:r>
              <w:rPr>
                <w:rFonts w:hint="eastAsia" w:ascii="仿宋_GB2312" w:hAnsi="仿宋_GB2312" w:eastAsia="仿宋_GB2312" w:cs="仿宋_GB2312"/>
                <w:color w:val="000000"/>
                <w:sz w:val="24"/>
                <w:szCs w:val="24"/>
              </w:rPr>
              <w:t>近两个五年规划（0.4分）；</w:t>
            </w:r>
          </w:p>
        </w:tc>
        <w:tc>
          <w:tcPr>
            <w:tcW w:w="875" w:type="dxa"/>
            <w:vMerge w:val="restart"/>
            <w:noWrap w:val="0"/>
            <w:vAlign w:val="center"/>
          </w:tcPr>
          <w:p>
            <w:pPr>
              <w:pStyle w:val="25"/>
              <w:spacing w:line="320" w:lineRule="exact"/>
              <w:ind w:right="105" w:rightChars="50"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93"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29"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36" w:type="dxa"/>
            <w:noWrap w:val="0"/>
            <w:vAlign w:val="center"/>
          </w:tcPr>
          <w:p>
            <w:pPr>
              <w:pStyle w:val="25"/>
              <w:spacing w:line="320" w:lineRule="exact"/>
              <w:ind w:right="105" w:rightChars="5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制定有</w:t>
            </w:r>
            <w:r>
              <w:rPr>
                <w:rFonts w:hint="eastAsia" w:ascii="仿宋_GB2312" w:hAnsi="仿宋_GB2312" w:eastAsia="仿宋_GB2312" w:cs="仿宋_GB2312"/>
                <w:color w:val="000000"/>
                <w:sz w:val="24"/>
                <w:szCs w:val="24"/>
              </w:rPr>
              <w:t>医院</w:t>
            </w:r>
            <w:r>
              <w:rPr>
                <w:rFonts w:hint="eastAsia" w:ascii="仿宋_GB2312" w:hAnsi="仿宋_GB2312" w:eastAsia="仿宋_GB2312" w:cs="仿宋_GB2312"/>
                <w:color w:val="000000"/>
                <w:sz w:val="24"/>
                <w:szCs w:val="24"/>
                <w:lang w:eastAsia="zh-CN"/>
              </w:rPr>
              <w:t>评审周期各年度计划</w:t>
            </w:r>
            <w:r>
              <w:rPr>
                <w:rFonts w:hint="eastAsia" w:ascii="仿宋_GB2312" w:hAnsi="仿宋_GB2312" w:eastAsia="仿宋_GB2312" w:cs="仿宋_GB2312"/>
                <w:color w:val="000000"/>
                <w:sz w:val="24"/>
                <w:szCs w:val="24"/>
              </w:rPr>
              <w:t>（0.3分）；</w:t>
            </w:r>
          </w:p>
        </w:tc>
        <w:tc>
          <w:tcPr>
            <w:tcW w:w="875"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p>
        </w:tc>
        <w:tc>
          <w:tcPr>
            <w:tcW w:w="3793"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p>
        </w:tc>
        <w:tc>
          <w:tcPr>
            <w:tcW w:w="1429"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p>
        </w:tc>
        <w:tc>
          <w:tcPr>
            <w:tcW w:w="7136" w:type="dxa"/>
            <w:noWrap w:val="0"/>
            <w:vAlign w:val="center"/>
          </w:tcPr>
          <w:p>
            <w:pPr>
              <w:pStyle w:val="25"/>
              <w:spacing w:line="320" w:lineRule="exact"/>
              <w:ind w:right="105" w:rightChars="50"/>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有</w:t>
            </w:r>
            <w:r>
              <w:rPr>
                <w:rFonts w:hint="eastAsia" w:ascii="仿宋_GB2312" w:hAnsi="仿宋_GB2312" w:eastAsia="仿宋_GB2312" w:cs="仿宋_GB2312"/>
                <w:color w:val="000000"/>
                <w:sz w:val="24"/>
                <w:szCs w:val="24"/>
              </w:rPr>
              <w:t>经职工代表大会或院长办公会通过的会议资料（0.3分）</w:t>
            </w:r>
            <w:r>
              <w:rPr>
                <w:rFonts w:hint="eastAsia" w:ascii="仿宋_GB2312" w:hAnsi="仿宋_GB2312" w:cs="仿宋_GB2312"/>
                <w:color w:val="000000"/>
                <w:sz w:val="24"/>
                <w:szCs w:val="24"/>
                <w:lang w:eastAsia="zh-CN"/>
              </w:rPr>
              <w:t>。</w:t>
            </w:r>
          </w:p>
        </w:tc>
        <w:tc>
          <w:tcPr>
            <w:tcW w:w="875"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469"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1.1.2.2</w:t>
            </w:r>
          </w:p>
        </w:tc>
        <w:tc>
          <w:tcPr>
            <w:tcW w:w="3793"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医院规模和发展目标与医院的功能任务一致。</w:t>
            </w:r>
          </w:p>
        </w:tc>
        <w:tc>
          <w:tcPr>
            <w:tcW w:w="1429"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记录查看</w:t>
            </w:r>
          </w:p>
        </w:tc>
        <w:tc>
          <w:tcPr>
            <w:tcW w:w="7136" w:type="dxa"/>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医院中长期发展规划和年度工作计划符合医院高质量发展的要求，有推动“三个转变、三个提高”的具体措施，逐步实现发展方式从规模扩张转向提质增效，运行模式从粗放管理转向精细化管理，资源配置从注重物质要素转向更加注重人才技术要素</w:t>
            </w:r>
            <w:r>
              <w:rPr>
                <w:rFonts w:hint="eastAsia" w:ascii="仿宋_GB2312" w:hAnsi="仿宋_GB2312" w:eastAsia="仿宋_GB2312" w:cs="仿宋_GB2312"/>
                <w:color w:val="000000"/>
                <w:sz w:val="24"/>
                <w:szCs w:val="24"/>
              </w:rPr>
              <w:t>（0.5分）；</w:t>
            </w:r>
          </w:p>
        </w:tc>
        <w:tc>
          <w:tcPr>
            <w:tcW w:w="875" w:type="dxa"/>
            <w:vMerge w:val="restart"/>
            <w:noWrap w:val="0"/>
            <w:vAlign w:val="center"/>
          </w:tcPr>
          <w:p>
            <w:pPr>
              <w:pStyle w:val="25"/>
              <w:spacing w:line="320" w:lineRule="exact"/>
              <w:ind w:right="105" w:rightChars="50"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93"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29"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36" w:type="dxa"/>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2.医院规模和发展目标与医院的功能任务一致，充分体现医院的宗旨与愿景，并采取多形式、多途径公示和宣传（0.5分）。</w:t>
            </w:r>
          </w:p>
        </w:tc>
        <w:tc>
          <w:tcPr>
            <w:tcW w:w="875"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702" w:type="dxa"/>
            <w:gridSpan w:val="6"/>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（三）医院有承担服务区域内急危重症和疑难疾病诊疗的设施设备、技术梯队与处置能力（</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0"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1.1.3</w:t>
            </w:r>
            <w:r>
              <w:rPr>
                <w:rFonts w:hint="eastAsia" w:ascii="仿宋_GB2312" w:hAnsi="仿宋_GB2312" w:eastAsia="仿宋_GB2312" w:cs="仿宋_GB2312"/>
                <w:color w:val="000000"/>
                <w:sz w:val="24"/>
                <w:szCs w:val="24"/>
                <w:lang w:val="en-US" w:eastAsia="zh-CN"/>
              </w:rPr>
              <w:t>.1</w:t>
            </w:r>
          </w:p>
        </w:tc>
        <w:tc>
          <w:tcPr>
            <w:tcW w:w="3812"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医院具备服务区域与</w:t>
            </w:r>
            <w:r>
              <w:rPr>
                <w:rFonts w:hint="eastAsia" w:ascii="仿宋_GB2312" w:hAnsi="仿宋_GB2312" w:eastAsia="仿宋_GB2312" w:cs="仿宋_GB2312"/>
                <w:color w:val="000000"/>
                <w:kern w:val="0"/>
                <w:sz w:val="24"/>
                <w:szCs w:val="24"/>
                <w:lang w:val="en-US" w:eastAsia="zh-CN"/>
              </w:rPr>
              <w:t>皮肤</w:t>
            </w:r>
            <w:r>
              <w:rPr>
                <w:rFonts w:hint="eastAsia" w:ascii="仿宋_GB2312" w:hAnsi="仿宋_GB2312" w:eastAsia="仿宋_GB2312" w:cs="仿宋_GB2312"/>
                <w:color w:val="000000"/>
                <w:kern w:val="0"/>
                <w:sz w:val="24"/>
                <w:szCs w:val="24"/>
              </w:rPr>
              <w:t>相关疑难</w:t>
            </w:r>
            <w:r>
              <w:rPr>
                <w:rFonts w:hint="eastAsia" w:ascii="仿宋_GB2312" w:hAnsi="仿宋_GB2312" w:eastAsia="仿宋_GB2312" w:cs="仿宋_GB2312"/>
                <w:color w:val="000000"/>
                <w:kern w:val="0"/>
                <w:sz w:val="24"/>
                <w:szCs w:val="24"/>
                <w:lang w:val="en-US" w:eastAsia="zh-CN"/>
              </w:rPr>
              <w:t>病</w:t>
            </w:r>
            <w:r>
              <w:rPr>
                <w:rFonts w:hint="eastAsia" w:ascii="仿宋_GB2312" w:hAnsi="仿宋_GB2312" w:eastAsia="仿宋_GB2312" w:cs="仿宋_GB2312"/>
                <w:color w:val="000000"/>
                <w:kern w:val="0"/>
                <w:sz w:val="24"/>
                <w:szCs w:val="24"/>
              </w:rPr>
              <w:t>诊疗的设施设备、技术梯队。</w:t>
            </w:r>
          </w:p>
        </w:tc>
        <w:tc>
          <w:tcPr>
            <w:tcW w:w="1429" w:type="dxa"/>
            <w:vMerge w:val="restart"/>
            <w:noWrap w:val="0"/>
            <w:vAlign w:val="center"/>
          </w:tcPr>
          <w:p>
            <w:pPr>
              <w:spacing w:line="320" w:lineRule="exact"/>
              <w:ind w:left="105" w:leftChars="50"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7136" w:type="dxa"/>
            <w:noWrap w:val="0"/>
            <w:vAlign w:val="center"/>
          </w:tcPr>
          <w:p>
            <w:pPr>
              <w:pStyle w:val="25"/>
              <w:spacing w:line="320" w:lineRule="exact"/>
              <w:ind w:right="105" w:rightChars="5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1.查看评审周期年度内门诊、住院前20顺位，包含本地区常见病、多发病、急危重症和疑难疾病（0.</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875" w:type="dxa"/>
            <w:vMerge w:val="restart"/>
            <w:noWrap w:val="0"/>
            <w:vAlign w:val="center"/>
          </w:tcPr>
          <w:p>
            <w:pPr>
              <w:pStyle w:val="25"/>
              <w:spacing w:line="320" w:lineRule="exact"/>
              <w:ind w:right="105" w:rightChars="50"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5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812"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29"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36" w:type="dxa"/>
            <w:noWrap w:val="0"/>
            <w:vAlign w:val="center"/>
          </w:tcPr>
          <w:p>
            <w:pPr>
              <w:pStyle w:val="25"/>
              <w:spacing w:line="320" w:lineRule="exact"/>
              <w:ind w:right="105" w:rightChars="50"/>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shd w:val="clear" w:color="auto" w:fill="FFFFFF"/>
              </w:rPr>
              <w:t>2</w:t>
            </w:r>
            <w:r>
              <w:rPr>
                <w:rFonts w:hint="eastAsia" w:ascii="仿宋_GB2312" w:hAnsi="仿宋_GB2312" w:eastAsia="仿宋_GB2312" w:cs="仿宋_GB2312"/>
                <w:color w:val="000000"/>
                <w:sz w:val="24"/>
                <w:szCs w:val="24"/>
                <w:shd w:val="clear" w:color="auto" w:fill="FFFFFF"/>
                <w:lang w:val="en-US" w:eastAsia="zh-CN"/>
              </w:rPr>
              <w:t>.涉及皮肤病</w:t>
            </w:r>
            <w:r>
              <w:rPr>
                <w:rFonts w:hint="eastAsia" w:ascii="仿宋_GB2312" w:hAnsi="仿宋_GB2312" w:eastAsia="仿宋_GB2312" w:cs="仿宋_GB2312"/>
                <w:i w:val="0"/>
                <w:iCs w:val="0"/>
                <w:color w:val="000000"/>
                <w:kern w:val="0"/>
                <w:sz w:val="24"/>
                <w:szCs w:val="24"/>
                <w:u w:val="none"/>
                <w:lang w:val="en-US" w:eastAsia="zh-CN" w:bidi="ar"/>
              </w:rPr>
              <w:t>急危重症和疑难病诊疗的设施设备齐全</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w:t>
            </w:r>
          </w:p>
        </w:tc>
        <w:tc>
          <w:tcPr>
            <w:tcW w:w="875"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5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c>
          <w:tcPr>
            <w:tcW w:w="3812"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c>
          <w:tcPr>
            <w:tcW w:w="1429"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c>
          <w:tcPr>
            <w:tcW w:w="7136" w:type="dxa"/>
            <w:noWrap w:val="0"/>
            <w:vAlign w:val="center"/>
          </w:tcPr>
          <w:p>
            <w:pPr>
              <w:pStyle w:val="25"/>
              <w:spacing w:line="320" w:lineRule="exact"/>
              <w:ind w:right="105" w:rightChars="50"/>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shd w:val="clear" w:color="auto" w:fill="FFFFFF"/>
              </w:rPr>
              <w:t>3</w:t>
            </w:r>
            <w:r>
              <w:rPr>
                <w:rFonts w:hint="eastAsia" w:ascii="仿宋_GB2312" w:hAnsi="仿宋_GB2312" w:eastAsia="仿宋_GB2312" w:cs="仿宋_GB2312"/>
                <w:color w:val="000000"/>
                <w:sz w:val="24"/>
                <w:szCs w:val="24"/>
                <w:shd w:val="clear" w:color="auto" w:fill="FFFFFF"/>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具备承担本区域急危重症和疑难疾病诊疗技术梯队与处置能力</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w:t>
            </w:r>
          </w:p>
        </w:tc>
        <w:tc>
          <w:tcPr>
            <w:tcW w:w="875"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50"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1.1.3.2</w:t>
            </w:r>
          </w:p>
        </w:tc>
        <w:tc>
          <w:tcPr>
            <w:tcW w:w="3812"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sz w:val="24"/>
                <w:szCs w:val="24"/>
              </w:rPr>
              <w:t>医院具备服务区域内</w:t>
            </w:r>
            <w:r>
              <w:rPr>
                <w:rFonts w:hint="eastAsia" w:ascii="仿宋_GB2312" w:hAnsi="仿宋_GB2312" w:eastAsia="仿宋_GB2312" w:cs="仿宋_GB2312"/>
                <w:color w:val="000000"/>
                <w:sz w:val="24"/>
                <w:szCs w:val="24"/>
                <w:lang w:val="en-US" w:eastAsia="zh-CN"/>
              </w:rPr>
              <w:t>与皮肤相关</w:t>
            </w:r>
            <w:r>
              <w:rPr>
                <w:rFonts w:hint="eastAsia" w:ascii="仿宋_GB2312" w:hAnsi="仿宋_GB2312" w:eastAsia="仿宋_GB2312" w:cs="仿宋_GB2312"/>
                <w:color w:val="000000"/>
                <w:sz w:val="24"/>
                <w:szCs w:val="24"/>
              </w:rPr>
              <w:t>急危重症和疑难疾病诊疗的处置能力</w:t>
            </w:r>
            <w:r>
              <w:rPr>
                <w:rFonts w:hint="eastAsia" w:ascii="仿宋_GB2312" w:hAnsi="仿宋_GB2312" w:eastAsia="仿宋_GB2312" w:cs="仿宋_GB2312"/>
                <w:color w:val="000000"/>
                <w:sz w:val="24"/>
                <w:szCs w:val="24"/>
                <w:lang w:eastAsia="zh-CN"/>
              </w:rPr>
              <w:t>。</w:t>
            </w:r>
          </w:p>
        </w:tc>
        <w:tc>
          <w:tcPr>
            <w:tcW w:w="1429"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pStyle w:val="25"/>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现场检查</w:t>
            </w:r>
          </w:p>
        </w:tc>
        <w:tc>
          <w:tcPr>
            <w:tcW w:w="7136" w:type="dxa"/>
            <w:noWrap w:val="0"/>
            <w:vAlign w:val="center"/>
          </w:tcPr>
          <w:p>
            <w:pPr>
              <w:pStyle w:val="25"/>
              <w:spacing w:line="320" w:lineRule="exact"/>
              <w:ind w:right="105" w:rightChars="5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i w:val="0"/>
                <w:iCs w:val="0"/>
                <w:color w:val="000000"/>
                <w:kern w:val="0"/>
                <w:sz w:val="24"/>
                <w:szCs w:val="24"/>
                <w:u w:val="none"/>
                <w:lang w:val="en-US" w:eastAsia="zh-CN" w:bidi="ar"/>
              </w:rPr>
              <w:t>查看评审周期内开展实际救治工作的记录</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分）；</w:t>
            </w:r>
          </w:p>
        </w:tc>
        <w:tc>
          <w:tcPr>
            <w:tcW w:w="875" w:type="dxa"/>
            <w:vMerge w:val="restart"/>
            <w:noWrap w:val="0"/>
            <w:vAlign w:val="center"/>
          </w:tcPr>
          <w:p>
            <w:pPr>
              <w:pStyle w:val="25"/>
              <w:spacing w:line="320" w:lineRule="exact"/>
              <w:ind w:right="105" w:rightChars="50"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812"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29"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36" w:type="dxa"/>
            <w:noWrap w:val="0"/>
            <w:vAlign w:val="center"/>
          </w:tcPr>
          <w:p>
            <w:pPr>
              <w:pStyle w:val="25"/>
              <w:spacing w:line="320" w:lineRule="exact"/>
              <w:ind w:right="105" w:rightChars="50"/>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highlight w:val="none"/>
              </w:rPr>
              <w:t>2.</w:t>
            </w:r>
            <w:r>
              <w:rPr>
                <w:rFonts w:hint="eastAsia" w:ascii="仿宋_GB2312" w:hAnsi="仿宋_GB2312" w:eastAsia="仿宋_GB2312" w:cs="仿宋_GB2312"/>
                <w:i w:val="0"/>
                <w:iCs w:val="0"/>
                <w:color w:val="000000"/>
                <w:kern w:val="0"/>
                <w:sz w:val="24"/>
                <w:szCs w:val="24"/>
                <w:highlight w:val="none"/>
                <w:u w:val="none"/>
                <w:lang w:val="en-US" w:eastAsia="zh-CN" w:bidi="ar"/>
              </w:rPr>
              <w:t>获重点专科、重点学科、疑难病会诊中心等</w:t>
            </w:r>
            <w:r>
              <w:rPr>
                <w:rFonts w:hint="eastAsia" w:ascii="仿宋_GB2312" w:hAnsi="仿宋_GB2312" w:eastAsia="仿宋_GB2312" w:cs="仿宋_GB2312"/>
                <w:color w:val="000000"/>
                <w:sz w:val="24"/>
                <w:szCs w:val="24"/>
                <w:highlight w:val="none"/>
              </w:rPr>
              <w:t>（0.</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分）；</w:t>
            </w:r>
          </w:p>
        </w:tc>
        <w:tc>
          <w:tcPr>
            <w:tcW w:w="875"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5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c>
          <w:tcPr>
            <w:tcW w:w="3812"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c>
          <w:tcPr>
            <w:tcW w:w="1429"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c>
          <w:tcPr>
            <w:tcW w:w="7136" w:type="dxa"/>
            <w:noWrap w:val="0"/>
            <w:vAlign w:val="center"/>
          </w:tcPr>
          <w:p>
            <w:pPr>
              <w:pStyle w:val="25"/>
              <w:spacing w:line="320" w:lineRule="exact"/>
              <w:ind w:right="105" w:rightChars="50"/>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3.医学影像、检验检查等相关诊疗科室排班表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体现24小时值班</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分）</w:t>
            </w:r>
            <w:r>
              <w:rPr>
                <w:rFonts w:hint="eastAsia" w:ascii="仿宋_GB2312" w:hAnsi="仿宋_GB2312" w:cs="仿宋_GB2312"/>
                <w:color w:val="000000"/>
                <w:sz w:val="24"/>
                <w:szCs w:val="24"/>
                <w:lang w:eastAsia="zh-CN"/>
              </w:rPr>
              <w:t>。</w:t>
            </w:r>
          </w:p>
        </w:tc>
        <w:tc>
          <w:tcPr>
            <w:tcW w:w="875"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val="en-US" w:eastAsia="zh-CN"/>
              </w:rPr>
            </w:pPr>
          </w:p>
        </w:tc>
      </w:tr>
    </w:tbl>
    <w:p>
      <w:pPr>
        <w:pStyle w:val="5"/>
        <w:bidi w:val="0"/>
        <w:rPr>
          <w:rFonts w:hint="eastAsia"/>
          <w:color w:val="000000"/>
          <w:lang w:eastAsia="zh-CN"/>
        </w:rPr>
      </w:pPr>
    </w:p>
    <w:p>
      <w:pPr>
        <w:pStyle w:val="5"/>
        <w:bidi w:val="0"/>
        <w:rPr>
          <w:rFonts w:hint="eastAsia"/>
          <w:color w:val="000000"/>
          <w:lang w:eastAsia="zh-CN"/>
        </w:rPr>
      </w:pPr>
      <w:bookmarkStart w:id="149" w:name="_Toc496"/>
    </w:p>
    <w:p>
      <w:pPr>
        <w:pStyle w:val="5"/>
        <w:bidi w:val="0"/>
        <w:rPr>
          <w:rFonts w:hint="eastAsia"/>
          <w:color w:val="000000"/>
          <w:lang w:eastAsia="zh-CN"/>
        </w:rPr>
      </w:pPr>
    </w:p>
    <w:p>
      <w:pPr>
        <w:pStyle w:val="5"/>
        <w:bidi w:val="0"/>
        <w:rPr>
          <w:rFonts w:hint="eastAsia"/>
          <w:color w:val="000000"/>
          <w:lang w:eastAsia="zh-CN"/>
        </w:rPr>
      </w:pPr>
    </w:p>
    <w:p>
      <w:pPr>
        <w:pStyle w:val="5"/>
        <w:bidi w:val="0"/>
        <w:rPr>
          <w:rFonts w:hint="eastAsia"/>
          <w:color w:val="000000"/>
          <w:lang w:val="en-US" w:eastAsia="zh-CN"/>
        </w:rPr>
      </w:pPr>
      <w:bookmarkStart w:id="150" w:name="_Toc1794"/>
      <w:r>
        <w:rPr>
          <w:rFonts w:hint="eastAsia"/>
          <w:color w:val="000000"/>
          <w:lang w:eastAsia="zh-CN"/>
        </w:rPr>
        <w:t>二、</w:t>
      </w:r>
      <w:r>
        <w:rPr>
          <w:rFonts w:hint="eastAsia"/>
          <w:color w:val="000000"/>
        </w:rPr>
        <w:t>坚持医院的公益性，把社会效益放在首位，履行相应的社会责任和义务</w:t>
      </w:r>
      <w:r>
        <w:rPr>
          <w:rFonts w:hint="eastAsia"/>
          <w:color w:val="000000"/>
          <w:lang w:eastAsia="zh-CN"/>
        </w:rPr>
        <w:t>（</w:t>
      </w:r>
      <w:r>
        <w:rPr>
          <w:rFonts w:hint="eastAsia"/>
          <w:color w:val="000000"/>
          <w:lang w:val="en-US" w:eastAsia="zh-CN"/>
        </w:rPr>
        <w:t>7分）</w:t>
      </w:r>
      <w:bookmarkEnd w:id="149"/>
      <w:bookmarkEnd w:id="150"/>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8"/>
        <w:gridCol w:w="3770"/>
        <w:gridCol w:w="1484"/>
        <w:gridCol w:w="7104"/>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trPr>
        <w:tc>
          <w:tcPr>
            <w:tcW w:w="5239" w:type="dxa"/>
            <w:gridSpan w:val="3"/>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eastAsia="zh-CN"/>
              </w:rPr>
              <w:t>细则</w:t>
            </w:r>
          </w:p>
        </w:tc>
        <w:tc>
          <w:tcPr>
            <w:tcW w:w="1484"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7104"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912"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39" w:type="dxa"/>
            <w:gridSpan w:val="6"/>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（四）坚持医院的公益性，履行相应的社会责任和义务（</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69"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.1</w:t>
            </w:r>
          </w:p>
        </w:tc>
        <w:tc>
          <w:tcPr>
            <w:tcW w:w="3770"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制定保障基本医疗卫生服务的相关制度与规范。</w:t>
            </w:r>
          </w:p>
        </w:tc>
        <w:tc>
          <w:tcPr>
            <w:tcW w:w="1484" w:type="dxa"/>
            <w:vMerge w:val="restart"/>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记录查看</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员工访谈</w:t>
            </w: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1.有系统、规范、符合本院实际的医院工作制度与人员岗位职责（0.3分）；</w:t>
            </w:r>
          </w:p>
        </w:tc>
        <w:tc>
          <w:tcPr>
            <w:tcW w:w="912" w:type="dxa"/>
            <w:vMerge w:val="restart"/>
            <w:noWrap w:val="0"/>
            <w:vAlign w:val="center"/>
          </w:tcPr>
          <w:p>
            <w:pPr>
              <w:pStyle w:val="25"/>
              <w:tabs>
                <w:tab w:val="center" w:pos="303"/>
              </w:tabs>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2.有系统、规范、符合本院实际的医院诊疗规范与技术操作规程（0.2分）；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3.有符合医改要求，保障基本医疗服务有效供给、保障患者安全、优化服务流程便民惠民和合理控制诊疗费用的制度安排和具体措施（0.5分）；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4.职能部门进行持续监管及对医保服务执行情况分析整改（0.2分）；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5.访谈员工知晓医保相关政策情况（0.3分）。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69"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.2</w:t>
            </w:r>
          </w:p>
        </w:tc>
        <w:tc>
          <w:tcPr>
            <w:tcW w:w="3770"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参加并完成政府部门指定的社会公益性任务。</w:t>
            </w:r>
          </w:p>
        </w:tc>
        <w:tc>
          <w:tcPr>
            <w:tcW w:w="1484"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记录查看</w:t>
            </w:r>
          </w:p>
        </w:tc>
        <w:tc>
          <w:tcPr>
            <w:tcW w:w="7104" w:type="dxa"/>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1.医院有保障承担政府公益性任务的制度文件(0.</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分)；</w:t>
            </w:r>
          </w:p>
        </w:tc>
        <w:tc>
          <w:tcPr>
            <w:tcW w:w="912" w:type="dxa"/>
            <w:vMerge w:val="restart"/>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69" w:type="dxa"/>
            <w:gridSpan w:val="2"/>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7104" w:type="dxa"/>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2.完成政府指定的公益性任务(0.</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w:t>
            </w:r>
          </w:p>
        </w:tc>
        <w:tc>
          <w:tcPr>
            <w:tcW w:w="912" w:type="dxa"/>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469" w:type="dxa"/>
            <w:gridSpan w:val="2"/>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7104" w:type="dxa"/>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3.对承担政府公益性任务的分析总结，体现持续改进（0.</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分）。</w:t>
            </w:r>
          </w:p>
        </w:tc>
        <w:tc>
          <w:tcPr>
            <w:tcW w:w="912" w:type="dxa"/>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469" w:type="dxa"/>
            <w:gridSpan w:val="2"/>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.3</w:t>
            </w:r>
          </w:p>
        </w:tc>
        <w:tc>
          <w:tcPr>
            <w:tcW w:w="3770" w:type="dxa"/>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医疗机构住院和门诊患者平均医疗费用年均增幅低于本区域GDP 年均增幅。</w:t>
            </w:r>
          </w:p>
        </w:tc>
        <w:tc>
          <w:tcPr>
            <w:tcW w:w="1484" w:type="dxa"/>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文件查阅</w:t>
            </w:r>
          </w:p>
        </w:tc>
        <w:tc>
          <w:tcPr>
            <w:tcW w:w="7104" w:type="dxa"/>
            <w:noWrap w:val="0"/>
            <w:vAlign w:val="center"/>
          </w:tcPr>
          <w:p>
            <w:pPr>
              <w:pStyle w:val="25"/>
              <w:tabs>
                <w:tab w:val="left" w:pos="906"/>
              </w:tabs>
              <w:spacing w:line="320" w:lineRule="exact"/>
              <w:ind w:right="105" w:rightChars="5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评审周期内每年度低于本自治区GDP得0.125分，共0.5分；无评审周期内各年数据及分析总结不得分（0.5分）。</w:t>
            </w:r>
          </w:p>
        </w:tc>
        <w:tc>
          <w:tcPr>
            <w:tcW w:w="912" w:type="dxa"/>
            <w:noWrap w:val="0"/>
            <w:vAlign w:val="center"/>
          </w:tcPr>
          <w:p>
            <w:pPr>
              <w:pStyle w:val="25"/>
              <w:numPr>
                <w:ilvl w:val="0"/>
                <w:numId w:val="0"/>
              </w:numPr>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739" w:type="dxa"/>
            <w:gridSpan w:val="6"/>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五）根据《中华人民共和国传染病防治法》《中华人民共和国食品安全法》和《突发公共卫生事件应急条例》等相关法律法规承担传染病的发现、救治、报告、预防等任务。定期对全体医务人员进行传染病防治知识和技能培训与处置演练（</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69"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.1</w:t>
            </w:r>
          </w:p>
        </w:tc>
        <w:tc>
          <w:tcPr>
            <w:tcW w:w="3770" w:type="dxa"/>
            <w:vMerge w:val="restart"/>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制定传染病工作制度、流程和规范，按要求开展传染病监测报告、预防工作，定期对全体医务人员进行传染病防治知识和技能培训与处置演练。</w:t>
            </w:r>
          </w:p>
        </w:tc>
        <w:tc>
          <w:tcPr>
            <w:tcW w:w="1484" w:type="dxa"/>
            <w:vMerge w:val="restart"/>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员工访谈</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现场查看</w:t>
            </w:r>
          </w:p>
        </w:tc>
        <w:tc>
          <w:tcPr>
            <w:tcW w:w="710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1.建立传染病工作制度、流程，按要求开展传染病监测工作（0.4分）；</w:t>
            </w:r>
          </w:p>
        </w:tc>
        <w:tc>
          <w:tcPr>
            <w:tcW w:w="912" w:type="dxa"/>
            <w:vMerge w:val="restart"/>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69" w:type="dxa"/>
            <w:gridSpan w:val="2"/>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p>
        </w:tc>
        <w:tc>
          <w:tcPr>
            <w:tcW w:w="710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2.传染病报告及时、准确，处置得当；有针对性开展传染病预防工作（0.4分）；</w:t>
            </w:r>
          </w:p>
        </w:tc>
        <w:tc>
          <w:tcPr>
            <w:tcW w:w="912" w:type="dxa"/>
            <w:vMerge w:val="continue"/>
            <w:noWrap w:val="0"/>
            <w:vAlign w:val="center"/>
          </w:tcPr>
          <w:p>
            <w:pPr>
              <w:pStyle w:val="25"/>
              <w:spacing w:line="320" w:lineRule="exact"/>
              <w:ind w:left="105" w:leftChars="50" w:right="105" w:rightChars="50" w:firstLine="480" w:firstLineChars="2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3.设置发热诊室、传染病预检分诊室，落实院感及传染病管理制度，职能部门监督检查落实情况（0.4分）；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4.每年至少一次对全体医务人员进行传染病防治知识和技能培训与处置演练（0.4分)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69"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770"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5.有应对突发传染病处置的演练、总结分析及改进措施（0.4分）。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739" w:type="dxa"/>
            <w:gridSpan w:val="6"/>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（六）按照《国家基本药物临床应用指南》和《中国国家处方集》及医院药品使用管理有关规定，规范医师处方行为，优先合理使用基本药物(2分)。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31"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lang w:val="en-US" w:eastAsia="zh-CN"/>
              </w:rPr>
              <w:t>6.1</w:t>
            </w:r>
          </w:p>
        </w:tc>
        <w:tc>
          <w:tcPr>
            <w:tcW w:w="3808" w:type="dxa"/>
            <w:gridSpan w:val="2"/>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制定优先使用基本药物的相关规定。</w:t>
            </w:r>
          </w:p>
        </w:tc>
        <w:tc>
          <w:tcPr>
            <w:tcW w:w="1484" w:type="dxa"/>
            <w:vMerge w:val="restart"/>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记录查看</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数据核查</w:t>
            </w: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1.制定医院优先使用国家基本药物的相关规定及措施（0.3分）；</w:t>
            </w:r>
          </w:p>
        </w:tc>
        <w:tc>
          <w:tcPr>
            <w:tcW w:w="912" w:type="dxa"/>
            <w:vMerge w:val="restart"/>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808"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2.全院基本药物品种及使用金额比例符合规定（0.3分）；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808"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3.《国家基本药物目录》中的品种优先纳入医院《药品处方集》和“基本用药供应目录”，有相应的采购、使用量（0.2分）；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3808" w:type="dxa"/>
            <w:gridSpan w:val="2"/>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color w:val="000000"/>
                <w:kern w:val="0"/>
                <w:sz w:val="24"/>
                <w:szCs w:val="24"/>
                <w:highlight w:val="none"/>
                <w:lang w:bidi="ar"/>
              </w:rPr>
              <w:t>4.每年至少</w:t>
            </w:r>
            <w:r>
              <w:rPr>
                <w:rFonts w:hint="eastAsia" w:ascii="仿宋_GB2312" w:hAnsi="仿宋_GB2312" w:eastAsia="仿宋_GB2312" w:cs="仿宋_GB2312"/>
                <w:b w:val="0"/>
                <w:bCs w:val="0"/>
                <w:color w:val="000000"/>
                <w:kern w:val="0"/>
                <w:sz w:val="24"/>
                <w:szCs w:val="24"/>
                <w:highlight w:val="none"/>
                <w:lang w:val="en-US" w:eastAsia="zh-CN" w:bidi="ar"/>
              </w:rPr>
              <w:t>开展</w:t>
            </w:r>
            <w:r>
              <w:rPr>
                <w:rFonts w:hint="eastAsia" w:ascii="仿宋_GB2312" w:hAnsi="仿宋_GB2312" w:eastAsia="仿宋_GB2312" w:cs="仿宋_GB2312"/>
                <w:b w:val="0"/>
                <w:bCs w:val="0"/>
                <w:color w:val="000000"/>
                <w:kern w:val="0"/>
                <w:sz w:val="24"/>
                <w:szCs w:val="24"/>
                <w:highlight w:val="none"/>
                <w:lang w:bidi="ar"/>
              </w:rPr>
              <w:t>1次</w:t>
            </w:r>
            <w:r>
              <w:rPr>
                <w:rFonts w:hint="eastAsia" w:ascii="仿宋_GB2312" w:hAnsi="仿宋_GB2312" w:eastAsia="仿宋_GB2312" w:cs="仿宋_GB2312"/>
                <w:b w:val="0"/>
                <w:bCs w:val="0"/>
                <w:color w:val="000000"/>
                <w:kern w:val="0"/>
                <w:sz w:val="24"/>
                <w:szCs w:val="24"/>
                <w:highlight w:val="none"/>
                <w:lang w:val="en-US" w:eastAsia="zh-CN" w:bidi="ar"/>
              </w:rPr>
              <w:t>基本药物使用规定</w:t>
            </w:r>
            <w:r>
              <w:rPr>
                <w:rFonts w:hint="eastAsia" w:ascii="仿宋_GB2312" w:hAnsi="仿宋_GB2312" w:eastAsia="仿宋_GB2312" w:cs="仿宋_GB2312"/>
                <w:b w:val="0"/>
                <w:bCs w:val="0"/>
                <w:color w:val="000000"/>
                <w:kern w:val="0"/>
                <w:sz w:val="24"/>
                <w:szCs w:val="24"/>
                <w:highlight w:val="none"/>
                <w:lang w:bidi="ar"/>
              </w:rPr>
              <w:t>培训（0.2分）。</w:t>
            </w:r>
          </w:p>
        </w:tc>
        <w:tc>
          <w:tcPr>
            <w:tcW w:w="91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31" w:type="dxa"/>
            <w:vMerge w:val="restart"/>
            <w:noWrap w:val="0"/>
            <w:vAlign w:val="center"/>
          </w:tcPr>
          <w:p>
            <w:pPr>
              <w:pStyle w:val="25"/>
              <w:spacing w:line="320" w:lineRule="exact"/>
              <w:ind w:right="105" w:rightChars="5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lang w:val="en-US" w:eastAsia="zh-CN"/>
              </w:rPr>
              <w:t>6.2</w:t>
            </w:r>
          </w:p>
        </w:tc>
        <w:tc>
          <w:tcPr>
            <w:tcW w:w="3808" w:type="dxa"/>
            <w:gridSpan w:val="2"/>
            <w:vMerge w:val="restart"/>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定期对基本药物使用情况进行检查、分析和反馈，规范医师处方行为。</w:t>
            </w:r>
          </w:p>
        </w:tc>
        <w:tc>
          <w:tcPr>
            <w:tcW w:w="1484" w:type="dxa"/>
            <w:vMerge w:val="restart"/>
            <w:noWrap w:val="0"/>
            <w:vAlign w:val="center"/>
          </w:tcPr>
          <w:p>
            <w:pPr>
              <w:pStyle w:val="25"/>
              <w:spacing w:line="320" w:lineRule="exact"/>
              <w:ind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记录查看</w:t>
            </w:r>
          </w:p>
          <w:p>
            <w:pPr>
              <w:pStyle w:val="25"/>
              <w:spacing w:line="320" w:lineRule="exact"/>
              <w:ind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数据核查</w:t>
            </w:r>
          </w:p>
          <w:p>
            <w:pPr>
              <w:pStyle w:val="25"/>
              <w:spacing w:line="320" w:lineRule="exact"/>
              <w:ind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病历检查</w:t>
            </w:r>
          </w:p>
          <w:p>
            <w:pPr>
              <w:pStyle w:val="25"/>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病案检查</w:t>
            </w: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1.开展基本药物使用点评（0.2分）；</w:t>
            </w:r>
          </w:p>
        </w:tc>
        <w:tc>
          <w:tcPr>
            <w:tcW w:w="912" w:type="dxa"/>
            <w:vMerge w:val="restart"/>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31"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3808" w:type="dxa"/>
            <w:gridSpan w:val="2"/>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w:t>
            </w:r>
            <w:r>
              <w:rPr>
                <w:rStyle w:val="28"/>
                <w:rFonts w:hint="eastAsia" w:ascii="仿宋_GB2312" w:hAnsi="仿宋_GB2312" w:eastAsia="仿宋_GB2312" w:cs="仿宋_GB2312"/>
                <w:color w:val="000000"/>
                <w:sz w:val="24"/>
                <w:szCs w:val="24"/>
                <w:lang w:val="en-US" w:eastAsia="zh-CN" w:bidi="ar"/>
              </w:rPr>
              <w:t>每季度</w:t>
            </w:r>
            <w:r>
              <w:rPr>
                <w:rStyle w:val="29"/>
                <w:rFonts w:hint="eastAsia" w:ascii="仿宋_GB2312" w:hAnsi="仿宋_GB2312" w:eastAsia="仿宋_GB2312" w:cs="仿宋_GB2312"/>
                <w:color w:val="000000"/>
                <w:sz w:val="24"/>
                <w:szCs w:val="24"/>
                <w:lang w:val="en-US" w:eastAsia="zh-CN" w:bidi="ar"/>
              </w:rPr>
              <w:t>监测基本药物使用品种占比和收入占比（0.2分）；</w:t>
            </w:r>
          </w:p>
        </w:tc>
        <w:tc>
          <w:tcPr>
            <w:tcW w:w="912"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31"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3808" w:type="dxa"/>
            <w:gridSpan w:val="2"/>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3.定期对基本药物使用情况进行检查、分析和反馈（0.2分）；</w:t>
            </w:r>
          </w:p>
        </w:tc>
        <w:tc>
          <w:tcPr>
            <w:tcW w:w="912"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31"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3808" w:type="dxa"/>
            <w:gridSpan w:val="2"/>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4.对未达标的指标有分析有整改措施（0.2分）；</w:t>
            </w:r>
          </w:p>
        </w:tc>
        <w:tc>
          <w:tcPr>
            <w:tcW w:w="912"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31"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3808" w:type="dxa"/>
            <w:gridSpan w:val="2"/>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1484"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c>
          <w:tcPr>
            <w:tcW w:w="710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5.周期内整改有成效或形成新的制度、规范、流程、举措等（0.2分）。</w:t>
            </w:r>
          </w:p>
        </w:tc>
        <w:tc>
          <w:tcPr>
            <w:tcW w:w="912" w:type="dxa"/>
            <w:vMerge w:val="continue"/>
            <w:noWrap w:val="0"/>
            <w:vAlign w:val="center"/>
          </w:tcPr>
          <w:p>
            <w:pPr>
              <w:pStyle w:val="25"/>
              <w:spacing w:line="320" w:lineRule="exact"/>
              <w:ind w:right="105" w:rightChars="50"/>
              <w:rPr>
                <w:rFonts w:hint="eastAsia" w:ascii="仿宋_GB2312" w:hAnsi="仿宋_GB2312" w:eastAsia="仿宋_GB2312" w:cs="仿宋_GB2312"/>
                <w:color w:val="000000"/>
                <w:sz w:val="24"/>
                <w:szCs w:val="24"/>
              </w:rPr>
            </w:pPr>
          </w:p>
        </w:tc>
      </w:tr>
    </w:tbl>
    <w:p>
      <w:pPr>
        <w:pStyle w:val="5"/>
        <w:bidi w:val="0"/>
        <w:rPr>
          <w:rFonts w:hint="eastAsia"/>
          <w:color w:val="000000"/>
          <w:lang w:eastAsia="zh-CN"/>
        </w:rPr>
      </w:pPr>
    </w:p>
    <w:p>
      <w:pPr>
        <w:pStyle w:val="5"/>
        <w:bidi w:val="0"/>
        <w:rPr>
          <w:rFonts w:hint="eastAsia"/>
          <w:color w:val="000000"/>
          <w:lang w:eastAsia="zh-CN"/>
        </w:rPr>
      </w:pPr>
      <w:bookmarkStart w:id="151" w:name="_Toc30596"/>
    </w:p>
    <w:p>
      <w:pPr>
        <w:pStyle w:val="5"/>
        <w:bidi w:val="0"/>
        <w:rPr>
          <w:rFonts w:hint="eastAsia"/>
          <w:color w:val="000000"/>
          <w:lang w:eastAsia="zh-CN"/>
        </w:rPr>
      </w:pPr>
      <w:bookmarkStart w:id="152" w:name="_Toc23325"/>
      <w:r>
        <w:rPr>
          <w:rFonts w:hint="eastAsia"/>
          <w:color w:val="000000"/>
          <w:lang w:eastAsia="zh-CN"/>
        </w:rPr>
        <w:t>三、</w:t>
      </w:r>
      <w:r>
        <w:rPr>
          <w:rFonts w:hint="eastAsia"/>
          <w:color w:val="000000"/>
        </w:rPr>
        <w:t>促进医疗资源下沉，完成政府指令性任务</w:t>
      </w:r>
      <w:r>
        <w:rPr>
          <w:rFonts w:hint="eastAsia"/>
          <w:color w:val="000000"/>
          <w:lang w:eastAsia="zh-CN"/>
        </w:rPr>
        <w:t>（</w:t>
      </w:r>
      <w:r>
        <w:rPr>
          <w:rFonts w:hint="eastAsia"/>
          <w:color w:val="000000"/>
          <w:lang w:val="en-US" w:eastAsia="zh-CN"/>
        </w:rPr>
        <w:t>3.5</w:t>
      </w:r>
      <w:r>
        <w:rPr>
          <w:rFonts w:hint="eastAsia"/>
          <w:color w:val="000000"/>
        </w:rPr>
        <w:t>分</w:t>
      </w:r>
      <w:r>
        <w:rPr>
          <w:rFonts w:hint="eastAsia"/>
          <w:color w:val="000000"/>
          <w:lang w:eastAsia="zh-CN"/>
        </w:rPr>
        <w:t>）</w:t>
      </w:r>
      <w:bookmarkEnd w:id="151"/>
      <w:bookmarkEnd w:id="152"/>
    </w:p>
    <w:tbl>
      <w:tblPr>
        <w:tblStyle w:val="14"/>
        <w:tblW w:w="14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753"/>
        <w:gridCol w:w="1443"/>
        <w:gridCol w:w="8200"/>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4184" w:type="dxa"/>
            <w:gridSpan w:val="2"/>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eastAsia="zh-CN"/>
              </w:rPr>
              <w:t>细则</w:t>
            </w:r>
          </w:p>
        </w:tc>
        <w:tc>
          <w:tcPr>
            <w:tcW w:w="1443"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8200"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821"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648" w:type="dxa"/>
            <w:gridSpan w:val="5"/>
            <w:noWrap w:val="0"/>
            <w:vAlign w:val="center"/>
          </w:tcPr>
          <w:p>
            <w:pPr>
              <w:pStyle w:val="24"/>
              <w:spacing w:line="32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七</w:t>
            </w:r>
            <w:r>
              <w:rPr>
                <w:rFonts w:hint="eastAsia" w:ascii="仿宋_GB2312" w:hAnsi="仿宋_GB2312" w:eastAsia="仿宋_GB2312" w:cs="仿宋_GB2312"/>
                <w:color w:val="000000"/>
                <w:sz w:val="24"/>
                <w:szCs w:val="24"/>
              </w:rPr>
              <w:t>）加强医联体建设，实行分级诊疗，建立与实施双向转诊制度与相关服务流程，提升医联体内基层医疗机构服务能力（</w:t>
            </w: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rPr>
              <w:t>分）</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31"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.1</w:t>
            </w:r>
          </w:p>
        </w:tc>
        <w:tc>
          <w:tcPr>
            <w:tcW w:w="2753"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根据</w:t>
            </w:r>
            <w:r>
              <w:rPr>
                <w:rFonts w:hint="eastAsia" w:ascii="仿宋_GB2312" w:hAnsi="仿宋_GB2312" w:eastAsia="仿宋_GB2312" w:cs="仿宋_GB2312"/>
                <w:strike w:val="0"/>
                <w:dstrike w:val="0"/>
                <w:color w:val="000000"/>
                <w:sz w:val="24"/>
                <w:szCs w:val="24"/>
                <w:lang w:eastAsia="zh-CN"/>
              </w:rPr>
              <w:t>医联体</w:t>
            </w:r>
            <w:r>
              <w:rPr>
                <w:rFonts w:hint="eastAsia" w:ascii="仿宋_GB2312" w:hAnsi="仿宋_GB2312" w:eastAsia="仿宋_GB2312" w:cs="仿宋_GB2312"/>
                <w:color w:val="000000"/>
                <w:kern w:val="0"/>
                <w:sz w:val="24"/>
                <w:szCs w:val="24"/>
              </w:rPr>
              <w:t>建设相关要求，参与医联体建设并制定相关规划。</w:t>
            </w:r>
          </w:p>
        </w:tc>
        <w:tc>
          <w:tcPr>
            <w:tcW w:w="1443" w:type="dxa"/>
            <w:vMerge w:val="restart"/>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p>
        </w:tc>
        <w:tc>
          <w:tcPr>
            <w:tcW w:w="8200" w:type="dxa"/>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1.将医联体建设工作纳入医院中长期规划及年度工作规划，有计划和具体实施方案（0.3分）；</w:t>
            </w:r>
          </w:p>
        </w:tc>
        <w:tc>
          <w:tcPr>
            <w:tcW w:w="821" w:type="dxa"/>
            <w:vMerge w:val="restart"/>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31" w:type="dxa"/>
            <w:vMerge w:val="continue"/>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rPr>
            </w:pPr>
          </w:p>
        </w:tc>
        <w:tc>
          <w:tcPr>
            <w:tcW w:w="2753" w:type="dxa"/>
            <w:vMerge w:val="continue"/>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rPr>
            </w:pPr>
          </w:p>
        </w:tc>
        <w:tc>
          <w:tcPr>
            <w:tcW w:w="1443" w:type="dxa"/>
            <w:vMerge w:val="continue"/>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rPr>
            </w:pPr>
          </w:p>
        </w:tc>
        <w:tc>
          <w:tcPr>
            <w:tcW w:w="8200" w:type="dxa"/>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2.有专门部门和人员负责医联体建设等协调工作（0.</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821" w:type="dxa"/>
            <w:vMerge w:val="continue"/>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1" w:type="dxa"/>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.2</w:t>
            </w:r>
          </w:p>
        </w:tc>
        <w:tc>
          <w:tcPr>
            <w:tcW w:w="2753" w:type="dxa"/>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实行分级诊疗，建立并实施双向转诊制度与相关服务流程。</w:t>
            </w:r>
          </w:p>
        </w:tc>
        <w:tc>
          <w:tcPr>
            <w:tcW w:w="1443" w:type="dxa"/>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记录查看</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p>
        </w:tc>
        <w:tc>
          <w:tcPr>
            <w:tcW w:w="8200" w:type="dxa"/>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1.建立双向转诊制度与服务流程、签订合作协议（0.</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r>
              <w:rPr>
                <w:rFonts w:hint="eastAsia" w:ascii="仿宋_GB2312" w:hAnsi="仿宋_GB2312" w:eastAsia="仿宋_GB2312" w:cs="仿宋_GB2312"/>
                <w:color w:val="000000"/>
                <w:sz w:val="24"/>
                <w:szCs w:val="24"/>
                <w:lang w:eastAsia="zh-CN"/>
              </w:rPr>
              <w:t>。</w:t>
            </w:r>
          </w:p>
        </w:tc>
        <w:tc>
          <w:tcPr>
            <w:tcW w:w="821" w:type="dxa"/>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31"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.3</w:t>
            </w:r>
          </w:p>
        </w:tc>
        <w:tc>
          <w:tcPr>
            <w:tcW w:w="2753"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提升医联体内基层医疗机构服务能力。</w:t>
            </w:r>
          </w:p>
        </w:tc>
        <w:tc>
          <w:tcPr>
            <w:tcW w:w="1443" w:type="dxa"/>
            <w:vMerge w:val="restart"/>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记录查看</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8200" w:type="dxa"/>
            <w:tcBorders>
              <w:bottom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1.有提升医联体内基层医疗机构服务能力的案例（服务能力、学科建设、科研与教学等）（0.2分）；</w:t>
            </w:r>
          </w:p>
        </w:tc>
        <w:tc>
          <w:tcPr>
            <w:tcW w:w="821" w:type="dxa"/>
            <w:vMerge w:val="restart"/>
            <w:tcBorders>
              <w:right w:val="single" w:color="auto" w:sz="4" w:space="0"/>
            </w:tcBorders>
            <w:noWrap w:val="0"/>
            <w:vAlign w:val="center"/>
          </w:tcPr>
          <w:p>
            <w:pPr>
              <w:pStyle w:val="25"/>
              <w:spacing w:line="320" w:lineRule="exact"/>
              <w:ind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53"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43"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200" w:type="dxa"/>
            <w:tcBorders>
              <w:bottom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2.有接收下级医院医务人员进行学习记录</w:t>
            </w:r>
            <w:r>
              <w:rPr>
                <w:rStyle w:val="29"/>
                <w:rFonts w:hint="eastAsia" w:ascii="仿宋_GB2312" w:hAnsi="仿宋_GB2312" w:eastAsia="仿宋_GB2312" w:cs="仿宋_GB2312"/>
                <w:color w:val="000000"/>
                <w:sz w:val="24"/>
                <w:szCs w:val="24"/>
                <w:lang w:val="en-US" w:eastAsia="zh-CN" w:bidi="ar"/>
              </w:rPr>
              <w:t>（0.2分）；</w:t>
            </w:r>
          </w:p>
        </w:tc>
        <w:tc>
          <w:tcPr>
            <w:tcW w:w="821" w:type="dxa"/>
            <w:vMerge w:val="continue"/>
            <w:tcBorders>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1" w:type="dxa"/>
            <w:vMerge w:val="continue"/>
            <w:tcBorders>
              <w:bottom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53" w:type="dxa"/>
            <w:vMerge w:val="continue"/>
            <w:tcBorders>
              <w:bottom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43" w:type="dxa"/>
            <w:vMerge w:val="continue"/>
            <w:tcBorders>
              <w:bottom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200" w:type="dxa"/>
            <w:tcBorders>
              <w:bottom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3.有医联体建设情况工作总结（0.2分）；</w:t>
            </w:r>
          </w:p>
        </w:tc>
        <w:tc>
          <w:tcPr>
            <w:tcW w:w="821" w:type="dxa"/>
            <w:vMerge w:val="continue"/>
            <w:tcBorders>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2753"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1443"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4.访谈员工知晓相关内容（0.2分）。</w:t>
            </w:r>
          </w:p>
        </w:tc>
        <w:tc>
          <w:tcPr>
            <w:tcW w:w="821"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648" w:type="dxa"/>
            <w:gridSpan w:val="5"/>
            <w:tcBorders>
              <w:left w:val="single" w:color="auto" w:sz="4" w:space="0"/>
              <w:right w:val="single" w:color="auto" w:sz="4" w:space="0"/>
            </w:tcBorders>
            <w:noWrap w:val="0"/>
            <w:vAlign w:val="center"/>
          </w:tcPr>
          <w:p>
            <w:pPr>
              <w:pStyle w:val="25"/>
              <w:spacing w:line="320" w:lineRule="exact"/>
              <w:ind w:left="105" w:leftChars="50" w:right="105" w:rightChars="5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cs="仿宋_GB2312"/>
                <w:i w:val="0"/>
                <w:iCs w:val="0"/>
                <w:color w:val="000000"/>
                <w:kern w:val="0"/>
                <w:sz w:val="24"/>
                <w:szCs w:val="24"/>
                <w:u w:val="none"/>
                <w:lang w:val="en-US" w:eastAsia="zh-CN" w:bidi="ar"/>
              </w:rPr>
              <w:t>八</w:t>
            </w:r>
            <w:r>
              <w:rPr>
                <w:rFonts w:hint="eastAsia" w:ascii="仿宋_GB2312" w:hAnsi="仿宋_GB2312" w:eastAsia="仿宋_GB2312" w:cs="仿宋_GB2312"/>
                <w:i w:val="0"/>
                <w:iCs w:val="0"/>
                <w:color w:val="000000"/>
                <w:kern w:val="0"/>
                <w:sz w:val="24"/>
                <w:szCs w:val="24"/>
                <w:u w:val="none"/>
                <w:lang w:val="en-US" w:eastAsia="zh-CN" w:bidi="ar"/>
              </w:rPr>
              <w:t>）承担健康扶贫、为下级医院培养卫生技术人员等政府指令性任务，制订相关的制度、方案，并有具体措施予以保障（2分）。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31" w:type="dxa"/>
            <w:vMerge w:val="restart"/>
            <w:tcBorders>
              <w:top w:val="single" w:color="auto" w:sz="4" w:space="0"/>
              <w:left w:val="single" w:color="auto" w:sz="4" w:space="0"/>
              <w:right w:val="single" w:color="auto" w:sz="4" w:space="0"/>
            </w:tcBorders>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r>
              <w:rPr>
                <w:rFonts w:hint="eastAsia" w:ascii="仿宋_GB2312" w:hAnsi="仿宋_GB2312" w:cs="仿宋_GB2312"/>
                <w:color w:val="000000"/>
                <w:sz w:val="24"/>
                <w:szCs w:val="24"/>
                <w:lang w:val="en-US" w:eastAsia="zh-CN"/>
              </w:rPr>
              <w:t>8</w:t>
            </w:r>
            <w:r>
              <w:rPr>
                <w:rFonts w:hint="eastAsia" w:ascii="仿宋_GB2312" w:hAnsi="仿宋_GB2312" w:eastAsia="仿宋_GB2312" w:cs="仿宋_GB2312"/>
                <w:color w:val="000000"/>
                <w:sz w:val="24"/>
                <w:szCs w:val="24"/>
              </w:rPr>
              <w:t>.1</w:t>
            </w:r>
          </w:p>
        </w:tc>
        <w:tc>
          <w:tcPr>
            <w:tcW w:w="2753" w:type="dxa"/>
            <w:vMerge w:val="restart"/>
            <w:tcBorders>
              <w:top w:val="single" w:color="auto" w:sz="4" w:space="0"/>
              <w:left w:val="single" w:color="auto" w:sz="4" w:space="0"/>
              <w:right w:val="single" w:color="auto" w:sz="4" w:space="0"/>
            </w:tcBorders>
            <w:noWrap w:val="0"/>
            <w:vAlign w:val="center"/>
          </w:tcPr>
          <w:p>
            <w:pPr>
              <w:pStyle w:val="31"/>
              <w:spacing w:before="0" w:beforeAutospacing="0" w:after="0" w:afterAutospacing="0" w:line="320" w:lineRule="exact"/>
              <w:ind w:left="105" w:leftChars="50"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trike w:val="0"/>
                <w:dstrike w:val="0"/>
                <w:color w:val="000000"/>
                <w:sz w:val="24"/>
                <w:szCs w:val="24"/>
                <w:lang w:eastAsia="zh-CN"/>
              </w:rPr>
              <w:t>协助</w:t>
            </w:r>
            <w:r>
              <w:rPr>
                <w:rFonts w:hint="eastAsia" w:ascii="仿宋_GB2312" w:hAnsi="仿宋_GB2312" w:eastAsia="仿宋_GB2312" w:cs="仿宋_GB2312"/>
                <w:color w:val="000000"/>
                <w:sz w:val="24"/>
                <w:szCs w:val="24"/>
                <w:lang w:eastAsia="zh-CN"/>
              </w:rPr>
              <w:t>健康扶贫等政府指令性任务，制订相关的制度、方案，并有具体措施予以保障。</w:t>
            </w:r>
          </w:p>
        </w:tc>
        <w:tc>
          <w:tcPr>
            <w:tcW w:w="1443"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记录查看</w:t>
            </w: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1.有专门部门和人员负责相关工作（0.2分）；</w:t>
            </w:r>
          </w:p>
        </w:tc>
        <w:tc>
          <w:tcPr>
            <w:tcW w:w="821" w:type="dxa"/>
            <w:vMerge w:val="restart"/>
            <w:tcBorders>
              <w:top w:val="single" w:color="auto" w:sz="4" w:space="0"/>
              <w:left w:val="single" w:color="auto" w:sz="4" w:space="0"/>
              <w:right w:val="single" w:color="auto" w:sz="4" w:space="0"/>
            </w:tcBorders>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5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4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根据政府指令性任务制订相关的制度、方案及保障措施（0.2分）；</w:t>
            </w:r>
          </w:p>
        </w:tc>
        <w:tc>
          <w:tcPr>
            <w:tcW w:w="82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275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144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有</w:t>
            </w:r>
            <w:r>
              <w:rPr>
                <w:rFonts w:hint="eastAsia" w:ascii="仿宋_GB2312" w:hAnsi="仿宋_GB2312" w:eastAsia="仿宋_GB2312" w:cs="仿宋_GB2312"/>
                <w:color w:val="000000"/>
                <w:sz w:val="24"/>
                <w:szCs w:val="24"/>
              </w:rPr>
              <w:t>具体</w:t>
            </w:r>
            <w:r>
              <w:rPr>
                <w:rFonts w:hint="eastAsia" w:ascii="仿宋_GB2312" w:hAnsi="仿宋_GB2312" w:eastAsia="仿宋_GB2312" w:cs="仿宋_GB2312"/>
                <w:color w:val="000000"/>
                <w:sz w:val="24"/>
                <w:szCs w:val="24"/>
                <w:lang w:val="en-US" w:eastAsia="zh-CN"/>
              </w:rPr>
              <w:t>实施记录</w:t>
            </w:r>
            <w:r>
              <w:rPr>
                <w:rFonts w:hint="eastAsia" w:ascii="仿宋_GB2312" w:hAnsi="仿宋_GB2312" w:eastAsia="仿宋_GB2312" w:cs="仿宋_GB2312"/>
                <w:color w:val="000000"/>
                <w:sz w:val="24"/>
                <w:szCs w:val="24"/>
              </w:rPr>
              <w:t>（0.2分）；</w:t>
            </w:r>
          </w:p>
        </w:tc>
        <w:tc>
          <w:tcPr>
            <w:tcW w:w="82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275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144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i w:val="0"/>
                <w:iCs w:val="0"/>
                <w:color w:val="000000"/>
                <w:kern w:val="0"/>
                <w:sz w:val="24"/>
                <w:szCs w:val="24"/>
                <w:u w:val="none"/>
                <w:lang w:val="en-US" w:eastAsia="zh-CN" w:bidi="ar"/>
              </w:rPr>
              <w:t>有职能部门督导、总结、分析、反馈（0.2分）；</w:t>
            </w:r>
          </w:p>
        </w:tc>
        <w:tc>
          <w:tcPr>
            <w:tcW w:w="82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2753"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1443"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5.有数据或案例体现效果（0.2分）。</w:t>
            </w:r>
          </w:p>
        </w:tc>
        <w:tc>
          <w:tcPr>
            <w:tcW w:w="821"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31" w:type="dxa"/>
            <w:vMerge w:val="restart"/>
            <w:tcBorders>
              <w:left w:val="single" w:color="auto" w:sz="4" w:space="0"/>
              <w:right w:val="single" w:color="auto" w:sz="4" w:space="0"/>
            </w:tcBorders>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r>
              <w:rPr>
                <w:rFonts w:hint="eastAsia" w:ascii="仿宋_GB2312" w:hAnsi="仿宋_GB2312" w:cs="仿宋_GB2312"/>
                <w:color w:val="000000"/>
                <w:sz w:val="24"/>
                <w:szCs w:val="24"/>
                <w:lang w:val="en-US" w:eastAsia="zh-CN"/>
              </w:rPr>
              <w:t>8</w:t>
            </w:r>
            <w:r>
              <w:rPr>
                <w:rFonts w:hint="eastAsia" w:ascii="仿宋_GB2312" w:hAnsi="仿宋_GB2312" w:eastAsia="仿宋_GB2312" w:cs="仿宋_GB2312"/>
                <w:color w:val="000000"/>
                <w:sz w:val="24"/>
                <w:szCs w:val="24"/>
              </w:rPr>
              <w:t>.2</w:t>
            </w:r>
          </w:p>
        </w:tc>
        <w:tc>
          <w:tcPr>
            <w:tcW w:w="2753" w:type="dxa"/>
            <w:vMerge w:val="restart"/>
            <w:tcBorders>
              <w:top w:val="single" w:color="auto" w:sz="4" w:space="0"/>
              <w:left w:val="single" w:color="auto" w:sz="4" w:space="0"/>
              <w:right w:val="single" w:color="auto" w:sz="4" w:space="0"/>
            </w:tcBorders>
            <w:noWrap w:val="0"/>
            <w:vAlign w:val="center"/>
          </w:tcPr>
          <w:p>
            <w:pPr>
              <w:pStyle w:val="31"/>
              <w:spacing w:before="0" w:beforeAutospacing="0" w:after="0" w:afterAutospacing="0" w:line="320" w:lineRule="exact"/>
              <w:ind w:left="105" w:leftChars="50"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trike w:val="0"/>
                <w:dstrike w:val="0"/>
                <w:color w:val="000000"/>
                <w:sz w:val="24"/>
                <w:szCs w:val="24"/>
              </w:rPr>
              <w:t>承担为下级医院培养卫生技术人员的政府指令性任务，制订相关的制度、方案</w:t>
            </w:r>
            <w:r>
              <w:rPr>
                <w:rFonts w:hint="eastAsia" w:ascii="仿宋_GB2312" w:hAnsi="仿宋_GB2312" w:eastAsia="仿宋_GB2312" w:cs="仿宋_GB2312"/>
                <w:strike w:val="0"/>
                <w:dstrike w:val="0"/>
                <w:color w:val="000000"/>
                <w:sz w:val="24"/>
                <w:szCs w:val="24"/>
                <w:lang w:eastAsia="zh-CN"/>
              </w:rPr>
              <w:t>，</w:t>
            </w:r>
            <w:r>
              <w:rPr>
                <w:rFonts w:hint="eastAsia" w:ascii="仿宋_GB2312" w:hAnsi="仿宋_GB2312" w:eastAsia="仿宋_GB2312" w:cs="仿宋_GB2312"/>
                <w:strike w:val="0"/>
                <w:dstrike w:val="0"/>
                <w:color w:val="000000"/>
                <w:sz w:val="24"/>
                <w:szCs w:val="24"/>
              </w:rPr>
              <w:t>并有具体措施予以保障</w:t>
            </w:r>
            <w:r>
              <w:rPr>
                <w:rFonts w:hint="eastAsia" w:ascii="仿宋_GB2312" w:hAnsi="仿宋_GB2312" w:eastAsia="仿宋_GB2312" w:cs="仿宋_GB2312"/>
                <w:strike w:val="0"/>
                <w:dstrike w:val="0"/>
                <w:color w:val="000000"/>
                <w:sz w:val="24"/>
                <w:szCs w:val="24"/>
                <w:lang w:eastAsia="zh-CN"/>
              </w:rPr>
              <w:t>。</w:t>
            </w:r>
          </w:p>
        </w:tc>
        <w:tc>
          <w:tcPr>
            <w:tcW w:w="1443"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记录查看</w:t>
            </w: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1.制定相关项目实施计划、方案（0.2分）；</w:t>
            </w:r>
          </w:p>
        </w:tc>
        <w:tc>
          <w:tcPr>
            <w:tcW w:w="821" w:type="dxa"/>
            <w:vMerge w:val="restart"/>
            <w:tcBorders>
              <w:top w:val="single" w:color="auto" w:sz="4" w:space="0"/>
              <w:left w:val="single" w:color="auto" w:sz="4" w:space="0"/>
              <w:right w:val="single" w:color="auto" w:sz="4" w:space="0"/>
            </w:tcBorders>
            <w:noWrap w:val="0"/>
            <w:vAlign w:val="center"/>
          </w:tcPr>
          <w:p>
            <w:pPr>
              <w:pStyle w:val="25"/>
              <w:numPr>
                <w:ilvl w:val="0"/>
                <w:numId w:val="0"/>
              </w:numPr>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5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4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2.为下级单位提供学习进修岗位，开展业务培训及协助开展新技术新项目（0.</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82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275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144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3.有专门部门和人员负责落实下级医院技术人员培养（0.</w:t>
            </w:r>
            <w:r>
              <w:rPr>
                <w:rFonts w:hint="eastAsia" w:ascii="仿宋_GB2312" w:hAnsi="仿宋_GB2312" w:eastAsia="仿宋_GB2312" w:cs="仿宋_GB2312"/>
                <w:color w:val="000000"/>
                <w:sz w:val="24"/>
                <w:szCs w:val="24"/>
                <w:lang w:val="en-US" w:eastAsia="zh-CN"/>
              </w:rPr>
              <w:t>2分</w:t>
            </w:r>
            <w:r>
              <w:rPr>
                <w:rFonts w:hint="eastAsia" w:ascii="仿宋_GB2312" w:hAnsi="仿宋_GB2312" w:eastAsia="仿宋_GB2312" w:cs="仿宋_GB2312"/>
                <w:color w:val="000000"/>
                <w:sz w:val="24"/>
                <w:szCs w:val="24"/>
              </w:rPr>
              <w:t>）；</w:t>
            </w:r>
          </w:p>
        </w:tc>
        <w:tc>
          <w:tcPr>
            <w:tcW w:w="82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275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1443"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4.有</w:t>
            </w:r>
            <w:r>
              <w:rPr>
                <w:rFonts w:hint="eastAsia" w:ascii="仿宋_GB2312" w:hAnsi="仿宋_GB2312" w:eastAsia="仿宋_GB2312" w:cs="仿宋_GB2312"/>
                <w:i w:val="0"/>
                <w:iCs w:val="0"/>
                <w:color w:val="000000"/>
                <w:kern w:val="0"/>
                <w:sz w:val="24"/>
                <w:szCs w:val="24"/>
                <w:u w:val="none"/>
                <w:lang w:val="en-US" w:eastAsia="zh-CN" w:bidi="ar"/>
              </w:rPr>
              <w:t>职能部门</w:t>
            </w:r>
            <w:r>
              <w:rPr>
                <w:rFonts w:hint="eastAsia" w:ascii="仿宋_GB2312" w:hAnsi="仿宋_GB2312" w:eastAsia="仿宋_GB2312" w:cs="仿宋_GB2312"/>
                <w:color w:val="000000"/>
                <w:sz w:val="24"/>
                <w:szCs w:val="24"/>
                <w:lang w:val="en-US" w:eastAsia="zh-CN"/>
              </w:rPr>
              <w:t>督导</w:t>
            </w:r>
            <w:r>
              <w:rPr>
                <w:rFonts w:hint="eastAsia" w:ascii="仿宋_GB2312" w:hAnsi="仿宋_GB2312" w:eastAsia="仿宋_GB2312" w:cs="仿宋_GB2312"/>
                <w:color w:val="000000"/>
                <w:sz w:val="24"/>
                <w:szCs w:val="24"/>
              </w:rPr>
              <w:t>、总结、</w:t>
            </w:r>
            <w:r>
              <w:rPr>
                <w:rFonts w:hint="eastAsia" w:ascii="仿宋_GB2312" w:hAnsi="仿宋_GB2312" w:eastAsia="仿宋_GB2312" w:cs="仿宋_GB2312"/>
                <w:color w:val="000000"/>
                <w:sz w:val="24"/>
                <w:szCs w:val="24"/>
                <w:lang w:val="en-US" w:eastAsia="zh-CN"/>
              </w:rPr>
              <w:t>分析、</w:t>
            </w:r>
            <w:r>
              <w:rPr>
                <w:rFonts w:hint="eastAsia" w:ascii="仿宋_GB2312" w:hAnsi="仿宋_GB2312" w:eastAsia="仿宋_GB2312" w:cs="仿宋_GB2312"/>
                <w:color w:val="000000"/>
                <w:sz w:val="24"/>
                <w:szCs w:val="24"/>
              </w:rPr>
              <w:t>反馈（0.</w:t>
            </w:r>
            <w:r>
              <w:rPr>
                <w:rFonts w:hint="eastAsia" w:ascii="仿宋_GB2312" w:hAnsi="仿宋_GB2312" w:eastAsia="仿宋_GB2312" w:cs="仿宋_GB2312"/>
                <w:color w:val="000000"/>
                <w:sz w:val="24"/>
                <w:szCs w:val="24"/>
                <w:lang w:val="en-US" w:eastAsia="zh-CN"/>
              </w:rPr>
              <w:t>2分</w:t>
            </w:r>
            <w:r>
              <w:rPr>
                <w:rFonts w:hint="eastAsia" w:ascii="仿宋_GB2312" w:hAnsi="仿宋_GB2312" w:eastAsia="仿宋_GB2312" w:cs="仿宋_GB2312"/>
                <w:color w:val="000000"/>
                <w:sz w:val="24"/>
                <w:szCs w:val="24"/>
              </w:rPr>
              <w:t>）；</w:t>
            </w:r>
          </w:p>
        </w:tc>
        <w:tc>
          <w:tcPr>
            <w:tcW w:w="82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dxa"/>
            <w:vMerge w:val="continue"/>
            <w:tcBorders>
              <w:left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2753"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1443"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c>
          <w:tcPr>
            <w:tcW w:w="8200" w:type="dxa"/>
            <w:tcBorders>
              <w:top w:val="single" w:color="auto" w:sz="4" w:space="0"/>
              <w:left w:val="single" w:color="auto" w:sz="4" w:space="0"/>
              <w:bottom w:val="single" w:color="auto" w:sz="4" w:space="0"/>
              <w:right w:val="single" w:color="auto" w:sz="4" w:space="0"/>
            </w:tcBorders>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5.</w:t>
            </w:r>
            <w:r>
              <w:rPr>
                <w:rStyle w:val="29"/>
                <w:rFonts w:hint="eastAsia" w:ascii="仿宋_GB2312" w:hAnsi="仿宋_GB2312" w:eastAsia="仿宋_GB2312" w:cs="仿宋_GB2312"/>
                <w:color w:val="000000"/>
                <w:sz w:val="24"/>
                <w:szCs w:val="24"/>
                <w:lang w:val="en-US" w:eastAsia="zh-CN" w:bidi="ar"/>
              </w:rPr>
              <w:t>有年度对下级单位培养人才的工作总结，有数据或案例体现效果</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821" w:type="dxa"/>
            <w:vMerge w:val="continue"/>
            <w:tcBorders>
              <w:left w:val="single" w:color="auto" w:sz="4" w:space="0"/>
              <w:bottom w:val="single" w:color="auto" w:sz="4" w:space="0"/>
              <w:right w:val="single" w:color="auto" w:sz="4" w:space="0"/>
            </w:tcBorders>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lang w:val="en-US" w:eastAsia="zh-CN"/>
              </w:rPr>
            </w:pPr>
          </w:p>
        </w:tc>
      </w:tr>
    </w:tbl>
    <w:p>
      <w:pPr>
        <w:pStyle w:val="5"/>
        <w:bidi w:val="0"/>
        <w:rPr>
          <w:rFonts w:hint="eastAsia"/>
          <w:color w:val="000000"/>
          <w:lang w:val="en-US"/>
        </w:rPr>
      </w:pPr>
      <w:bookmarkStart w:id="153" w:name="_Toc23545"/>
      <w:bookmarkStart w:id="154" w:name="_Toc18999"/>
      <w:r>
        <w:rPr>
          <w:rFonts w:hint="eastAsia"/>
          <w:color w:val="000000"/>
          <w:lang w:eastAsia="zh-CN"/>
        </w:rPr>
        <w:t>四、</w:t>
      </w:r>
      <w:r>
        <w:rPr>
          <w:rFonts w:hint="eastAsia"/>
          <w:color w:val="000000"/>
        </w:rPr>
        <w:t>承担突发公共卫生事件和重大事故灾害的紧急医疗救援与紧急救治</w:t>
      </w:r>
      <w:r>
        <w:rPr>
          <w:rFonts w:hint="eastAsia"/>
          <w:color w:val="000000"/>
          <w:lang w:eastAsia="zh-CN"/>
        </w:rPr>
        <w:t>（</w:t>
      </w:r>
      <w:r>
        <w:rPr>
          <w:rFonts w:hint="eastAsia"/>
          <w:color w:val="000000"/>
          <w:lang w:val="en-US" w:eastAsia="zh-CN"/>
        </w:rPr>
        <w:t>1.5分</w:t>
      </w:r>
      <w:r>
        <w:rPr>
          <w:rFonts w:hint="eastAsia"/>
          <w:color w:val="000000"/>
          <w:lang w:eastAsia="zh-CN"/>
        </w:rPr>
        <w:t>）</w:t>
      </w:r>
      <w:bookmarkEnd w:id="153"/>
      <w:bookmarkEnd w:id="15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734"/>
        <w:gridCol w:w="1462"/>
        <w:gridCol w:w="818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4165" w:type="dxa"/>
            <w:gridSpan w:val="2"/>
            <w:shd w:val="clear" w:color="auto" w:fill="FEF2CC"/>
            <w:noWrap w:val="0"/>
            <w:vAlign w:val="center"/>
          </w:tcPr>
          <w:p>
            <w:pPr>
              <w:pStyle w:val="24"/>
              <w:spacing w:line="32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eastAsia="zh-CN"/>
              </w:rPr>
              <w:t>细则</w:t>
            </w:r>
          </w:p>
        </w:tc>
        <w:tc>
          <w:tcPr>
            <w:tcW w:w="1462" w:type="dxa"/>
            <w:shd w:val="clear" w:color="auto" w:fill="FEF2CC"/>
            <w:noWrap w:val="0"/>
            <w:vAlign w:val="center"/>
          </w:tcPr>
          <w:p>
            <w:pPr>
              <w:pStyle w:val="24"/>
              <w:spacing w:line="32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8186" w:type="dxa"/>
            <w:shd w:val="clear" w:color="auto" w:fill="FEF2CC"/>
            <w:noWrap w:val="0"/>
            <w:vAlign w:val="center"/>
          </w:tcPr>
          <w:p>
            <w:pPr>
              <w:pStyle w:val="24"/>
              <w:spacing w:line="32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824" w:type="dxa"/>
            <w:shd w:val="clear" w:color="auto" w:fill="FEF2CC"/>
            <w:noWrap w:val="0"/>
            <w:vAlign w:val="center"/>
          </w:tcPr>
          <w:p>
            <w:pPr>
              <w:pStyle w:val="24"/>
              <w:spacing w:line="32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637" w:type="dxa"/>
            <w:gridSpan w:val="5"/>
            <w:noWrap w:val="0"/>
            <w:vAlign w:val="center"/>
          </w:tcPr>
          <w:p>
            <w:pPr>
              <w:pStyle w:val="24"/>
              <w:spacing w:line="32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九</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遵守国家法律、法规，严格执行各级政府制定的应急预案， 按照“平急结合、防治结合”的要求加强建设，承担突发公共卫生事件和重大事故灾害的紧急医疗救援与紧急救治工作（</w:t>
            </w: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31"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r>
              <w:rPr>
                <w:rFonts w:hint="eastAsia" w:ascii="仿宋_GB2312" w:hAnsi="仿宋_GB2312" w:cs="仿宋_GB2312"/>
                <w:color w:val="000000"/>
                <w:sz w:val="24"/>
                <w:szCs w:val="24"/>
                <w:lang w:val="en-US" w:eastAsia="zh-CN"/>
              </w:rPr>
              <w:t>9</w:t>
            </w:r>
            <w:r>
              <w:rPr>
                <w:rFonts w:hint="eastAsia" w:ascii="仿宋_GB2312" w:hAnsi="仿宋_GB2312" w:eastAsia="仿宋_GB2312" w:cs="仿宋_GB2312"/>
                <w:color w:val="000000"/>
                <w:sz w:val="24"/>
                <w:szCs w:val="24"/>
              </w:rPr>
              <w:t>.1</w:t>
            </w:r>
          </w:p>
        </w:tc>
        <w:tc>
          <w:tcPr>
            <w:tcW w:w="2734"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rPr>
              <w:t>遵</w:t>
            </w:r>
            <w:r>
              <w:rPr>
                <w:rFonts w:hint="eastAsia" w:ascii="仿宋_GB2312" w:hAnsi="仿宋_GB2312" w:eastAsia="仿宋_GB2312" w:cs="仿宋_GB2312"/>
                <w:color w:val="000000"/>
                <w:kern w:val="0"/>
                <w:sz w:val="24"/>
                <w:szCs w:val="24"/>
              </w:rPr>
              <w:t>循各级政府制定的应急预案，配合突发公共卫生事件和重大事故灾害的紧急医疗救援与紧急救治。</w:t>
            </w:r>
          </w:p>
        </w:tc>
        <w:tc>
          <w:tcPr>
            <w:tcW w:w="1462" w:type="dxa"/>
            <w:vMerge w:val="restart"/>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文件查阅记录查看</w:t>
            </w:r>
          </w:p>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8186" w:type="dxa"/>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i w:val="0"/>
                <w:iCs w:val="0"/>
                <w:color w:val="000000"/>
                <w:kern w:val="0"/>
                <w:sz w:val="24"/>
                <w:szCs w:val="24"/>
                <w:u w:val="none"/>
                <w:lang w:val="en-US" w:eastAsia="zh-CN" w:bidi="ar"/>
              </w:rPr>
              <w:t>根据各级政府应急预案，制定医院总体应急预案及专项应急预案</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分）；</w:t>
            </w:r>
          </w:p>
        </w:tc>
        <w:tc>
          <w:tcPr>
            <w:tcW w:w="824" w:type="dxa"/>
            <w:vMerge w:val="restart"/>
            <w:noWrap w:val="0"/>
            <w:vAlign w:val="center"/>
          </w:tcPr>
          <w:p>
            <w:pPr>
              <w:pStyle w:val="25"/>
              <w:spacing w:line="320" w:lineRule="exact"/>
              <w:ind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3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6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18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2.医院各类应急预案中相关部门与人员在应急工作中承担的责任与任务明晰（0.2分）；</w:t>
            </w:r>
          </w:p>
        </w:tc>
        <w:tc>
          <w:tcPr>
            <w:tcW w:w="82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3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6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18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3.访谈应急队伍成员，知晓本人承担的任务（0.2分）。</w:t>
            </w:r>
          </w:p>
        </w:tc>
        <w:tc>
          <w:tcPr>
            <w:tcW w:w="82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31"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r>
              <w:rPr>
                <w:rFonts w:hint="eastAsia" w:ascii="仿宋_GB2312" w:hAnsi="仿宋_GB2312" w:cs="仿宋_GB2312"/>
                <w:color w:val="000000"/>
                <w:sz w:val="24"/>
                <w:szCs w:val="24"/>
                <w:lang w:val="en-US" w:eastAsia="zh-CN"/>
              </w:rPr>
              <w:t>9</w:t>
            </w:r>
            <w:r>
              <w:rPr>
                <w:rFonts w:hint="eastAsia" w:ascii="仿宋_GB2312" w:hAnsi="仿宋_GB2312" w:eastAsia="仿宋_GB2312" w:cs="仿宋_GB2312"/>
                <w:color w:val="000000"/>
                <w:sz w:val="24"/>
                <w:szCs w:val="24"/>
              </w:rPr>
              <w:t>.2</w:t>
            </w:r>
          </w:p>
        </w:tc>
        <w:tc>
          <w:tcPr>
            <w:tcW w:w="2734"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完善应对突发公共卫生事件和重大事故灾害的医院紧急医疗救援与紧急救治应急预案。</w:t>
            </w:r>
          </w:p>
        </w:tc>
        <w:tc>
          <w:tcPr>
            <w:tcW w:w="1462" w:type="dxa"/>
            <w:vMerge w:val="restart"/>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记录查看</w:t>
            </w:r>
          </w:p>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现场查看</w:t>
            </w:r>
          </w:p>
        </w:tc>
        <w:tc>
          <w:tcPr>
            <w:tcW w:w="8186" w:type="dxa"/>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i w:val="0"/>
                <w:iCs w:val="0"/>
                <w:color w:val="000000"/>
                <w:kern w:val="0"/>
                <w:sz w:val="24"/>
                <w:szCs w:val="24"/>
                <w:u w:val="none"/>
                <w:lang w:val="en-US" w:eastAsia="zh-CN" w:bidi="ar"/>
              </w:rPr>
              <w:t>有医疗救援、突发公共卫生事件防控的工作记录</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824" w:type="dxa"/>
            <w:vMerge w:val="restart"/>
            <w:noWrap w:val="0"/>
            <w:vAlign w:val="center"/>
          </w:tcPr>
          <w:p>
            <w:pPr>
              <w:pStyle w:val="25"/>
              <w:spacing w:line="320" w:lineRule="exact"/>
              <w:ind w:right="105" w:rightChar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3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6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186" w:type="dxa"/>
            <w:noWrap w:val="0"/>
            <w:vAlign w:val="center"/>
          </w:tcPr>
          <w:p>
            <w:pPr>
              <w:pStyle w:val="25"/>
              <w:spacing w:line="320" w:lineRule="exact"/>
              <w:ind w:right="105" w:right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2.有医疗救援或防控工作后的总结与分析（0.</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82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3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6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186" w:type="dxa"/>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w:t>
            </w:r>
            <w:r>
              <w:rPr>
                <w:rFonts w:hint="eastAsia" w:ascii="仿宋_GB2312" w:hAnsi="仿宋_GB2312" w:eastAsia="仿宋_GB2312" w:cs="仿宋_GB2312"/>
                <w:color w:val="000000"/>
                <w:sz w:val="24"/>
                <w:szCs w:val="24"/>
                <w:lang w:val="en-US" w:eastAsia="zh-CN"/>
              </w:rPr>
              <w:t>相关应急预案的修订和完善资料</w:t>
            </w:r>
            <w:r>
              <w:rPr>
                <w:rFonts w:hint="eastAsia" w:ascii="仿宋_GB2312" w:hAnsi="仿宋_GB2312" w:eastAsia="仿宋_GB2312" w:cs="仿宋_GB2312"/>
                <w:color w:val="000000"/>
                <w:sz w:val="24"/>
                <w:szCs w:val="24"/>
              </w:rPr>
              <w:t>（0.2分）。</w:t>
            </w:r>
          </w:p>
        </w:tc>
        <w:tc>
          <w:tcPr>
            <w:tcW w:w="82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31"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r>
              <w:rPr>
                <w:rFonts w:hint="eastAsia" w:ascii="仿宋_GB2312" w:hAnsi="仿宋_GB2312" w:cs="仿宋_GB2312"/>
                <w:color w:val="000000"/>
                <w:sz w:val="24"/>
                <w:szCs w:val="24"/>
                <w:lang w:val="en-US" w:eastAsia="zh-CN"/>
              </w:rPr>
              <w:t>9</w:t>
            </w:r>
            <w:r>
              <w:rPr>
                <w:rFonts w:hint="eastAsia" w:ascii="仿宋_GB2312" w:hAnsi="仿宋_GB2312" w:eastAsia="仿宋_GB2312" w:cs="仿宋_GB2312"/>
                <w:color w:val="000000"/>
                <w:sz w:val="24"/>
                <w:szCs w:val="24"/>
              </w:rPr>
              <w:t>.3</w:t>
            </w:r>
          </w:p>
        </w:tc>
        <w:tc>
          <w:tcPr>
            <w:tcW w:w="2734" w:type="dxa"/>
            <w:vMerge w:val="restart"/>
            <w:noWrap w:val="0"/>
            <w:vAlign w:val="center"/>
          </w:tcPr>
          <w:p>
            <w:pPr>
              <w:pStyle w:val="25"/>
              <w:spacing w:line="320" w:lineRule="exact"/>
              <w:ind w:left="105" w:leftChars="50" w:right="105" w:right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定期组织应急预案培训与演练。</w:t>
            </w:r>
          </w:p>
        </w:tc>
        <w:tc>
          <w:tcPr>
            <w:tcW w:w="1462" w:type="dxa"/>
            <w:vMerge w:val="restart"/>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文件查阅</w:t>
            </w:r>
          </w:p>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r>
              <w:rPr>
                <w:rStyle w:val="27"/>
                <w:rFonts w:hint="eastAsia" w:ascii="仿宋_GB2312" w:hAnsi="仿宋_GB2312" w:eastAsia="仿宋_GB2312" w:cs="仿宋_GB2312"/>
                <w:color w:val="000000"/>
                <w:sz w:val="24"/>
                <w:szCs w:val="24"/>
              </w:rPr>
              <w:t>员工操作</w:t>
            </w:r>
          </w:p>
        </w:tc>
        <w:tc>
          <w:tcPr>
            <w:tcW w:w="8186" w:type="dxa"/>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i w:val="0"/>
                <w:iCs w:val="0"/>
                <w:color w:val="000000"/>
                <w:kern w:val="0"/>
                <w:sz w:val="24"/>
                <w:szCs w:val="24"/>
                <w:u w:val="none"/>
                <w:lang w:val="en-US" w:eastAsia="zh-CN" w:bidi="ar"/>
              </w:rPr>
              <w:t>有应急演练脚本及照片、录像资料，培训、演练每年至少1次</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分）；</w:t>
            </w:r>
          </w:p>
        </w:tc>
        <w:tc>
          <w:tcPr>
            <w:tcW w:w="824" w:type="dxa"/>
            <w:vMerge w:val="restart"/>
            <w:noWrap w:val="0"/>
            <w:vAlign w:val="center"/>
          </w:tcPr>
          <w:p>
            <w:pPr>
              <w:pStyle w:val="25"/>
              <w:spacing w:line="320" w:lineRule="exact"/>
              <w:ind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3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6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186"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2.有对突发公共卫生事件和重大事故灾害的医院紧急医疗救援与紧急救治应急预案培训的资料（0.1分）；</w:t>
            </w:r>
          </w:p>
        </w:tc>
        <w:tc>
          <w:tcPr>
            <w:tcW w:w="82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31" w:type="dxa"/>
            <w:vMerge w:val="continue"/>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p>
        </w:tc>
        <w:tc>
          <w:tcPr>
            <w:tcW w:w="2734" w:type="dxa"/>
            <w:vMerge w:val="continue"/>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p>
        </w:tc>
        <w:tc>
          <w:tcPr>
            <w:tcW w:w="1462" w:type="dxa"/>
            <w:vMerge w:val="continue"/>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p>
        </w:tc>
        <w:tc>
          <w:tcPr>
            <w:tcW w:w="8186"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3.全员熟练掌握急救知识，能够进行徒手心肺复苏 (0.1分)；</w:t>
            </w:r>
          </w:p>
        </w:tc>
        <w:tc>
          <w:tcPr>
            <w:tcW w:w="824" w:type="dxa"/>
            <w:vMerge w:val="continue"/>
            <w:noWrap w:val="0"/>
            <w:vAlign w:val="center"/>
          </w:tcPr>
          <w:p>
            <w:pPr>
              <w:pStyle w:val="25"/>
              <w:spacing w:line="320" w:lineRule="exact"/>
              <w:ind w:right="105" w:rightChars="50"/>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31"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273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1462"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8186"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4.有对应急演练的总结、分析及体现持续改进（0.1分）。</w:t>
            </w:r>
          </w:p>
        </w:tc>
        <w:tc>
          <w:tcPr>
            <w:tcW w:w="824" w:type="dxa"/>
            <w:vMerge w:val="continue"/>
            <w:noWrap w:val="0"/>
            <w:vAlign w:val="center"/>
          </w:tcPr>
          <w:p>
            <w:pPr>
              <w:pStyle w:val="25"/>
              <w:spacing w:line="320" w:lineRule="exact"/>
              <w:ind w:left="105" w:leftChars="50" w:right="105" w:rightChars="50"/>
              <w:jc w:val="center"/>
              <w:rPr>
                <w:rFonts w:hint="eastAsia" w:ascii="仿宋_GB2312" w:hAnsi="仿宋_GB2312" w:eastAsia="仿宋_GB2312" w:cs="仿宋_GB2312"/>
                <w:color w:val="000000"/>
                <w:sz w:val="24"/>
                <w:szCs w:val="24"/>
              </w:rPr>
            </w:pPr>
          </w:p>
        </w:tc>
      </w:tr>
    </w:tbl>
    <w:p>
      <w:pPr>
        <w:rPr>
          <w:rFonts w:hint="eastAsia"/>
          <w:color w:val="000000"/>
          <w:lang w:val="en-US" w:eastAsia="zh-CN"/>
        </w:rPr>
      </w:pPr>
    </w:p>
    <w:p>
      <w:pPr>
        <w:pStyle w:val="5"/>
        <w:bidi w:val="0"/>
        <w:rPr>
          <w:rFonts w:hint="eastAsia"/>
          <w:color w:val="000000"/>
          <w:lang w:val="en-US" w:eastAsia="zh-CN"/>
        </w:rPr>
      </w:pPr>
    </w:p>
    <w:p>
      <w:pPr>
        <w:pStyle w:val="5"/>
        <w:bidi w:val="0"/>
        <w:rPr>
          <w:rFonts w:hint="default"/>
          <w:color w:val="000000"/>
          <w:lang w:val="en-US" w:eastAsia="zh-CN"/>
        </w:rPr>
      </w:pPr>
      <w:bookmarkStart w:id="155" w:name="_Toc12567"/>
      <w:bookmarkStart w:id="156" w:name="_Toc23351"/>
      <w:r>
        <w:rPr>
          <w:rFonts w:hint="eastAsia"/>
          <w:color w:val="000000"/>
          <w:lang w:val="en-US" w:eastAsia="zh-CN"/>
        </w:rPr>
        <w:t>五、承担麻风病、性病防治社会责任（14分）</w:t>
      </w:r>
      <w:bookmarkEnd w:id="155"/>
      <w:bookmarkEnd w:id="156"/>
    </w:p>
    <w:tbl>
      <w:tblPr>
        <w:tblStyle w:val="14"/>
        <w:tblW w:w="1461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521"/>
        <w:gridCol w:w="1451"/>
        <w:gridCol w:w="796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trPr>
        <w:tc>
          <w:tcPr>
            <w:tcW w:w="4153" w:type="dxa"/>
            <w:gridSpan w:val="2"/>
            <w:shd w:val="clear" w:color="auto" w:fill="FEF2CC"/>
            <w:noWrap w:val="0"/>
            <w:vAlign w:val="center"/>
          </w:tcPr>
          <w:p>
            <w:pPr>
              <w:pStyle w:val="24"/>
              <w:spacing w:line="320" w:lineRule="exact"/>
              <w:jc w:val="center"/>
              <w:rPr>
                <w:rFonts w:hint="eastAsia" w:ascii="仿宋_GB2312" w:hAnsi="仿宋_GB2312" w:eastAsia="仿宋_GB2312" w:cs="仿宋_GB2312"/>
                <w:b/>
                <w:bCs/>
                <w:color w:val="000000"/>
                <w:sz w:val="24"/>
                <w:szCs w:val="24"/>
                <w:lang w:val="en-US"/>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val="en-US" w:eastAsia="zh-CN"/>
              </w:rPr>
              <w:t>指</w:t>
            </w:r>
            <w:r>
              <w:rPr>
                <w:rFonts w:hint="eastAsia" w:ascii="仿宋_GB2312" w:hAnsi="仿宋_GB2312" w:eastAsia="仿宋_GB2312" w:cs="仿宋_GB2312"/>
                <w:b/>
                <w:bCs/>
                <w:color w:val="000000"/>
                <w:sz w:val="24"/>
                <w:szCs w:val="24"/>
                <w:lang w:eastAsia="zh-CN"/>
              </w:rPr>
              <w:t>标</w:t>
            </w:r>
            <w:r>
              <w:rPr>
                <w:rFonts w:hint="eastAsia" w:ascii="仿宋_GB2312" w:hAnsi="仿宋_GB2312" w:eastAsia="仿宋_GB2312" w:cs="仿宋_GB2312"/>
                <w:b/>
                <w:bCs/>
                <w:color w:val="000000"/>
                <w:sz w:val="24"/>
                <w:szCs w:val="24"/>
                <w:lang w:val="en-US" w:eastAsia="zh-CN"/>
              </w:rPr>
              <w:t>细则</w:t>
            </w:r>
          </w:p>
        </w:tc>
        <w:tc>
          <w:tcPr>
            <w:tcW w:w="1451"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7964"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1042"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610" w:type="dxa"/>
            <w:gridSpan w:val="5"/>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十</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防治工作</w:t>
            </w:r>
            <w:r>
              <w:rPr>
                <w:rFonts w:hint="eastAsia" w:ascii="仿宋_GB2312" w:hAnsi="仿宋_GB2312" w:eastAsia="仿宋_GB2312" w:cs="仿宋_GB2312"/>
                <w:color w:val="000000"/>
                <w:kern w:val="0"/>
                <w:sz w:val="24"/>
                <w:szCs w:val="24"/>
                <w:lang w:val="en-US" w:eastAsia="zh-CN"/>
              </w:rPr>
              <w:t>设置有专职科室</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制定配套制度</w:t>
            </w:r>
            <w:r>
              <w:rPr>
                <w:rFonts w:hint="eastAsia" w:ascii="仿宋_GB2312" w:hAnsi="仿宋_GB2312" w:eastAsia="仿宋_GB2312" w:cs="仿宋_GB2312"/>
                <w:color w:val="000000"/>
                <w:kern w:val="0"/>
                <w:sz w:val="24"/>
                <w:szCs w:val="24"/>
              </w:rPr>
              <w:t>并配备相应的人员</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1.4分）</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32" w:type="dxa"/>
            <w:vMerge w:val="restart"/>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25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按照机构职能，落实文件要求设置</w:t>
            </w:r>
            <w:r>
              <w:rPr>
                <w:rFonts w:hint="eastAsia" w:ascii="仿宋_GB2312" w:hAnsi="仿宋_GB2312" w:eastAsia="仿宋_GB2312" w:cs="仿宋_GB2312"/>
                <w:color w:val="000000"/>
                <w:kern w:val="0"/>
                <w:sz w:val="24"/>
                <w:szCs w:val="24"/>
                <w:lang w:val="en-US" w:eastAsia="zh-CN"/>
              </w:rPr>
              <w:t>社会防治</w:t>
            </w:r>
            <w:r>
              <w:rPr>
                <w:rFonts w:hint="eastAsia" w:ascii="仿宋_GB2312" w:hAnsi="仿宋_GB2312" w:eastAsia="仿宋_GB2312" w:cs="仿宋_GB2312"/>
                <w:color w:val="000000"/>
                <w:kern w:val="0"/>
                <w:sz w:val="24"/>
                <w:szCs w:val="24"/>
              </w:rPr>
              <w:t>科室，开展麻风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防治工作。配备具备资质的麻风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防治人员；科室负责人具有医疗卫生相关专业中级以上职称，且从事麻风病</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性病</w:t>
            </w:r>
            <w:r>
              <w:rPr>
                <w:rFonts w:hint="eastAsia" w:ascii="仿宋_GB2312" w:hAnsi="仿宋_GB2312" w:eastAsia="仿宋_GB2312" w:cs="仿宋_GB2312"/>
                <w:color w:val="000000"/>
                <w:kern w:val="0"/>
                <w:sz w:val="24"/>
                <w:szCs w:val="24"/>
              </w:rPr>
              <w:t>防治工作</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年以上，不能外聘。</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widowControl/>
              <w:jc w:val="center"/>
              <w:rPr>
                <w:rFonts w:hint="eastAsia" w:ascii="仿宋_GB2312" w:hAnsi="仿宋_GB2312" w:eastAsia="仿宋_GB2312" w:cs="仿宋_GB2312"/>
                <w:color w:val="000000"/>
                <w:kern w:val="0"/>
                <w:sz w:val="24"/>
                <w:szCs w:val="24"/>
              </w:rPr>
            </w:pPr>
          </w:p>
        </w:tc>
        <w:tc>
          <w:tcPr>
            <w:tcW w:w="7964" w:type="dxa"/>
            <w:noWrap w:val="0"/>
            <w:vAlign w:val="center"/>
          </w:tcPr>
          <w:p>
            <w:pPr>
              <w:widowControl/>
              <w:numPr>
                <w:ilvl w:val="0"/>
                <w:numId w:val="0"/>
              </w:numP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1.医院设置有社会防治科，负责麻风病、性病防治工作，制定有麻风病、性病防治工作制度与人员岗位职责（</w:t>
            </w:r>
            <w:r>
              <w:rPr>
                <w:rFonts w:hint="eastAsia" w:ascii="仿宋_GB2312" w:hAnsi="仿宋_GB2312" w:eastAsia="仿宋_GB2312" w:cs="仿宋_GB2312"/>
                <w:color w:val="000000"/>
                <w:kern w:val="0"/>
                <w:sz w:val="24"/>
                <w:szCs w:val="24"/>
                <w:lang w:val="en-US" w:eastAsia="zh-CN"/>
              </w:rPr>
              <w:t>0.4分）</w:t>
            </w:r>
            <w:r>
              <w:rPr>
                <w:rFonts w:hint="eastAsia" w:ascii="仿宋_GB2312" w:hAnsi="仿宋_GB2312" w:eastAsia="仿宋_GB2312" w:cs="仿宋_GB2312"/>
                <w:color w:val="000000"/>
                <w:kern w:val="0"/>
                <w:sz w:val="24"/>
                <w:szCs w:val="24"/>
              </w:rPr>
              <w:t>；</w:t>
            </w:r>
          </w:p>
        </w:tc>
        <w:tc>
          <w:tcPr>
            <w:tcW w:w="1042"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32" w:type="dxa"/>
            <w:vMerge w:val="continue"/>
            <w:noWrap w:val="0"/>
            <w:vAlign w:val="center"/>
          </w:tcPr>
          <w:p>
            <w:pPr>
              <w:widowControl/>
              <w:rPr>
                <w:rFonts w:hint="eastAsia" w:ascii="仿宋_GB2312" w:hAnsi="仿宋_GB2312" w:eastAsia="仿宋_GB2312" w:cs="仿宋_GB2312"/>
                <w:color w:val="00000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社会防治科室负责人</w:t>
            </w:r>
            <w:r>
              <w:rPr>
                <w:rFonts w:hint="eastAsia" w:ascii="仿宋_GB2312" w:hAnsi="仿宋_GB2312" w:eastAsia="仿宋_GB2312" w:cs="仿宋_GB2312"/>
                <w:color w:val="000000"/>
                <w:kern w:val="0"/>
                <w:sz w:val="24"/>
                <w:szCs w:val="24"/>
              </w:rPr>
              <w:t>具备中级以上职称</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且从事麻风病</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性病</w:t>
            </w:r>
            <w:r>
              <w:rPr>
                <w:rFonts w:hint="eastAsia" w:ascii="仿宋_GB2312" w:hAnsi="仿宋_GB2312" w:eastAsia="仿宋_GB2312" w:cs="仿宋_GB2312"/>
                <w:color w:val="000000"/>
                <w:kern w:val="0"/>
                <w:sz w:val="24"/>
                <w:szCs w:val="24"/>
              </w:rPr>
              <w:t>防治工作</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年以上，不能外聘</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0.4分）；</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32" w:type="dxa"/>
            <w:vMerge w:val="continue"/>
            <w:noWrap w:val="0"/>
            <w:vAlign w:val="center"/>
          </w:tcPr>
          <w:p>
            <w:pPr>
              <w:widowControl/>
              <w:rPr>
                <w:rFonts w:hint="eastAsia" w:ascii="仿宋_GB2312" w:hAnsi="仿宋_GB2312" w:eastAsia="仿宋_GB2312" w:cs="仿宋_GB2312"/>
                <w:color w:val="00000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3.科室配备有预防医学专业医师（0.4分）；</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4.访谈相关人员知晓麻风防治工作制度和岗位职责</w:t>
            </w:r>
            <w:r>
              <w:rPr>
                <w:rFonts w:hint="eastAsia" w:ascii="仿宋_GB2312" w:hAnsi="仿宋_GB2312" w:eastAsia="仿宋_GB2312" w:cs="仿宋_GB2312"/>
                <w:i w:val="0"/>
                <w:iCs w:val="0"/>
                <w:color w:val="000000"/>
                <w:kern w:val="0"/>
                <w:sz w:val="24"/>
                <w:szCs w:val="24"/>
                <w:u w:val="none"/>
                <w:lang w:val="en-US" w:eastAsia="zh-CN" w:bidi="ar"/>
              </w:rPr>
              <w:t>（0.2分）。</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610" w:type="dxa"/>
            <w:gridSpan w:val="5"/>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lang w:val="en-US" w:eastAsia="zh-CN"/>
              </w:rPr>
              <w:t>（十一）承担国家相关麻风病、性病防治项目工作，开展全区麻风病、性病防治工作质控和</w:t>
            </w:r>
            <w:r>
              <w:rPr>
                <w:rFonts w:hint="eastAsia" w:ascii="仿宋_GB2312" w:hAnsi="仿宋_GB2312" w:eastAsia="仿宋_GB2312" w:cs="仿宋_GB2312"/>
                <w:color w:val="000000"/>
                <w:sz w:val="24"/>
                <w:szCs w:val="24"/>
              </w:rPr>
              <w:t>技术业务指导</w:t>
            </w:r>
            <w:r>
              <w:rPr>
                <w:rFonts w:hint="eastAsia" w:ascii="仿宋_GB2312" w:hAnsi="仿宋_GB2312" w:eastAsia="仿宋_GB2312" w:cs="仿宋_GB2312"/>
                <w:color w:val="000000"/>
                <w:sz w:val="24"/>
                <w:szCs w:val="24"/>
                <w:lang w:val="en-US" w:eastAsia="zh-CN"/>
              </w:rPr>
              <w:t>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提出防治对策（2.6分）。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2" w:type="dxa"/>
            <w:vMerge w:val="restart"/>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1.5.11</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2521"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参与</w:t>
            </w:r>
            <w:r>
              <w:rPr>
                <w:rFonts w:hint="eastAsia" w:ascii="仿宋_GB2312" w:hAnsi="仿宋_GB2312" w:eastAsia="仿宋_GB2312" w:cs="仿宋_GB2312"/>
                <w:color w:val="000000"/>
                <w:sz w:val="24"/>
                <w:szCs w:val="24"/>
                <w:lang w:val="en-US" w:eastAsia="zh-CN"/>
              </w:rPr>
              <w:t>国家相关麻风病、性病防治</w:t>
            </w:r>
            <w:r>
              <w:rPr>
                <w:rFonts w:hint="eastAsia" w:ascii="仿宋_GB2312" w:hAnsi="仿宋_GB2312" w:eastAsia="仿宋_GB2312" w:cs="仿宋_GB2312"/>
                <w:color w:val="000000"/>
                <w:sz w:val="24"/>
                <w:szCs w:val="24"/>
              </w:rPr>
              <w:t>项目</w:t>
            </w:r>
            <w:r>
              <w:rPr>
                <w:rFonts w:hint="eastAsia" w:ascii="仿宋_GB2312" w:hAnsi="仿宋_GB2312" w:eastAsia="仿宋_GB2312" w:cs="仿宋_GB2312"/>
                <w:color w:val="000000"/>
                <w:sz w:val="24"/>
                <w:szCs w:val="24"/>
                <w:lang w:val="en-US" w:eastAsia="zh-CN"/>
              </w:rPr>
              <w:t>工作，</w:t>
            </w:r>
            <w:r>
              <w:rPr>
                <w:rFonts w:hint="eastAsia" w:ascii="仿宋_GB2312" w:hAnsi="仿宋_GB2312" w:eastAsia="仿宋_GB2312" w:cs="仿宋_GB2312"/>
                <w:color w:val="000000"/>
                <w:sz w:val="24"/>
                <w:szCs w:val="24"/>
              </w:rPr>
              <w:t>形成总结报告并提出防治对策</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开展麻风病防治工作质量控制和量化评估工作，</w:t>
            </w:r>
            <w:r>
              <w:rPr>
                <w:rFonts w:hint="eastAsia" w:ascii="仿宋_GB2312" w:hAnsi="仿宋_GB2312" w:eastAsia="仿宋_GB2312" w:cs="仿宋_GB2312"/>
                <w:color w:val="000000"/>
                <w:sz w:val="24"/>
                <w:szCs w:val="24"/>
              </w:rPr>
              <w:t>负责</w:t>
            </w:r>
            <w:r>
              <w:rPr>
                <w:rFonts w:hint="eastAsia" w:ascii="仿宋_GB2312" w:hAnsi="仿宋_GB2312" w:eastAsia="仿宋_GB2312" w:cs="仿宋_GB2312"/>
                <w:color w:val="000000"/>
                <w:sz w:val="24"/>
                <w:szCs w:val="24"/>
                <w:lang w:val="en-US" w:eastAsia="zh-CN"/>
              </w:rPr>
              <w:t>技术</w:t>
            </w:r>
            <w:r>
              <w:rPr>
                <w:rFonts w:hint="eastAsia" w:ascii="仿宋_GB2312" w:hAnsi="仿宋_GB2312" w:eastAsia="仿宋_GB2312" w:cs="仿宋_GB2312"/>
                <w:color w:val="000000"/>
                <w:sz w:val="24"/>
                <w:szCs w:val="24"/>
              </w:rPr>
              <w:t>指导工作。</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widowControl/>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1.制定有</w:t>
            </w:r>
            <w:r>
              <w:rPr>
                <w:rFonts w:hint="eastAsia" w:ascii="仿宋_GB2312" w:hAnsi="仿宋_GB2312" w:eastAsia="仿宋_GB2312" w:cs="仿宋_GB2312"/>
                <w:color w:val="000000"/>
                <w:sz w:val="24"/>
                <w:szCs w:val="24"/>
                <w:lang w:val="en-US" w:eastAsia="zh-CN"/>
              </w:rPr>
              <w:t>麻风病、性病防治</w:t>
            </w:r>
            <w:r>
              <w:rPr>
                <w:rFonts w:hint="eastAsia" w:ascii="仿宋_GB2312" w:hAnsi="仿宋_GB2312" w:eastAsia="仿宋_GB2312" w:cs="仿宋_GB2312"/>
                <w:color w:val="000000"/>
                <w:sz w:val="24"/>
                <w:szCs w:val="24"/>
              </w:rPr>
              <w:t>项目</w:t>
            </w:r>
            <w:r>
              <w:rPr>
                <w:rFonts w:hint="eastAsia" w:ascii="仿宋_GB2312" w:hAnsi="仿宋_GB2312" w:eastAsia="仿宋_GB2312" w:cs="仿宋_GB2312"/>
                <w:color w:val="000000"/>
                <w:sz w:val="24"/>
                <w:szCs w:val="24"/>
                <w:lang w:val="en-US" w:eastAsia="zh-CN"/>
              </w:rPr>
              <w:t>工作计划和实施方案（0.3分）；</w:t>
            </w:r>
          </w:p>
        </w:tc>
        <w:tc>
          <w:tcPr>
            <w:tcW w:w="1042" w:type="dxa"/>
            <w:vMerge w:val="restart"/>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2.制定有</w:t>
            </w:r>
            <w:r>
              <w:rPr>
                <w:rFonts w:hint="eastAsia" w:ascii="仿宋_GB2312" w:hAnsi="仿宋_GB2312" w:eastAsia="仿宋_GB2312" w:cs="仿宋_GB2312"/>
                <w:color w:val="000000"/>
                <w:sz w:val="24"/>
                <w:szCs w:val="24"/>
                <w:lang w:val="en-US" w:eastAsia="zh-CN"/>
              </w:rPr>
              <w:t>麻风病、性病防治工作质量评估实施方案（0.3分）；</w:t>
            </w:r>
          </w:p>
        </w:tc>
        <w:tc>
          <w:tcPr>
            <w:tcW w:w="1042"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3.每年定期</w:t>
            </w:r>
            <w:r>
              <w:rPr>
                <w:rFonts w:hint="eastAsia" w:ascii="仿宋_GB2312" w:hAnsi="仿宋_GB2312" w:eastAsia="仿宋_GB2312" w:cs="仿宋_GB2312"/>
                <w:color w:val="000000"/>
                <w:kern w:val="0"/>
                <w:sz w:val="24"/>
                <w:szCs w:val="24"/>
                <w:lang w:val="en-US" w:eastAsia="zh-CN"/>
              </w:rPr>
              <w:t>开展</w:t>
            </w:r>
            <w:r>
              <w:rPr>
                <w:rFonts w:hint="eastAsia" w:ascii="仿宋_GB2312" w:hAnsi="仿宋_GB2312" w:eastAsia="仿宋_GB2312" w:cs="仿宋_GB2312"/>
                <w:color w:val="000000"/>
                <w:sz w:val="24"/>
                <w:szCs w:val="24"/>
                <w:lang w:val="en-US" w:eastAsia="zh-CN"/>
              </w:rPr>
              <w:t>麻风病、性病防治工作质量控制及现场督导</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并提供</w:t>
            </w:r>
            <w:r>
              <w:rPr>
                <w:rFonts w:hint="eastAsia" w:ascii="仿宋_GB2312" w:hAnsi="仿宋_GB2312" w:eastAsia="仿宋_GB2312" w:cs="仿宋_GB2312"/>
                <w:color w:val="000000"/>
                <w:sz w:val="24"/>
                <w:szCs w:val="24"/>
              </w:rPr>
              <w:t>有关资料</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0.5分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p>
        </w:tc>
        <w:tc>
          <w:tcPr>
            <w:tcW w:w="1042"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4.对麻风病、性病防治工作有总结和持续改进等材料</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0.5分</w:t>
            </w:r>
            <w:r>
              <w:rPr>
                <w:rFonts w:hint="eastAsia" w:ascii="仿宋_GB2312" w:hAnsi="仿宋_GB2312" w:eastAsia="仿宋_GB2312" w:cs="仿宋_GB2312"/>
                <w:color w:val="000000"/>
                <w:sz w:val="24"/>
                <w:szCs w:val="24"/>
                <w:lang w:eastAsia="zh-CN"/>
              </w:rPr>
              <w:t>）。</w:t>
            </w:r>
          </w:p>
        </w:tc>
        <w:tc>
          <w:tcPr>
            <w:tcW w:w="1042"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32"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1.5.11</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w:t>
            </w:r>
          </w:p>
        </w:tc>
        <w:tc>
          <w:tcPr>
            <w:tcW w:w="2521"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承担本地区</w:t>
            </w:r>
            <w:r>
              <w:rPr>
                <w:rFonts w:hint="eastAsia" w:ascii="仿宋_GB2312" w:hAnsi="仿宋_GB2312" w:eastAsia="仿宋_GB2312" w:cs="仿宋_GB2312"/>
                <w:color w:val="000000"/>
                <w:sz w:val="24"/>
                <w:szCs w:val="24"/>
                <w:lang w:val="en-US" w:eastAsia="zh-CN"/>
              </w:rPr>
              <w:t>麻风病、性病</w:t>
            </w:r>
            <w:r>
              <w:rPr>
                <w:rFonts w:hint="eastAsia" w:ascii="仿宋_GB2312" w:hAnsi="仿宋_GB2312" w:eastAsia="仿宋_GB2312" w:cs="仿宋_GB2312"/>
                <w:color w:val="000000"/>
                <w:sz w:val="24"/>
                <w:szCs w:val="24"/>
              </w:rPr>
              <w:t>发病信息统计</w:t>
            </w:r>
            <w:r>
              <w:rPr>
                <w:rFonts w:hint="eastAsia" w:ascii="仿宋_GB2312" w:hAnsi="仿宋_GB2312" w:eastAsia="仿宋_GB2312" w:cs="仿宋_GB2312"/>
                <w:color w:val="000000"/>
                <w:sz w:val="24"/>
                <w:szCs w:val="24"/>
                <w:lang w:val="en-US" w:eastAsia="zh-CN"/>
              </w:rPr>
              <w:t>分析</w:t>
            </w: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lang w:val="en-US" w:eastAsia="zh-CN"/>
              </w:rPr>
              <w:t>1.每年至少开展一次本地区麻风病疫情分析，有建议和持续改进措施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0.5分</w:t>
            </w:r>
            <w:r>
              <w:rPr>
                <w:rFonts w:hint="eastAsia" w:ascii="仿宋_GB2312" w:hAnsi="仿宋_GB2312" w:eastAsia="仿宋_GB2312" w:cs="仿宋_GB2312"/>
                <w:color w:val="000000"/>
                <w:sz w:val="24"/>
                <w:szCs w:val="24"/>
                <w:lang w:eastAsia="zh-CN"/>
              </w:rPr>
              <w:t>）；</w:t>
            </w:r>
          </w:p>
        </w:tc>
        <w:tc>
          <w:tcPr>
            <w:tcW w:w="1042" w:type="dxa"/>
            <w:vMerge w:val="restart"/>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2.每季度至少开展一次本地区性病疫情分析，有</w:t>
            </w:r>
            <w:r>
              <w:rPr>
                <w:rFonts w:hint="eastAsia" w:ascii="仿宋_GB2312" w:hAnsi="仿宋_GB2312" w:eastAsia="仿宋_GB2312" w:cs="仿宋_GB2312"/>
                <w:color w:val="000000"/>
                <w:sz w:val="24"/>
                <w:szCs w:val="24"/>
                <w:lang w:val="en-US" w:eastAsia="zh-CN"/>
              </w:rPr>
              <w:t>建议和持续改进措施</w:t>
            </w:r>
            <w:r>
              <w:rPr>
                <w:rFonts w:hint="eastAsia" w:ascii="仿宋_GB2312" w:hAnsi="仿宋_GB2312" w:eastAsia="仿宋_GB2312" w:cs="仿宋_GB2312"/>
                <w:color w:val="000000"/>
                <w:kern w:val="0"/>
                <w:sz w:val="24"/>
                <w:szCs w:val="24"/>
                <w:lang w:val="en-US" w:eastAsia="zh-CN"/>
              </w:rPr>
              <w:t>（0.5分）。</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610" w:type="dxa"/>
            <w:gridSpan w:val="5"/>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十二</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麻风病</w:t>
            </w:r>
            <w:r>
              <w:rPr>
                <w:rFonts w:hint="eastAsia" w:ascii="仿宋_GB2312" w:hAnsi="仿宋_GB2312" w:eastAsia="仿宋_GB2312" w:cs="仿宋_GB2312"/>
                <w:color w:val="000000"/>
                <w:kern w:val="0"/>
                <w:sz w:val="24"/>
                <w:szCs w:val="24"/>
                <w:lang w:eastAsia="zh-CN"/>
              </w:rPr>
              <w:t>专业诊疗技术水平</w:t>
            </w:r>
            <w:r>
              <w:rPr>
                <w:rFonts w:hint="eastAsia" w:ascii="仿宋_GB2312" w:hAnsi="仿宋_GB2312" w:eastAsia="仿宋_GB2312" w:cs="仿宋_GB2312"/>
                <w:color w:val="000000"/>
                <w:kern w:val="0"/>
                <w:sz w:val="24"/>
                <w:szCs w:val="24"/>
                <w:lang w:val="en-US" w:eastAsia="zh-CN"/>
              </w:rPr>
              <w:t>在自治区级</w:t>
            </w:r>
            <w:r>
              <w:rPr>
                <w:rFonts w:hint="eastAsia" w:ascii="仿宋_GB2312" w:hAnsi="仿宋_GB2312" w:eastAsia="仿宋_GB2312" w:cs="仿宋_GB2312"/>
                <w:color w:val="000000"/>
                <w:kern w:val="0"/>
                <w:sz w:val="24"/>
                <w:szCs w:val="24"/>
                <w:lang w:eastAsia="zh-CN"/>
              </w:rPr>
              <w:t>专业领域学科优势明显，</w:t>
            </w:r>
            <w:r>
              <w:rPr>
                <w:rFonts w:hint="eastAsia" w:ascii="仿宋_GB2312" w:hAnsi="仿宋_GB2312" w:eastAsia="仿宋_GB2312" w:cs="仿宋_GB2312"/>
                <w:color w:val="000000"/>
                <w:kern w:val="0"/>
                <w:sz w:val="24"/>
                <w:szCs w:val="24"/>
                <w:lang w:val="en-US" w:eastAsia="zh-CN"/>
              </w:rPr>
              <w:t>并参与麻风病诊疗工作</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4分</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32" w:type="dxa"/>
            <w:vMerge w:val="restart"/>
            <w:noWrap w:val="0"/>
            <w:vAlign w:val="center"/>
          </w:tcPr>
          <w:p>
            <w:pPr>
              <w:widowControl/>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2.1</w:t>
            </w:r>
          </w:p>
        </w:tc>
        <w:tc>
          <w:tcPr>
            <w:tcW w:w="25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设有麻风</w:t>
            </w:r>
            <w:r>
              <w:rPr>
                <w:rFonts w:hint="eastAsia" w:ascii="仿宋_GB2312" w:hAnsi="仿宋_GB2312" w:eastAsia="仿宋_GB2312" w:cs="仿宋_GB2312"/>
                <w:color w:val="000000"/>
                <w:kern w:val="0"/>
                <w:sz w:val="24"/>
                <w:szCs w:val="24"/>
                <w:lang w:val="en-US" w:eastAsia="zh-CN"/>
              </w:rPr>
              <w:t>病患者诊疗场所、对麻风病防治药品规范管理，能按照诊疗规范和技术操作规程开展诊疗工作</w:t>
            </w:r>
            <w:r>
              <w:rPr>
                <w:rFonts w:hint="eastAsia" w:ascii="仿宋_GB2312" w:hAnsi="仿宋_GB2312" w:eastAsia="仿宋_GB2312" w:cs="仿宋_GB2312"/>
                <w:color w:val="000000"/>
                <w:kern w:val="0"/>
                <w:sz w:val="24"/>
                <w:szCs w:val="24"/>
              </w:rPr>
              <w:t>。</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7964" w:type="dxa"/>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1.设置有麻风病诊查区域，</w:t>
            </w:r>
            <w:r>
              <w:rPr>
                <w:rFonts w:hint="eastAsia" w:ascii="仿宋_GB2312" w:hAnsi="仿宋_GB2312" w:eastAsia="仿宋_GB2312" w:cs="仿宋_GB2312"/>
                <w:color w:val="000000"/>
                <w:kern w:val="0"/>
                <w:sz w:val="24"/>
                <w:szCs w:val="24"/>
              </w:rPr>
              <w:t>麻风检查、检验</w:t>
            </w:r>
            <w:r>
              <w:rPr>
                <w:rFonts w:hint="eastAsia" w:ascii="仿宋_GB2312" w:hAnsi="仿宋_GB2312" w:eastAsia="仿宋_GB2312" w:cs="仿宋_GB2312"/>
                <w:color w:val="000000"/>
                <w:kern w:val="0"/>
                <w:sz w:val="24"/>
                <w:szCs w:val="24"/>
                <w:lang w:eastAsia="zh-CN"/>
              </w:rPr>
              <w:t>场所满足工作需要（</w:t>
            </w:r>
            <w:r>
              <w:rPr>
                <w:rFonts w:hint="eastAsia" w:ascii="仿宋_GB2312" w:hAnsi="仿宋_GB2312" w:eastAsia="仿宋_GB2312" w:cs="仿宋_GB2312"/>
                <w:color w:val="000000"/>
                <w:kern w:val="0"/>
                <w:sz w:val="24"/>
                <w:szCs w:val="24"/>
                <w:lang w:val="en-US" w:eastAsia="zh-CN"/>
              </w:rPr>
              <w:t>0.5</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1042" w:type="dxa"/>
            <w:vMerge w:val="restart"/>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2.设置有麻风病化学治疗药物库房，并符合相关要求（0.5分）；</w:t>
            </w:r>
          </w:p>
        </w:tc>
        <w:tc>
          <w:tcPr>
            <w:tcW w:w="1042"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制定</w:t>
            </w:r>
            <w:r>
              <w:rPr>
                <w:rFonts w:hint="eastAsia" w:ascii="仿宋_GB2312" w:hAnsi="仿宋_GB2312" w:eastAsia="仿宋_GB2312" w:cs="仿宋_GB2312"/>
                <w:i w:val="0"/>
                <w:iCs w:val="0"/>
                <w:color w:val="000000"/>
                <w:kern w:val="0"/>
                <w:sz w:val="24"/>
                <w:szCs w:val="24"/>
                <w:u w:val="none"/>
                <w:lang w:val="en-US" w:eastAsia="zh-CN" w:bidi="ar"/>
              </w:rPr>
              <w:t>有麻风病诊疗规范与技术操作规程（</w:t>
            </w:r>
            <w:r>
              <w:rPr>
                <w:rFonts w:hint="eastAsia" w:ascii="仿宋_GB2312" w:hAnsi="仿宋_GB2312" w:eastAsia="仿宋_GB2312" w:cs="仿宋_GB2312"/>
                <w:color w:val="000000"/>
                <w:kern w:val="0"/>
                <w:sz w:val="24"/>
                <w:szCs w:val="24"/>
                <w:lang w:val="en-US" w:eastAsia="zh-CN"/>
              </w:rPr>
              <w:t>0.5分）</w:t>
            </w:r>
            <w:r>
              <w:rPr>
                <w:rFonts w:hint="eastAsia" w:ascii="仿宋_GB2312" w:hAnsi="仿宋_GB2312" w:eastAsia="仿宋_GB2312" w:cs="仿宋_GB2312"/>
                <w:color w:val="000000"/>
                <w:kern w:val="0"/>
                <w:sz w:val="24"/>
                <w:szCs w:val="24"/>
              </w:rPr>
              <w:t>；</w:t>
            </w:r>
          </w:p>
        </w:tc>
        <w:tc>
          <w:tcPr>
            <w:tcW w:w="1042"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4.有对麻风患者开展诊查工作记录（0.5分）。</w:t>
            </w:r>
          </w:p>
        </w:tc>
        <w:tc>
          <w:tcPr>
            <w:tcW w:w="1042"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2</w:t>
            </w:r>
          </w:p>
        </w:tc>
        <w:tc>
          <w:tcPr>
            <w:tcW w:w="25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配备与麻风诊疗相适应的各类检查仪器设备（查菌、病理设备等），并能正常使用。开展麻风组织涂片查菌、组织病理检查</w:t>
            </w:r>
            <w:r>
              <w:rPr>
                <w:rFonts w:hint="eastAsia" w:ascii="仿宋_GB2312" w:hAnsi="仿宋_GB2312" w:eastAsia="仿宋_GB2312" w:cs="仿宋_GB2312"/>
                <w:color w:val="000000"/>
                <w:kern w:val="0"/>
                <w:sz w:val="24"/>
                <w:szCs w:val="24"/>
                <w:lang w:val="en-US" w:eastAsia="zh-CN"/>
              </w:rPr>
              <w:t>质量管理工作</w:t>
            </w:r>
            <w:r>
              <w:rPr>
                <w:rFonts w:hint="eastAsia" w:ascii="仿宋_GB2312" w:hAnsi="仿宋_GB2312" w:eastAsia="仿宋_GB2312" w:cs="仿宋_GB2312"/>
                <w:color w:val="000000"/>
                <w:kern w:val="0"/>
                <w:sz w:val="24"/>
                <w:szCs w:val="24"/>
              </w:rPr>
              <w:t>。</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7964" w:type="dxa"/>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1.麻风检测仪器设备</w:t>
            </w:r>
            <w:r>
              <w:rPr>
                <w:rFonts w:hint="eastAsia" w:ascii="仿宋_GB2312" w:hAnsi="仿宋_GB2312" w:eastAsia="仿宋_GB2312" w:cs="仿宋_GB2312"/>
                <w:color w:val="000000"/>
                <w:kern w:val="0"/>
                <w:sz w:val="24"/>
                <w:szCs w:val="24"/>
                <w:lang w:eastAsia="zh-CN"/>
              </w:rPr>
              <w:t>维护情况，</w:t>
            </w:r>
            <w:r>
              <w:rPr>
                <w:rFonts w:hint="eastAsia" w:ascii="仿宋_GB2312" w:hAnsi="仿宋_GB2312" w:eastAsia="仿宋_GB2312" w:cs="仿宋_GB2312"/>
                <w:color w:val="000000"/>
                <w:kern w:val="0"/>
                <w:sz w:val="24"/>
                <w:szCs w:val="24"/>
              </w:rPr>
              <w:t>使用记录和保养记录完整（0.</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c>
          <w:tcPr>
            <w:tcW w:w="1042"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32" w:type="dxa"/>
            <w:vMerge w:val="continue"/>
            <w:noWrap w:val="0"/>
            <w:vAlign w:val="center"/>
          </w:tcPr>
          <w:p>
            <w:pPr>
              <w:widowControl/>
              <w:ind w:firstLine="480" w:firstLineChars="200"/>
              <w:rPr>
                <w:rFonts w:hint="eastAsia" w:ascii="仿宋_GB2312" w:hAnsi="仿宋_GB2312" w:eastAsia="仿宋_GB2312" w:cs="仿宋_GB2312"/>
                <w:color w:val="000000"/>
                <w:sz w:val="24"/>
                <w:szCs w:val="24"/>
              </w:rPr>
            </w:pPr>
          </w:p>
        </w:tc>
        <w:tc>
          <w:tcPr>
            <w:tcW w:w="2521" w:type="dxa"/>
            <w:vMerge w:val="continue"/>
            <w:noWrap w:val="0"/>
            <w:vAlign w:val="center"/>
          </w:tcPr>
          <w:p>
            <w:pPr>
              <w:widowControl/>
              <w:ind w:firstLine="480" w:firstLineChars="200"/>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ind w:firstLine="480" w:firstLineChars="200"/>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制定有</w:t>
            </w:r>
            <w:r>
              <w:rPr>
                <w:rFonts w:hint="eastAsia" w:ascii="仿宋_GB2312" w:hAnsi="仿宋_GB2312" w:eastAsia="仿宋_GB2312" w:cs="仿宋_GB2312"/>
                <w:color w:val="000000"/>
                <w:kern w:val="0"/>
                <w:sz w:val="24"/>
                <w:szCs w:val="24"/>
              </w:rPr>
              <w:t>麻风组织涂片查菌、组织病理检查</w:t>
            </w:r>
            <w:r>
              <w:rPr>
                <w:rFonts w:hint="eastAsia" w:ascii="仿宋_GB2312" w:hAnsi="仿宋_GB2312" w:eastAsia="仿宋_GB2312" w:cs="仿宋_GB2312"/>
                <w:color w:val="000000"/>
                <w:kern w:val="0"/>
                <w:sz w:val="24"/>
                <w:szCs w:val="24"/>
                <w:lang w:val="en-US" w:eastAsia="zh-CN"/>
              </w:rPr>
              <w:t>操作规范和流程</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1042" w:type="dxa"/>
            <w:vMerge w:val="continue"/>
            <w:noWrap w:val="0"/>
            <w:vAlign w:val="center"/>
          </w:tcPr>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自主开展麻风组织涂片查菌、组织病理检查</w:t>
            </w:r>
            <w:r>
              <w:rPr>
                <w:rFonts w:hint="eastAsia" w:ascii="仿宋_GB2312" w:hAnsi="仿宋_GB2312" w:eastAsia="仿宋_GB2312" w:cs="仿宋_GB2312"/>
                <w:color w:val="000000"/>
                <w:kern w:val="0"/>
                <w:sz w:val="24"/>
                <w:szCs w:val="24"/>
                <w:lang w:eastAsia="zh-CN"/>
              </w:rPr>
              <w:t>记录（</w:t>
            </w:r>
            <w:r>
              <w:rPr>
                <w:rFonts w:hint="eastAsia" w:ascii="仿宋_GB2312" w:hAnsi="仿宋_GB2312" w:eastAsia="仿宋_GB2312" w:cs="仿宋_GB2312"/>
                <w:color w:val="000000"/>
                <w:kern w:val="0"/>
                <w:sz w:val="24"/>
                <w:szCs w:val="24"/>
                <w:lang w:val="en-US" w:eastAsia="zh-CN"/>
              </w:rPr>
              <w:t>0.5</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1042"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32" w:type="dxa"/>
            <w:vMerge w:val="continue"/>
            <w:noWrap w:val="0"/>
            <w:vAlign w:val="center"/>
          </w:tcPr>
          <w:p>
            <w:pPr>
              <w:widowControl/>
              <w:rPr>
                <w:rFonts w:hint="eastAsia" w:ascii="仿宋_GB2312" w:hAnsi="仿宋_GB2312" w:eastAsia="仿宋_GB2312" w:cs="仿宋_GB2312"/>
                <w:color w:val="00000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4.定期</w:t>
            </w:r>
            <w:r>
              <w:rPr>
                <w:rFonts w:hint="eastAsia" w:ascii="仿宋_GB2312" w:hAnsi="仿宋_GB2312" w:eastAsia="仿宋_GB2312" w:cs="仿宋_GB2312"/>
                <w:color w:val="000000"/>
                <w:kern w:val="0"/>
                <w:sz w:val="24"/>
                <w:szCs w:val="24"/>
              </w:rPr>
              <w:t>开展麻风组织涂片查菌、组织病理检查</w:t>
            </w:r>
            <w:r>
              <w:rPr>
                <w:rFonts w:hint="eastAsia" w:ascii="仿宋_GB2312" w:hAnsi="仿宋_GB2312" w:eastAsia="仿宋_GB2312" w:cs="仿宋_GB2312"/>
                <w:color w:val="000000"/>
                <w:kern w:val="0"/>
                <w:sz w:val="24"/>
                <w:szCs w:val="24"/>
                <w:lang w:val="en-US" w:eastAsia="zh-CN"/>
              </w:rPr>
              <w:t>质控工作，有改进措施</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0.5</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610" w:type="dxa"/>
            <w:gridSpan w:val="5"/>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十三</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建立麻风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防治培训制度，</w:t>
            </w:r>
            <w:r>
              <w:rPr>
                <w:rFonts w:hint="eastAsia" w:ascii="仿宋_GB2312" w:hAnsi="仿宋_GB2312" w:eastAsia="仿宋_GB2312" w:cs="仿宋_GB2312"/>
                <w:color w:val="000000"/>
                <w:kern w:val="0"/>
                <w:sz w:val="24"/>
                <w:szCs w:val="24"/>
                <w:lang w:val="en-US" w:eastAsia="zh-CN"/>
              </w:rPr>
              <w:t>承担全区麻风病、性病防治技能培训任务，</w:t>
            </w:r>
            <w:r>
              <w:rPr>
                <w:rFonts w:hint="eastAsia" w:ascii="仿宋_GB2312" w:hAnsi="仿宋_GB2312" w:eastAsia="仿宋_GB2312" w:cs="仿宋_GB2312"/>
                <w:color w:val="000000"/>
                <w:kern w:val="0"/>
                <w:sz w:val="24"/>
                <w:szCs w:val="24"/>
              </w:rPr>
              <w:t>并对相关人员进行培训和技能提升教育</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2.5分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32"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1.5.13.</w:t>
            </w:r>
            <w:r>
              <w:rPr>
                <w:rFonts w:hint="eastAsia" w:ascii="仿宋_GB2312" w:hAnsi="仿宋_GB2312" w:eastAsia="仿宋_GB2312" w:cs="仿宋_GB2312"/>
                <w:color w:val="000000"/>
                <w:kern w:val="0"/>
                <w:sz w:val="24"/>
                <w:szCs w:val="24"/>
              </w:rPr>
              <w:t>1</w:t>
            </w:r>
          </w:p>
        </w:tc>
        <w:tc>
          <w:tcPr>
            <w:tcW w:w="25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制定麻风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w:t>
            </w:r>
            <w:r>
              <w:rPr>
                <w:rFonts w:hint="eastAsia" w:ascii="仿宋_GB2312" w:hAnsi="仿宋_GB2312" w:eastAsia="仿宋_GB2312" w:cs="仿宋_GB2312"/>
                <w:color w:val="000000"/>
                <w:kern w:val="0"/>
                <w:sz w:val="24"/>
                <w:szCs w:val="24"/>
                <w:lang w:val="en-US" w:eastAsia="zh-CN"/>
              </w:rPr>
              <w:t>技能</w:t>
            </w:r>
            <w:r>
              <w:rPr>
                <w:rFonts w:hint="eastAsia" w:ascii="仿宋_GB2312" w:hAnsi="仿宋_GB2312" w:eastAsia="仿宋_GB2312" w:cs="仿宋_GB2312"/>
                <w:color w:val="000000"/>
                <w:kern w:val="0"/>
                <w:sz w:val="24"/>
                <w:szCs w:val="24"/>
              </w:rPr>
              <w:t>培训制度，加强相关人员技能提升教育。落实开展麻风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防治知识培训，</w:t>
            </w:r>
            <w:r>
              <w:rPr>
                <w:rFonts w:hint="eastAsia" w:ascii="仿宋_GB2312" w:hAnsi="仿宋_GB2312" w:eastAsia="仿宋_GB2312" w:cs="仿宋_GB2312"/>
                <w:color w:val="000000"/>
                <w:kern w:val="0"/>
                <w:sz w:val="24"/>
                <w:szCs w:val="24"/>
                <w:lang w:val="en-US" w:eastAsia="zh-CN"/>
              </w:rPr>
              <w:t>组织相关人员</w:t>
            </w:r>
            <w:r>
              <w:rPr>
                <w:rFonts w:hint="eastAsia" w:ascii="仿宋_GB2312" w:hAnsi="仿宋_GB2312" w:eastAsia="仿宋_GB2312" w:cs="仿宋_GB2312"/>
                <w:color w:val="000000"/>
                <w:kern w:val="0"/>
                <w:sz w:val="24"/>
                <w:szCs w:val="24"/>
              </w:rPr>
              <w:t>参加上级部门举办的防治技术培训班学习。</w:t>
            </w:r>
          </w:p>
        </w:tc>
        <w:tc>
          <w:tcPr>
            <w:tcW w:w="1451" w:type="dxa"/>
            <w:vMerge w:val="restart"/>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文件查阅</w:t>
            </w: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记录查看</w:t>
            </w: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记录查看</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现场检</w:t>
            </w:r>
            <w:r>
              <w:rPr>
                <w:rFonts w:hint="eastAsia" w:ascii="仿宋_GB2312" w:hAnsi="仿宋_GB2312" w:eastAsia="仿宋_GB2312" w:cs="仿宋_GB2312"/>
                <w:color w:val="000000"/>
                <w:sz w:val="24"/>
                <w:szCs w:val="24"/>
              </w:rPr>
              <w:t>查</w:t>
            </w:r>
          </w:p>
        </w:tc>
        <w:tc>
          <w:tcPr>
            <w:tcW w:w="7964" w:type="dxa"/>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1.制定</w:t>
            </w:r>
            <w:r>
              <w:rPr>
                <w:rFonts w:hint="eastAsia" w:ascii="仿宋_GB2312" w:hAnsi="仿宋_GB2312" w:eastAsia="仿宋_GB2312" w:cs="仿宋_GB2312"/>
                <w:color w:val="000000"/>
                <w:kern w:val="0"/>
                <w:sz w:val="24"/>
                <w:szCs w:val="24"/>
              </w:rPr>
              <w:t>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w:t>
            </w:r>
            <w:r>
              <w:rPr>
                <w:rFonts w:hint="eastAsia" w:ascii="仿宋_GB2312" w:hAnsi="仿宋_GB2312" w:eastAsia="仿宋_GB2312" w:cs="仿宋_GB2312"/>
                <w:color w:val="000000"/>
                <w:kern w:val="0"/>
                <w:sz w:val="24"/>
                <w:szCs w:val="24"/>
                <w:lang w:val="en-US" w:eastAsia="zh-CN"/>
              </w:rPr>
              <w:t>技能培训计划和实施方案</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0.5</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1042" w:type="dxa"/>
            <w:vMerge w:val="restart"/>
            <w:noWrap w:val="0"/>
            <w:vAlign w:val="center"/>
          </w:tcPr>
          <w:p>
            <w:pPr>
              <w:widowControl/>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2.严格执行</w:t>
            </w:r>
            <w:r>
              <w:rPr>
                <w:rFonts w:hint="eastAsia" w:ascii="仿宋_GB2312" w:hAnsi="仿宋_GB2312" w:eastAsia="仿宋_GB2312" w:cs="仿宋_GB2312"/>
                <w:color w:val="000000"/>
                <w:kern w:val="0"/>
                <w:sz w:val="24"/>
                <w:szCs w:val="24"/>
              </w:rPr>
              <w:t>麻风</w:t>
            </w:r>
            <w:r>
              <w:rPr>
                <w:rFonts w:hint="eastAsia" w:ascii="仿宋_GB2312" w:hAnsi="仿宋_GB2312" w:eastAsia="仿宋_GB2312" w:cs="仿宋_GB2312"/>
                <w:color w:val="000000"/>
                <w:kern w:val="0"/>
                <w:sz w:val="24"/>
                <w:szCs w:val="24"/>
                <w:lang w:val="en-US" w:eastAsia="zh-CN"/>
              </w:rPr>
              <w:t>病、性病防治技能培训计划，定期评估总结（0.5分；）；</w:t>
            </w:r>
          </w:p>
        </w:tc>
        <w:tc>
          <w:tcPr>
            <w:tcW w:w="1042" w:type="dxa"/>
            <w:vMerge w:val="continue"/>
            <w:noWrap w:val="0"/>
            <w:vAlign w:val="center"/>
          </w:tcPr>
          <w:p>
            <w:pPr>
              <w:widowControl/>
              <w:ind w:firstLine="240" w:firstLineChars="100"/>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32" w:type="dxa"/>
            <w:vMerge w:val="continue"/>
            <w:noWrap w:val="0"/>
            <w:vAlign w:val="center"/>
          </w:tcPr>
          <w:p>
            <w:pPr>
              <w:widowControl/>
              <w:rPr>
                <w:rFonts w:hint="eastAsia" w:ascii="仿宋_GB2312" w:hAnsi="仿宋_GB2312" w:eastAsia="仿宋_GB2312" w:cs="仿宋_GB2312"/>
                <w:color w:val="00000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3.每年面向全区</w:t>
            </w:r>
            <w:r>
              <w:rPr>
                <w:rFonts w:hint="eastAsia" w:ascii="仿宋_GB2312" w:hAnsi="仿宋_GB2312" w:eastAsia="仿宋_GB2312" w:cs="仿宋_GB2312"/>
                <w:color w:val="000000"/>
                <w:kern w:val="0"/>
                <w:sz w:val="24"/>
                <w:szCs w:val="24"/>
              </w:rPr>
              <w:t>麻风</w:t>
            </w:r>
            <w:r>
              <w:rPr>
                <w:rFonts w:hint="eastAsia" w:ascii="仿宋_GB2312" w:hAnsi="仿宋_GB2312" w:eastAsia="仿宋_GB2312" w:cs="仿宋_GB2312"/>
                <w:color w:val="000000"/>
                <w:kern w:val="0"/>
                <w:sz w:val="24"/>
                <w:szCs w:val="24"/>
                <w:lang w:val="en-US" w:eastAsia="zh-CN"/>
              </w:rPr>
              <w:t>病、性病防治人员定期开展</w:t>
            </w:r>
            <w:r>
              <w:rPr>
                <w:rFonts w:hint="eastAsia" w:ascii="仿宋_GB2312" w:hAnsi="仿宋_GB2312" w:eastAsia="仿宋_GB2312" w:cs="仿宋_GB2312"/>
                <w:color w:val="000000"/>
                <w:kern w:val="0"/>
                <w:sz w:val="24"/>
                <w:szCs w:val="24"/>
              </w:rPr>
              <w:t>麻风防治知识培训（0.</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32" w:type="dxa"/>
            <w:vMerge w:val="continue"/>
            <w:noWrap w:val="0"/>
            <w:vAlign w:val="center"/>
          </w:tcPr>
          <w:p>
            <w:pPr>
              <w:widowControl/>
              <w:rPr>
                <w:rFonts w:hint="eastAsia" w:ascii="仿宋_GB2312" w:hAnsi="仿宋_GB2312" w:eastAsia="仿宋_GB2312" w:cs="仿宋_GB2312"/>
                <w:color w:val="00000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每年组织</w:t>
            </w:r>
            <w:r>
              <w:rPr>
                <w:rFonts w:hint="eastAsia" w:ascii="仿宋_GB2312" w:hAnsi="仿宋_GB2312" w:eastAsia="仿宋_GB2312" w:cs="仿宋_GB2312"/>
                <w:color w:val="000000"/>
                <w:kern w:val="0"/>
                <w:sz w:val="24"/>
                <w:szCs w:val="24"/>
              </w:rPr>
              <w:t>参加上级部门举办的麻风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防治技术培训班学习（0.</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32" w:type="dxa"/>
            <w:vMerge w:val="continue"/>
            <w:noWrap w:val="0"/>
            <w:vAlign w:val="center"/>
          </w:tcPr>
          <w:p>
            <w:pPr>
              <w:widowControl/>
              <w:rPr>
                <w:rFonts w:hint="eastAsia" w:ascii="仿宋_GB2312" w:hAnsi="仿宋_GB2312" w:eastAsia="仿宋_GB2312" w:cs="仿宋_GB2312"/>
                <w:color w:val="00000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5.定期征求参加培训人员对培训工作的意见和建议（0.5分）。</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610" w:type="dxa"/>
            <w:gridSpan w:val="5"/>
            <w:noWrap w:val="0"/>
            <w:vAlign w:val="center"/>
          </w:tcPr>
          <w:p>
            <w:pPr>
              <w:widowControl/>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十四</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建立健全麻风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w:t>
            </w:r>
            <w:r>
              <w:rPr>
                <w:rFonts w:hint="eastAsia" w:ascii="仿宋_GB2312" w:hAnsi="仿宋_GB2312" w:eastAsia="仿宋_GB2312" w:cs="仿宋_GB2312"/>
                <w:color w:val="000000"/>
                <w:kern w:val="0"/>
                <w:sz w:val="24"/>
                <w:szCs w:val="24"/>
                <w:lang w:val="en-US" w:eastAsia="zh-CN"/>
              </w:rPr>
              <w:t>宣教</w:t>
            </w:r>
            <w:r>
              <w:rPr>
                <w:rFonts w:hint="eastAsia" w:ascii="仿宋_GB2312" w:hAnsi="仿宋_GB2312" w:eastAsia="仿宋_GB2312" w:cs="仿宋_GB2312"/>
                <w:color w:val="000000"/>
                <w:kern w:val="0"/>
                <w:sz w:val="24"/>
                <w:szCs w:val="24"/>
              </w:rPr>
              <w:t>管理制度，能持续应对新形势下的不同人群的</w:t>
            </w:r>
            <w:r>
              <w:rPr>
                <w:rFonts w:hint="eastAsia" w:ascii="仿宋_GB2312" w:hAnsi="仿宋_GB2312" w:eastAsia="仿宋_GB2312" w:cs="仿宋_GB2312"/>
                <w:color w:val="000000"/>
                <w:kern w:val="0"/>
                <w:sz w:val="24"/>
                <w:szCs w:val="24"/>
                <w:lang w:val="en-US" w:eastAsia="zh-CN"/>
              </w:rPr>
              <w:t>宣教</w:t>
            </w:r>
            <w:r>
              <w:rPr>
                <w:rFonts w:hint="eastAsia" w:ascii="仿宋_GB2312" w:hAnsi="仿宋_GB2312" w:eastAsia="仿宋_GB2312" w:cs="仿宋_GB2312"/>
                <w:color w:val="000000"/>
                <w:kern w:val="0"/>
                <w:sz w:val="24"/>
                <w:szCs w:val="24"/>
              </w:rPr>
              <w:t>需求</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3.5分</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32" w:type="dxa"/>
            <w:vMerge w:val="restart"/>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14.</w:t>
            </w:r>
            <w:r>
              <w:rPr>
                <w:rFonts w:hint="eastAsia" w:ascii="仿宋_GB2312" w:hAnsi="仿宋_GB2312" w:eastAsia="仿宋_GB2312" w:cs="仿宋_GB2312"/>
                <w:color w:val="000000"/>
                <w:kern w:val="0"/>
                <w:sz w:val="24"/>
                <w:szCs w:val="24"/>
                <w:lang w:val="en-US" w:eastAsia="zh-CN"/>
              </w:rPr>
              <w:t>1</w:t>
            </w:r>
          </w:p>
        </w:tc>
        <w:tc>
          <w:tcPr>
            <w:tcW w:w="25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落实麻风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防治宣传管理制度，有专人负责麻风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防治宣传工作，宣传工作人员中配备有自治区级健康科普专家。利用新媒体平台开展麻风防治宣传工作，并设置麻风防治宣传专栏，定期更新宣传内容；每年坚持开展麻风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宣传义诊活动。</w:t>
            </w:r>
          </w:p>
        </w:tc>
        <w:tc>
          <w:tcPr>
            <w:tcW w:w="1451" w:type="dxa"/>
            <w:vMerge w:val="restart"/>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文件查阅</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记录查看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现场检查</w:t>
            </w:r>
          </w:p>
          <w:p>
            <w:pPr>
              <w:widowControl/>
              <w:jc w:val="center"/>
              <w:rPr>
                <w:rFonts w:hint="eastAsia" w:ascii="仿宋_GB2312" w:hAnsi="仿宋_GB2312" w:eastAsia="仿宋_GB2312" w:cs="仿宋_GB2312"/>
                <w:color w:val="000000"/>
                <w:kern w:val="0"/>
                <w:sz w:val="24"/>
                <w:szCs w:val="24"/>
              </w:rPr>
            </w:pPr>
          </w:p>
        </w:tc>
        <w:tc>
          <w:tcPr>
            <w:tcW w:w="7964" w:type="dxa"/>
            <w:tcBorders>
              <w:bottom w:val="single" w:color="auto" w:sz="4" w:space="0"/>
            </w:tcBorders>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建立麻风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防治宣传管理制度</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0.3</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1042" w:type="dxa"/>
            <w:vMerge w:val="restart"/>
            <w:noWrap w:val="0"/>
            <w:vAlign w:val="center"/>
          </w:tcPr>
          <w:p>
            <w:pPr>
              <w:widowControl/>
              <w:ind w:firstLine="240" w:firstLineChars="100"/>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7964" w:type="dxa"/>
            <w:tcBorders>
              <w:top w:val="single" w:color="auto" w:sz="4" w:space="0"/>
              <w:bottom w:val="single" w:color="auto" w:sz="4" w:space="0"/>
            </w:tcBorders>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.配备专人负责麻风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防治宣传工作</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0.2分</w:t>
            </w:r>
            <w:r>
              <w:rPr>
                <w:rFonts w:hint="eastAsia" w:ascii="仿宋_GB2312" w:hAnsi="仿宋_GB2312" w:eastAsia="仿宋_GB2312" w:cs="仿宋_GB2312"/>
                <w:color w:val="000000"/>
                <w:kern w:val="0"/>
                <w:sz w:val="24"/>
                <w:szCs w:val="24"/>
                <w:lang w:eastAsia="zh-CN"/>
              </w:rPr>
              <w:t>）；</w:t>
            </w:r>
          </w:p>
        </w:tc>
        <w:tc>
          <w:tcPr>
            <w:tcW w:w="1042" w:type="dxa"/>
            <w:vMerge w:val="continue"/>
            <w:noWrap w:val="0"/>
            <w:vAlign w:val="center"/>
          </w:tcPr>
          <w:p>
            <w:pPr>
              <w:widowControl/>
              <w:ind w:firstLine="240" w:firstLineChars="100"/>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7964" w:type="dxa"/>
            <w:tcBorders>
              <w:top w:val="single" w:color="auto" w:sz="4" w:space="0"/>
              <w:bottom w:val="single" w:color="auto" w:sz="4" w:space="0"/>
            </w:tcBorders>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配备自治区级健康科普专家（</w:t>
            </w:r>
            <w:r>
              <w:rPr>
                <w:rFonts w:hint="eastAsia" w:ascii="仿宋_GB2312" w:hAnsi="仿宋_GB2312" w:eastAsia="仿宋_GB2312" w:cs="仿宋_GB2312"/>
                <w:color w:val="000000"/>
                <w:kern w:val="0"/>
                <w:sz w:val="24"/>
                <w:szCs w:val="24"/>
                <w:lang w:val="en-US" w:eastAsia="zh-CN"/>
              </w:rPr>
              <w:t>1 分）</w:t>
            </w:r>
            <w:r>
              <w:rPr>
                <w:rFonts w:hint="eastAsia" w:ascii="仿宋_GB2312" w:hAnsi="仿宋_GB2312" w:eastAsia="仿宋_GB2312" w:cs="仿宋_GB2312"/>
                <w:color w:val="000000"/>
                <w:kern w:val="0"/>
                <w:sz w:val="24"/>
                <w:szCs w:val="24"/>
              </w:rPr>
              <w:t>；</w:t>
            </w:r>
          </w:p>
        </w:tc>
        <w:tc>
          <w:tcPr>
            <w:tcW w:w="1042" w:type="dxa"/>
            <w:vMerge w:val="continue"/>
            <w:noWrap w:val="0"/>
            <w:vAlign w:val="center"/>
          </w:tcPr>
          <w:p>
            <w:pPr>
              <w:widowControl/>
              <w:ind w:firstLine="240" w:firstLineChars="100"/>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lang w:eastAsia="zh-CN"/>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tcBorders>
              <w:top w:val="single" w:color="auto" w:sz="4" w:space="0"/>
            </w:tcBorders>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.利用新媒体平台开展麻风防治宣传工作，并设置麻风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防治宣传专栏</w:t>
            </w:r>
            <w:r>
              <w:rPr>
                <w:rFonts w:hint="eastAsia" w:ascii="仿宋_GB2312" w:hAnsi="仿宋_GB2312" w:eastAsia="仿宋_GB2312" w:cs="仿宋_GB2312"/>
                <w:color w:val="000000"/>
                <w:kern w:val="0"/>
                <w:sz w:val="24"/>
                <w:szCs w:val="24"/>
                <w:lang w:val="en-US" w:eastAsia="zh-CN"/>
              </w:rPr>
              <w:t>且每年至少两次更</w:t>
            </w:r>
            <w:r>
              <w:rPr>
                <w:rFonts w:hint="eastAsia" w:ascii="仿宋_GB2312" w:hAnsi="仿宋_GB2312" w:eastAsia="仿宋_GB2312" w:cs="仿宋_GB2312"/>
                <w:color w:val="000000"/>
                <w:kern w:val="0"/>
                <w:sz w:val="24"/>
                <w:szCs w:val="24"/>
              </w:rPr>
              <w:t>新</w:t>
            </w:r>
            <w:r>
              <w:rPr>
                <w:rFonts w:hint="eastAsia" w:ascii="仿宋_GB2312" w:hAnsi="仿宋_GB2312" w:eastAsia="仿宋_GB2312" w:cs="仿宋_GB2312"/>
                <w:color w:val="000000"/>
                <w:kern w:val="0"/>
                <w:sz w:val="24"/>
                <w:szCs w:val="24"/>
                <w:lang w:val="en-US" w:eastAsia="zh-CN"/>
              </w:rPr>
              <w:t>宣传栏</w:t>
            </w:r>
            <w:r>
              <w:rPr>
                <w:rFonts w:hint="eastAsia" w:ascii="仿宋_GB2312" w:hAnsi="仿宋_GB2312" w:eastAsia="仿宋_GB2312" w:cs="仿宋_GB2312"/>
                <w:color w:val="000000"/>
                <w:kern w:val="0"/>
                <w:sz w:val="24"/>
                <w:szCs w:val="24"/>
              </w:rPr>
              <w:t>宣传内容（</w:t>
            </w:r>
            <w:r>
              <w:rPr>
                <w:rFonts w:hint="eastAsia" w:ascii="仿宋_GB2312" w:hAnsi="仿宋_GB2312" w:eastAsia="仿宋_GB2312" w:cs="仿宋_GB2312"/>
                <w:color w:val="000000"/>
                <w:kern w:val="0"/>
                <w:sz w:val="24"/>
                <w:szCs w:val="24"/>
                <w:lang w:val="en-US" w:eastAsia="zh-CN"/>
              </w:rPr>
              <w:t>0.5分）</w:t>
            </w:r>
            <w:r>
              <w:rPr>
                <w:rFonts w:hint="eastAsia" w:ascii="仿宋_GB2312" w:hAnsi="仿宋_GB2312" w:eastAsia="仿宋_GB2312" w:cs="仿宋_GB2312"/>
                <w:color w:val="000000"/>
                <w:kern w:val="0"/>
                <w:sz w:val="24"/>
                <w:szCs w:val="24"/>
              </w:rPr>
              <w:t>；</w:t>
            </w:r>
          </w:p>
        </w:tc>
        <w:tc>
          <w:tcPr>
            <w:tcW w:w="1042" w:type="dxa"/>
            <w:vMerge w:val="continue"/>
            <w:noWrap w:val="0"/>
            <w:vAlign w:val="center"/>
          </w:tcPr>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每年至少</w:t>
            </w:r>
            <w:r>
              <w:rPr>
                <w:rFonts w:hint="eastAsia" w:ascii="仿宋_GB2312" w:hAnsi="仿宋_GB2312" w:eastAsia="仿宋_GB2312" w:cs="仿宋_GB2312"/>
                <w:color w:val="000000"/>
                <w:kern w:val="0"/>
                <w:sz w:val="24"/>
                <w:szCs w:val="24"/>
              </w:rPr>
              <w:t>开展</w:t>
            </w:r>
            <w:r>
              <w:rPr>
                <w:rFonts w:hint="eastAsia" w:ascii="仿宋_GB2312" w:hAnsi="仿宋_GB2312" w:eastAsia="仿宋_GB2312" w:cs="仿宋_GB2312"/>
                <w:color w:val="000000"/>
                <w:kern w:val="0"/>
                <w:sz w:val="24"/>
                <w:szCs w:val="24"/>
                <w:lang w:val="en-US" w:eastAsia="zh-CN"/>
              </w:rPr>
              <w:t>一次</w:t>
            </w:r>
            <w:r>
              <w:rPr>
                <w:rFonts w:hint="eastAsia" w:ascii="仿宋_GB2312" w:hAnsi="仿宋_GB2312" w:eastAsia="仿宋_GB2312" w:cs="仿宋_GB2312"/>
                <w:color w:val="000000"/>
                <w:kern w:val="0"/>
                <w:sz w:val="24"/>
                <w:szCs w:val="24"/>
              </w:rPr>
              <w:t>麻风</w:t>
            </w:r>
            <w:r>
              <w:rPr>
                <w:rFonts w:hint="eastAsia" w:ascii="仿宋_GB2312" w:hAnsi="仿宋_GB2312" w:eastAsia="仿宋_GB2312" w:cs="仿宋_GB2312"/>
                <w:color w:val="000000"/>
                <w:kern w:val="0"/>
                <w:sz w:val="24"/>
                <w:szCs w:val="24"/>
                <w:lang w:val="en-US" w:eastAsia="zh-CN"/>
              </w:rPr>
              <w:t>病、性病</w:t>
            </w:r>
            <w:r>
              <w:rPr>
                <w:rFonts w:hint="eastAsia" w:ascii="仿宋_GB2312" w:hAnsi="仿宋_GB2312" w:eastAsia="仿宋_GB2312" w:cs="仿宋_GB2312"/>
                <w:color w:val="000000"/>
                <w:kern w:val="0"/>
                <w:sz w:val="24"/>
                <w:szCs w:val="24"/>
              </w:rPr>
              <w:t>宣传义诊活动</w:t>
            </w:r>
            <w:r>
              <w:rPr>
                <w:rFonts w:hint="eastAsia" w:ascii="仿宋_GB2312" w:hAnsi="仿宋_GB2312" w:eastAsia="仿宋_GB2312" w:cs="仿宋_GB2312"/>
                <w:color w:val="000000"/>
                <w:kern w:val="0"/>
                <w:sz w:val="24"/>
                <w:szCs w:val="24"/>
                <w:lang w:val="en-US" w:eastAsia="zh-CN"/>
              </w:rPr>
              <w:t>并有活动记录</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0.5分）；</w:t>
            </w:r>
          </w:p>
        </w:tc>
        <w:tc>
          <w:tcPr>
            <w:tcW w:w="1042" w:type="dxa"/>
            <w:vMerge w:val="continue"/>
            <w:noWrap w:val="0"/>
            <w:vAlign w:val="center"/>
          </w:tcPr>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tcBorders>
              <w:bottom w:val="single" w:color="auto" w:sz="4" w:space="0"/>
            </w:tcBorders>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6.有对麻风患者开展畸残康复指导工作记录和相关资料（0.5分）；</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32"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252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rPr>
                <w:rFonts w:hint="eastAsia" w:ascii="仿宋_GB2312" w:hAnsi="仿宋_GB2312" w:eastAsia="仿宋_GB2312" w:cs="仿宋_GB2312"/>
                <w:color w:val="000000"/>
                <w:kern w:val="0"/>
                <w:sz w:val="24"/>
                <w:szCs w:val="24"/>
              </w:rPr>
            </w:pPr>
          </w:p>
        </w:tc>
        <w:tc>
          <w:tcPr>
            <w:tcW w:w="7964" w:type="dxa"/>
            <w:tcBorders>
              <w:top w:val="single" w:color="auto" w:sz="4" w:space="0"/>
              <w:bottom w:val="single" w:color="auto" w:sz="4" w:space="0"/>
            </w:tcBorders>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7.制作并发放性病防治干预包（0.5分）。</w:t>
            </w:r>
          </w:p>
        </w:tc>
        <w:tc>
          <w:tcPr>
            <w:tcW w:w="1042" w:type="dxa"/>
            <w:vMerge w:val="continue"/>
            <w:noWrap w:val="0"/>
            <w:vAlign w:val="center"/>
          </w:tcPr>
          <w:p>
            <w:pPr>
              <w:widowControl/>
              <w:rPr>
                <w:rFonts w:hint="eastAsia" w:ascii="仿宋_GB2312" w:hAnsi="仿宋_GB2312" w:eastAsia="仿宋_GB2312" w:cs="仿宋_GB2312"/>
                <w:color w:val="000000"/>
                <w:kern w:val="0"/>
                <w:sz w:val="24"/>
                <w:szCs w:val="24"/>
              </w:rPr>
            </w:pPr>
          </w:p>
        </w:tc>
      </w:tr>
    </w:tbl>
    <w:p>
      <w:pPr>
        <w:pStyle w:val="4"/>
        <w:outlineLvl w:val="9"/>
        <w:rPr>
          <w:rFonts w:hint="eastAsia" w:cs="黑体"/>
          <w:bCs w:val="0"/>
          <w:color w:val="000000"/>
          <w:sz w:val="44"/>
          <w:szCs w:val="44"/>
        </w:rPr>
      </w:pPr>
    </w:p>
    <w:p>
      <w:pPr>
        <w:pStyle w:val="4"/>
        <w:bidi w:val="0"/>
        <w:rPr>
          <w:rFonts w:hint="eastAsia"/>
          <w:color w:val="000000"/>
          <w:lang w:val="en-US" w:eastAsia="zh-CN"/>
        </w:rPr>
      </w:pPr>
    </w:p>
    <w:p>
      <w:pPr>
        <w:pStyle w:val="4"/>
        <w:bidi w:val="0"/>
        <w:rPr>
          <w:rFonts w:hint="eastAsia"/>
          <w:color w:val="000000"/>
          <w:lang w:val="en-US" w:eastAsia="zh-CN"/>
        </w:rPr>
      </w:pPr>
    </w:p>
    <w:p>
      <w:pPr>
        <w:pStyle w:val="4"/>
        <w:bidi w:val="0"/>
        <w:rPr>
          <w:rFonts w:hint="eastAsia"/>
          <w:color w:val="000000"/>
          <w:lang w:val="en-US" w:eastAsia="zh-CN"/>
        </w:rPr>
      </w:pPr>
    </w:p>
    <w:p>
      <w:pPr>
        <w:pStyle w:val="4"/>
        <w:bidi w:val="0"/>
        <w:rPr>
          <w:rFonts w:hint="eastAsia"/>
          <w:color w:val="000000"/>
          <w:lang w:val="en-US" w:eastAsia="zh-CN"/>
        </w:rPr>
      </w:pPr>
    </w:p>
    <w:p>
      <w:pPr>
        <w:pStyle w:val="4"/>
        <w:bidi w:val="0"/>
        <w:jc w:val="both"/>
        <w:rPr>
          <w:rFonts w:hint="eastAsia"/>
          <w:color w:val="000000"/>
          <w:lang w:val="en-US" w:eastAsia="zh-CN"/>
        </w:rPr>
      </w:pPr>
    </w:p>
    <w:p>
      <w:pPr>
        <w:rPr>
          <w:rFonts w:hint="eastAsia"/>
          <w:color w:val="000000"/>
          <w:lang w:val="en-US" w:eastAsia="zh-CN"/>
        </w:rPr>
      </w:pPr>
    </w:p>
    <w:p>
      <w:pPr>
        <w:pStyle w:val="4"/>
        <w:bidi w:val="0"/>
        <w:jc w:val="both"/>
        <w:rPr>
          <w:rFonts w:hint="eastAsia"/>
          <w:color w:val="000000"/>
          <w:lang w:val="en-US" w:eastAsia="zh-CN"/>
        </w:rPr>
      </w:pPr>
    </w:p>
    <w:p>
      <w:pPr>
        <w:rPr>
          <w:rFonts w:hint="eastAsia"/>
          <w:color w:val="000000"/>
          <w:lang w:val="en-US" w:eastAsia="zh-CN"/>
        </w:rPr>
      </w:pPr>
    </w:p>
    <w:p>
      <w:pPr>
        <w:pStyle w:val="4"/>
        <w:bidi w:val="0"/>
        <w:rPr>
          <w:rFonts w:hint="default"/>
          <w:color w:val="000000"/>
          <w:lang w:val="en-US" w:eastAsia="zh-CN"/>
        </w:rPr>
      </w:pPr>
      <w:bookmarkStart w:id="157" w:name="_Toc15514"/>
      <w:bookmarkStart w:id="158" w:name="_Toc8986"/>
      <w:r>
        <w:rPr>
          <w:rFonts w:hint="eastAsia"/>
          <w:color w:val="000000"/>
          <w:lang w:val="en-US" w:eastAsia="zh-CN"/>
        </w:rPr>
        <w:t>第二章　临床服务质量与安全管理（272分）</w:t>
      </w:r>
      <w:bookmarkEnd w:id="157"/>
      <w:bookmarkEnd w:id="158"/>
    </w:p>
    <w:p>
      <w:pPr>
        <w:keepNext/>
        <w:keepLines/>
        <w:widowControl/>
        <w:spacing w:line="460" w:lineRule="exact"/>
        <w:ind w:firstLine="562" w:firstLineChars="200"/>
        <w:jc w:val="left"/>
        <w:outlineLvl w:val="9"/>
        <w:rPr>
          <w:rFonts w:ascii="仿宋_GB2312" w:hAnsi="仿宋_GB2312" w:eastAsia="仿宋_GB2312" w:cs="仿宋_GB2312"/>
          <w:b/>
          <w:color w:val="000000"/>
          <w:kern w:val="0"/>
          <w:sz w:val="28"/>
          <w:szCs w:val="28"/>
        </w:rPr>
      </w:pPr>
    </w:p>
    <w:p>
      <w:pPr>
        <w:pStyle w:val="5"/>
        <w:numPr>
          <w:ilvl w:val="0"/>
          <w:numId w:val="2"/>
        </w:numPr>
        <w:bidi w:val="0"/>
        <w:rPr>
          <w:rFonts w:hint="eastAsia"/>
          <w:color w:val="000000"/>
        </w:rPr>
      </w:pPr>
      <w:bookmarkStart w:id="159" w:name="_Toc22605"/>
      <w:bookmarkStart w:id="160" w:name="_Toc925"/>
      <w:r>
        <w:rPr>
          <w:rFonts w:hint="eastAsia"/>
          <w:color w:val="000000"/>
        </w:rPr>
        <w:t>医疗质量管理体系和工作机制（</w:t>
      </w:r>
      <w:r>
        <w:rPr>
          <w:rFonts w:hint="eastAsia"/>
          <w:color w:val="000000"/>
          <w:lang w:val="en-US" w:eastAsia="zh-CN"/>
        </w:rPr>
        <w:t>34</w:t>
      </w:r>
      <w:r>
        <w:rPr>
          <w:rFonts w:hint="eastAsia"/>
          <w:color w:val="000000"/>
        </w:rPr>
        <w:t>分）</w:t>
      </w:r>
      <w:bookmarkEnd w:id="159"/>
      <w:bookmarkEnd w:id="160"/>
      <w:r>
        <w:rPr>
          <w:rFonts w:hint="eastAsia"/>
          <w:color w:val="000000"/>
          <w:lang w:val="en-US" w:eastAsia="zh-CN"/>
        </w:rPr>
        <w:t xml:space="preserve"> </w:t>
      </w:r>
    </w:p>
    <w:tbl>
      <w:tblPr>
        <w:tblStyle w:val="14"/>
        <w:tblW w:w="14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7"/>
        <w:gridCol w:w="2565"/>
        <w:gridCol w:w="1419"/>
        <w:gridCol w:w="8000"/>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blHeader/>
        </w:trPr>
        <w:tc>
          <w:tcPr>
            <w:tcW w:w="4082" w:type="dxa"/>
            <w:gridSpan w:val="2"/>
            <w:tcBorders>
              <w:top w:val="single" w:color="000000" w:sz="8" w:space="0"/>
              <w:left w:val="single" w:color="000000" w:sz="8" w:space="0"/>
              <w:bottom w:val="single" w:color="000000" w:sz="8" w:space="0"/>
              <w:right w:val="single" w:color="000000" w:sz="8" w:space="0"/>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评审指标细则</w:t>
            </w:r>
          </w:p>
        </w:tc>
        <w:tc>
          <w:tcPr>
            <w:tcW w:w="1419" w:type="dxa"/>
            <w:tcBorders>
              <w:top w:val="single" w:color="000000" w:sz="8" w:space="0"/>
              <w:left w:val="single" w:color="000000" w:sz="8" w:space="0"/>
              <w:bottom w:val="single" w:color="000000" w:sz="8" w:space="0"/>
              <w:right w:val="single" w:color="000000" w:sz="8" w:space="0"/>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评审方法</w:t>
            </w:r>
          </w:p>
        </w:tc>
        <w:tc>
          <w:tcPr>
            <w:tcW w:w="8000" w:type="dxa"/>
            <w:tcBorders>
              <w:top w:val="single" w:color="000000" w:sz="8" w:space="0"/>
              <w:left w:val="single" w:color="000000" w:sz="8" w:space="0"/>
              <w:bottom w:val="single" w:color="000000" w:sz="8" w:space="0"/>
              <w:right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评分细则</w:t>
            </w:r>
          </w:p>
        </w:tc>
        <w:tc>
          <w:tcPr>
            <w:tcW w:w="1059" w:type="dxa"/>
            <w:tcBorders>
              <w:top w:val="single" w:color="000000" w:sz="8" w:space="0"/>
              <w:left w:val="single" w:color="000000" w:sz="8" w:space="0"/>
              <w:bottom w:val="single" w:color="000000" w:sz="8" w:space="0"/>
              <w:right w:val="single" w:color="000000" w:sz="8" w:space="0"/>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4560" w:type="dxa"/>
            <w:gridSpan w:val="5"/>
            <w:tcBorders>
              <w:top w:val="nil"/>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（十五）有医疗质量管理体系，落实医疗质量管理主体责任，实行医疗质量管理院、科两级责任制（6分）。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2.1.15.1</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建立医疗质量管理体系，有明确的体系架构、内容。</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1.建立有医院质量管理体系。有医院质量组织架构图，体现决策层、管理层、执行层，人员构成合理（0.5分）；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2.制定有各医院质量管理委员会各项工作制度、工作职责，并下设办公室进行日常管理工作（0.5分）；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3.访谈各层次人员知晓本人的质量管理岗位职责（0.5分）。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2.1.15.2</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有明确的体系运行机制，有记录证明体系运行常态化。</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各质量与安全管理委员会健全、人员组成合理、职责明确，各质量与安全管理委员会包括但不限于医疗质量与安全管理委员会、护理质量与安全管理委员会、医疗技术临床应用管理委员会、医学伦理委员会、感染预防与控制委员会、药事管理与药物治疗学委员会、临床用血管理委员会、生物安全委员会、病案管理委员会、医学装备管理委员会、医疗器械临床使用管理委员会、医用耗材管理委员会、运营管理委员会、全面预算管理委员会、价格管理委员会等（0.5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2.有医疗质量管理方案，包括：质量管理目标、质量指标、考核项目、考核标准、考核办法等，以及相配套制度（0.5分）；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3.建立各委员会的会议决策沟通、落实、追踪管理机制，有体现质量体系各层次运行的记录：如会议记录，纪要，决议执行单，督导检查，执行效果追踪等（0.5分）；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4.有院、科两级医院质量管理与监督的工作流程（0.5分）；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nil"/>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5.每年至少开展一次管理评审，对医院质量管理体系现状的适宜性、充分性和有效性进行评估（0.5分）。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2.1.15.3</w:t>
            </w:r>
          </w:p>
        </w:tc>
        <w:tc>
          <w:tcPr>
            <w:tcW w:w="2565"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院科两级责任制体现在各自的职责中，负责人知晓本人职责。</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1.有明确医院质量管理的院级、科级责任范畴。院长是医院质量管理第一责任人，科主任是科室质量管理第一责任人（0.5分）；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2.制定有院科两级质量负责人的工作职责(0.5分)；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3.院科两级质量负责人主持相关质量管理工作会议并签发会议纪要、质量分析报告等文件（0.5分）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4.访谈院科两级质量负责人知晓本人职责（0.5分）。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（十六）设立医疗质量管理委员会，人员组成和职责符合《医疗质量管理办法》要求。医疗质量管理委员会负责承接、配合各级质控组织开展工作，并发挥统筹协调作用（3.5分）。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2.1.16.1</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医疗质量管理委员会人员组成和职责符合《医疗质量管理办法》要求。</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1.医疗质量管理委员会主任由医疗机构主要负责人担任，委员由医疗管理、质量控制、护理、医院感染管理、医学工程、信息、后勤等相关职能部门负责人以及相关临床、药学、医技等科室负责人组成（0.4分）；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2.职责符合《医疗质量管理办法》要求（0.4分）；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3.访谈员工知晓本人职责（0.4分）。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2.1.16.2</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医疗质量管理委员会有工作制度、工作计划、工作记录。</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1.有明确的委员会工作制度（0.3分）；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2.有各年度工作计划并实施（0.3分）；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3.委员会至少每季度开展一轮质量督查，工作记录完整、真实（0.3分）；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4.有检查评价、分析、反馈，并督导整改措施的落实（0.3分）；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5.周期内整改有成效或形成新的制度、规范、流程、举措等（0.3分）。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2.1.16.3</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医疗质量管理委员会负责承接、配合各级质控组织开展工作，并发挥统筹协调作用。</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80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1.有承接各级质控组织开展工作：承接自治区级及以上质控中心（0.4分），承接市级质控中心（0.2分）；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2.有配合各级质控中心等组织开展督导检查活动的记录（0.2分）；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3.定期听取各质控中心等组织的工作报告，协调解决疑难问题，并有</w:t>
            </w:r>
            <w:r>
              <w:rPr>
                <w:rStyle w:val="28"/>
                <w:rFonts w:hint="eastAsia" w:ascii="仿宋_GB2312" w:hAnsi="仿宋_GB2312" w:eastAsia="仿宋_GB2312" w:cs="仿宋_GB2312"/>
                <w:color w:val="000000"/>
                <w:sz w:val="24"/>
                <w:szCs w:val="24"/>
                <w:lang w:val="en-US" w:eastAsia="zh-CN" w:bidi="ar"/>
              </w:rPr>
              <w:t>资料</w:t>
            </w:r>
            <w:r>
              <w:rPr>
                <w:rStyle w:val="29"/>
                <w:rFonts w:hint="eastAsia" w:ascii="仿宋_GB2312" w:hAnsi="仿宋_GB2312" w:eastAsia="仿宋_GB2312" w:cs="仿宋_GB2312"/>
                <w:color w:val="000000"/>
                <w:sz w:val="24"/>
                <w:szCs w:val="24"/>
                <w:lang w:val="en-US" w:eastAsia="zh-CN" w:bidi="ar"/>
              </w:rPr>
              <w:t>证明（0.2分）。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（十七）各业务科室成立本科室医疗质量管理工作小组，人员组成和职责符合《医疗质量管理办法》要求（2.5分）。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2.1.17.1</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各业务科室常设医疗质量管理工作小组，人员、职责符合《医疗质量管理办法》要求。</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1.各业务科室均成立有质量管理小组，成员分工合理，符合《医疗质量管理办法》要求（0.3分）；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2.制定有质量管理小组工作制度、工作职责、工作流程（0.3分）；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3.质量管理小组成员知晓并能举例描述本人在科室质管小组中的具体职责（0.3分）。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2.1.17.2</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制定工作计划，有工作记录，可追溯。</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8000" w:type="dxa"/>
            <w:tcBorders>
              <w:top w:val="single" w:color="000000" w:sz="8" w:space="0"/>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1.结合本科室实际，制定有科室年度工作计划，目标明确（0.3分）；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p>
          <w:p>
            <w:pPr>
              <w:pStyle w:val="2"/>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2.查阅每季度、半年、年度工作记录，确定各科室是否按计划、按步骤有序开展工作（0.3分）；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3.各科室质控小组至少每季度开展一轮质量自查（0.3分）；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4.针对自查情况分析原因，制定整改措施并在规定时间内落实（0.3分）；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nil"/>
              <w:bottom w:val="nil"/>
              <w:right w:val="nil"/>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5.周期内整改有成效或形成新的流程、举措等（0.4分）。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（十八）建立健全医疗质量管理人员培训和考核制度，充分发挥专业人员在医疗质量管理工作中的作用（2分）。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2.1.18.1</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建立健全医疗质量管理人员培训和考核制度，培训范围包括所有参与医疗质量管理工作的人员，有相关培训记录。</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1.制定有培训考核制度和备案制度（0.2分）；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2.培训对象包括各质量委员会及其办公室成员、各科室质控小组成员（0.3分）；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3.有岗前、岗中培训，培训内容包括管理学知识、管理工具应用等，每位质量管理人员每年参加培训不少于2次（0.3分）；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4.访谈质控人员有关质量管理知识及管理工具的应用（0.2分）。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2.1.18.2</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有相关制度措施调动专业人员参与质量管理的积极性，充分发挥专业人员在医疗质量管理工作中的作用。</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1.制定有相关激励措施，体现在绩效分配、评优评先、职称晋升等方面（0.5分）；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2.有体现落实激励措施的相关记录（0.5分）。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（十九）遵循临床诊疗指南、医疗技术操作规范、</w:t>
            </w:r>
            <w:r>
              <w:rPr>
                <w:rStyle w:val="28"/>
                <w:rFonts w:hint="eastAsia" w:ascii="仿宋_GB2312" w:hAnsi="仿宋_GB2312" w:eastAsia="仿宋_GB2312" w:cs="仿宋_GB2312"/>
                <w:color w:val="000000"/>
                <w:sz w:val="24"/>
                <w:szCs w:val="24"/>
                <w:lang w:val="en-US" w:eastAsia="zh-CN" w:bidi="ar"/>
              </w:rPr>
              <w:t>医学伦理规范</w:t>
            </w:r>
            <w:r>
              <w:rPr>
                <w:rStyle w:val="29"/>
                <w:rFonts w:hint="eastAsia" w:ascii="仿宋_GB2312" w:hAnsi="仿宋_GB2312" w:eastAsia="仿宋_GB2312" w:cs="仿宋_GB2312"/>
                <w:color w:val="000000"/>
                <w:sz w:val="24"/>
                <w:szCs w:val="24"/>
                <w:lang w:val="en-US" w:eastAsia="zh-CN" w:bidi="ar"/>
              </w:rPr>
              <w:t>、行业标准和临床路径等有关要求开展诊疗工作</w:t>
            </w:r>
            <w:r>
              <w:rPr>
                <w:rFonts w:hint="eastAsia" w:ascii="仿宋_GB2312" w:hAnsi="仿宋_GB2312" w:eastAsia="仿宋_GB2312" w:cs="仿宋_GB2312"/>
                <w:i w:val="0"/>
                <w:iCs w:val="0"/>
                <w:color w:val="000000"/>
                <w:kern w:val="0"/>
                <w:sz w:val="24"/>
                <w:szCs w:val="24"/>
                <w:u w:val="none"/>
                <w:lang w:val="en-US" w:eastAsia="zh-CN" w:bidi="ar"/>
              </w:rPr>
              <w:t>（2分）</w:t>
            </w:r>
            <w:r>
              <w:rPr>
                <w:rStyle w:val="29"/>
                <w:rFonts w:hint="eastAsia" w:ascii="仿宋_GB2312" w:hAnsi="仿宋_GB2312" w:eastAsia="仿宋_GB2312" w:cs="仿宋_GB2312"/>
                <w:color w:val="00000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2.1.19.1</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遵循临床诊疗指南、临床技术操作规范、医学伦理规范、行业标准和临床路径等有关要求开展诊疗工作。</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1.结合本院实际制定有相应的诊疗指南、临床技术操作规范、医学伦理规范并及时更新（0.4分）；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2.各科室定期开展培训并有相关记录（0.3分）；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3.访谈员工知晓有关内容（0.3分）。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2.1.19.2</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对落实上述诊疗指南、规范、行业标准和临床路径开展定期或不定期的自查和督查。</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1.将上述诊疗、操作规范、行业标准纳入院科两级自查和督查范围（0.3分）；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2.科室每季度至少开展一次自查，并对存在问题进行整改（0.3分）；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3.职能部门每季度至少开展一次督查，分析、反馈并检查落实情况（0.4分）。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（二十）开展诊疗活动应当遵循患者知情同意原则，履行告知义务，尊重患者的自主选择权和隐私权，尊重民族习惯和宗教信仰，并对患者的隐私保密。完善保护患者隐私的设施和管理措施</w:t>
            </w:r>
            <w:r>
              <w:rPr>
                <w:rFonts w:hint="eastAsia" w:ascii="仿宋_GB2312" w:hAnsi="仿宋_GB2312" w:eastAsia="仿宋_GB2312" w:cs="仿宋_GB2312"/>
                <w:i w:val="0"/>
                <w:iCs w:val="0"/>
                <w:color w:val="000000"/>
                <w:kern w:val="0"/>
                <w:sz w:val="24"/>
                <w:szCs w:val="24"/>
                <w:u w:val="none"/>
                <w:lang w:val="en-US" w:eastAsia="zh-CN" w:bidi="ar"/>
              </w:rPr>
              <w:t>（2.5分）</w:t>
            </w:r>
            <w:r>
              <w:rPr>
                <w:rStyle w:val="29"/>
                <w:rFonts w:hint="eastAsia" w:ascii="仿宋_GB2312" w:hAnsi="仿宋_GB2312" w:eastAsia="仿宋_GB2312" w:cs="仿宋_GB2312"/>
                <w:color w:val="00000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2.1.20.1</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诊疗活动中遵循患者知情同意原则，履行告知义务， 尊重患者的自主选择权。</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患者访谈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病案检查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1.医院有明确的制度保证医院和医务人员在开展医疗服务时履行告知义务，按照相关规定取得患者或/和家属同意认可（0.3分）；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2.告知书能体现让患者或/和家属理解医疗服务的局限性，了解各种诊疗方式的成本、获益和风险，方便患方自主选择（0.2分）；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3.手术、特殊检查、特殊治疗都获得患者或/和家属明确同意的资料（包括但不限于书面同意、录音录像和律师公证等）（0.3分）；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4.职能部门对告知制度的执行情况有定期督导，发现问题能整改，</w:t>
            </w:r>
            <w:r>
              <w:rPr>
                <w:rStyle w:val="30"/>
                <w:rFonts w:hint="eastAsia" w:ascii="仿宋_GB2312" w:hAnsi="仿宋_GB2312" w:eastAsia="仿宋_GB2312" w:cs="仿宋_GB2312"/>
                <w:color w:val="000000"/>
                <w:sz w:val="24"/>
                <w:szCs w:val="24"/>
                <w:lang w:val="en-US" w:eastAsia="zh-CN" w:bidi="ar"/>
              </w:rPr>
              <w:t>整改有成效</w:t>
            </w:r>
            <w:r>
              <w:rPr>
                <w:rStyle w:val="29"/>
                <w:rFonts w:hint="eastAsia" w:ascii="仿宋_GB2312" w:hAnsi="仿宋_GB2312" w:eastAsia="仿宋_GB2312" w:cs="仿宋_GB2312"/>
                <w:color w:val="000000"/>
                <w:sz w:val="24"/>
                <w:szCs w:val="24"/>
                <w:lang w:val="en-US" w:eastAsia="zh-CN" w:bidi="ar"/>
              </w:rPr>
              <w:t>（0.2分）。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517"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2.1.20.2</w:t>
            </w:r>
          </w:p>
        </w:tc>
        <w:tc>
          <w:tcPr>
            <w:tcW w:w="2565"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尊重患者隐私权，并对患者的隐私保密，有保护患者隐私的设施和管理措施。</w:t>
            </w:r>
          </w:p>
        </w:tc>
        <w:tc>
          <w:tcPr>
            <w:tcW w:w="1419"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访谈患者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80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1.制定有保护患者隐私的相关制度（0.4分）；</w:t>
            </w:r>
          </w:p>
        </w:tc>
        <w:tc>
          <w:tcPr>
            <w:tcW w:w="1059"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51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2.有保护患者隐私的设施和措施（0.3分）；</w:t>
            </w:r>
          </w:p>
        </w:tc>
        <w:tc>
          <w:tcPr>
            <w:tcW w:w="1059" w:type="dxa"/>
            <w:vMerge w:val="continue"/>
            <w:tcBorders>
              <w:top w:val="nil"/>
              <w:left w:val="single" w:color="000000" w:sz="8" w:space="0"/>
              <w:bottom w:val="single" w:color="000000" w:sz="4"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3.访谈员工知晓相关内容（0.3分）。</w:t>
            </w:r>
          </w:p>
        </w:tc>
        <w:tc>
          <w:tcPr>
            <w:tcW w:w="1059"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2.1.20.3</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尊重民族习惯和宗教信仰。</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single" w:color="000000" w:sz="8" w:space="0"/>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1.制定有尊重民族习惯和宗教信仰的相关制度（0.3分）；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2.有协助和方便宗教信仰差异的患者就医的措施（0.2分）。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（二十一）建立医院全员参与、覆盖临床诊疗服务全过程的医疗质量管理与控制工作制度（1.5分）。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2.1.21.1</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医疗机构建立有全员参与、覆盖临床诊疗服务全过程的医疗质量管理与控制制度。</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1.制度能覆盖全员，体现人人参与(0.5分)；</w:t>
            </w:r>
          </w:p>
        </w:tc>
        <w:tc>
          <w:tcPr>
            <w:tcW w:w="1059"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2.制度涵盖临床诊疗服务全过程（0.5分）；</w:t>
            </w:r>
          </w:p>
        </w:tc>
        <w:tc>
          <w:tcPr>
            <w:tcW w:w="1059"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3.每年至少一次对医疗质量管理控制工作文件进行内部审核，及时更新（0.5分）。</w:t>
            </w:r>
          </w:p>
        </w:tc>
        <w:tc>
          <w:tcPr>
            <w:tcW w:w="1059"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（二十二）熟练运用医疗质量管理工具开展医疗质量管理与自我评价，完善本院医疗质量管理相关指标体系，掌握本院医疗质量基础数据（2分）。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517"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2.1.22.1</w:t>
            </w:r>
          </w:p>
        </w:tc>
        <w:tc>
          <w:tcPr>
            <w:tcW w:w="256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熟练运用医疗质量管理工具开展医疗质量管理与自我评价。</w:t>
            </w:r>
          </w:p>
        </w:tc>
        <w:tc>
          <w:tcPr>
            <w:tcW w:w="141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1.员工知晓质量管理工具常识(注：如医疗质量管理工具、全面质量管理(TQC)、质量环(PDCA循环)、品管圈(QCC)、疾病诊断相关组(DRGs)绩效评价、单病种、临床路径等工具)</w:t>
            </w:r>
            <w:r>
              <w:rPr>
                <w:rStyle w:val="28"/>
                <w:rFonts w:hint="eastAsia" w:ascii="仿宋_GB2312" w:hAnsi="仿宋_GB2312" w:eastAsia="仿宋_GB2312" w:cs="仿宋_GB2312"/>
                <w:color w:val="000000"/>
                <w:sz w:val="24"/>
                <w:szCs w:val="24"/>
                <w:lang w:val="en-US" w:eastAsia="zh-CN" w:bidi="ar"/>
              </w:rPr>
              <w:t>（0.2分）；</w:t>
            </w:r>
          </w:p>
        </w:tc>
        <w:tc>
          <w:tcPr>
            <w:tcW w:w="1059"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1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2.院、科两级质控人员能应用质量管理工具开展医疗质量管理与自我评价（0.3分）；</w:t>
            </w:r>
          </w:p>
        </w:tc>
        <w:tc>
          <w:tcPr>
            <w:tcW w:w="1059"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51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3.院、科两级质量分析报告体现质量管理工具的应用（0.3分）。</w:t>
            </w:r>
          </w:p>
        </w:tc>
        <w:tc>
          <w:tcPr>
            <w:tcW w:w="10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2.1.22.2</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完善本院医疗质量管理相关指标体系，包括但不限于国家发布的医疗质量控制指标和“国家医疗质量安全改进目标”相关指标。</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查阅文件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数据核查</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1.医院有适合本机构实际情况的质控指标体系及其监测指标（如医院年度质量控制实施方案，科室目标管理等）（0.2分）；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2.明确相关指标定义和数据采集、汇总、分析、反馈和应用方式（0.2分）；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3.将医疗质量安全改进目标纳入年度医院质控指标体系（0.2分）；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4.对年度质控指标进行动态监控并及时有效调整（0.2分）。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517"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2.1.22.3</w:t>
            </w:r>
          </w:p>
        </w:tc>
        <w:tc>
          <w:tcPr>
            <w:tcW w:w="256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相关人员应掌握其岗位职责范围内的医疗质量基础数据。</w:t>
            </w:r>
          </w:p>
        </w:tc>
        <w:tc>
          <w:tcPr>
            <w:tcW w:w="1419" w:type="dxa"/>
            <w:vMerge w:val="restart"/>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数据核查</w:t>
            </w:r>
          </w:p>
        </w:tc>
        <w:tc>
          <w:tcPr>
            <w:tcW w:w="80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1.熟悉本院医疗质量基础数据获取方式，能准确调取相关数据，数据可追溯（0.2分）；</w:t>
            </w:r>
          </w:p>
        </w:tc>
        <w:tc>
          <w:tcPr>
            <w:tcW w:w="1059"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1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nil"/>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4F81BD"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2.有指定部门定期汇总，反馈，分析本院医疗质量基础数据（</w:t>
            </w:r>
            <w:r>
              <w:rPr>
                <w:rStyle w:val="30"/>
                <w:rFonts w:hint="eastAsia" w:ascii="仿宋_GB2312" w:hAnsi="仿宋_GB2312" w:eastAsia="仿宋_GB2312" w:cs="仿宋_GB2312"/>
                <w:color w:val="000000"/>
                <w:sz w:val="24"/>
                <w:szCs w:val="24"/>
                <w:lang w:val="en-US" w:eastAsia="zh-CN" w:bidi="ar"/>
              </w:rPr>
              <w:t>0.2分</w:t>
            </w:r>
            <w:r>
              <w:rPr>
                <w:rStyle w:val="33"/>
                <w:rFonts w:hint="eastAsia" w:ascii="仿宋_GB2312" w:hAnsi="仿宋_GB2312" w:eastAsia="仿宋_GB2312" w:cs="仿宋_GB2312"/>
                <w:color w:val="000000"/>
                <w:sz w:val="24"/>
                <w:szCs w:val="24"/>
                <w:lang w:val="en-US" w:eastAsia="zh-CN" w:bidi="ar"/>
              </w:rPr>
              <w:t>）。</w:t>
            </w:r>
          </w:p>
        </w:tc>
        <w:tc>
          <w:tcPr>
            <w:tcW w:w="1059"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（二十三）加强临床专科服务能力建设，重视专科协同发展，制订专科建设发展规划并组织实施，推行“以患者为中心、以疾病为链条” 的多学科诊疗模式（2分）。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2.1.23.1</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制订切合学科发展趋势、满足社会需求和符合医院实际情况的专科建设发展规划，并组织实施。</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1.医院有与区域人口结构和疾病谱相适应的专科建设发展规划，包括：优势专科、培育专科、潜力专科的发展方案、配套支持政策、考核标准、考核办法等（0.3分）；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2.各临床专科落实发展规划，有职能部门对实施效果进行阶段性评估（0.4分）；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3.根据评估效果对发展规划及时调整、优化（0.3分）。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2.1.23.2</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重视专科协同</w:t>
            </w:r>
            <w:r>
              <w:rPr>
                <w:rStyle w:val="28"/>
                <w:rFonts w:hint="eastAsia" w:ascii="仿宋_GB2312" w:hAnsi="仿宋_GB2312" w:eastAsia="仿宋_GB2312" w:cs="仿宋_GB2312"/>
                <w:color w:val="000000"/>
                <w:sz w:val="24"/>
                <w:szCs w:val="24"/>
                <w:lang w:val="en-US" w:eastAsia="zh-CN" w:bidi="ar"/>
              </w:rPr>
              <w:t>和中西医共同</w:t>
            </w:r>
            <w:r>
              <w:rPr>
                <w:rStyle w:val="29"/>
                <w:rFonts w:hint="eastAsia" w:ascii="仿宋_GB2312" w:hAnsi="仿宋_GB2312" w:eastAsia="仿宋_GB2312" w:cs="仿宋_GB2312"/>
                <w:color w:val="000000"/>
                <w:sz w:val="24"/>
                <w:szCs w:val="24"/>
                <w:lang w:val="en-US" w:eastAsia="zh-CN" w:bidi="ar"/>
              </w:rPr>
              <w:t>发展，推行“以患者为中心、以疾病为链条”的多学科诊疗模式。</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1.有“以患者为中心、以疾病为链条”并</w:t>
            </w:r>
            <w:r>
              <w:rPr>
                <w:rStyle w:val="30"/>
                <w:rFonts w:hint="eastAsia" w:ascii="仿宋_GB2312" w:hAnsi="仿宋_GB2312" w:eastAsia="仿宋_GB2312" w:cs="仿宋_GB2312"/>
                <w:color w:val="000000"/>
                <w:sz w:val="24"/>
                <w:szCs w:val="24"/>
                <w:lang w:val="en-US" w:eastAsia="zh-CN" w:bidi="ar"/>
              </w:rPr>
              <w:t>体现中西医协同发展</w:t>
            </w:r>
            <w:r>
              <w:rPr>
                <w:rStyle w:val="29"/>
                <w:rFonts w:hint="eastAsia" w:ascii="仿宋_GB2312" w:hAnsi="仿宋_GB2312" w:eastAsia="仿宋_GB2312" w:cs="仿宋_GB2312"/>
                <w:color w:val="000000"/>
                <w:sz w:val="24"/>
                <w:szCs w:val="24"/>
                <w:lang w:val="en-US" w:eastAsia="zh-CN" w:bidi="ar"/>
              </w:rPr>
              <w:t>的多学科诊疗制度（0.3分）；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2.病历体现多学科诊疗模式得到落实（0.4分）；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3.有案例证明专科协同发展能力不断提高（0.3分）。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（二十四）加强单病种质量管理与控制工作，建立本院单病种管理的指标和质量参考标准体系，促进医疗质量精细化管理（2分）。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2.1.24.1</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将单病种质量管理与控制工作纳入医院医疗质量管理工作体系。</w:t>
            </w:r>
          </w:p>
        </w:tc>
        <w:tc>
          <w:tcPr>
            <w:tcW w:w="1419" w:type="dxa"/>
            <w:vMerge w:val="restart"/>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1.有本院单病种质量管理制度和指定管理部门（0.2分）；</w:t>
            </w:r>
          </w:p>
        </w:tc>
        <w:tc>
          <w:tcPr>
            <w:tcW w:w="1059" w:type="dxa"/>
            <w:vMerge w:val="restart"/>
            <w:tcBorders>
              <w:top w:val="nil"/>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2.将单病种质量管理情况纳入院、科两级质控内容（0.3分）；</w:t>
            </w:r>
          </w:p>
        </w:tc>
        <w:tc>
          <w:tcPr>
            <w:tcW w:w="1059" w:type="dxa"/>
            <w:vMerge w:val="continue"/>
            <w:tcBorders>
              <w:top w:val="nil"/>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3.纳入监管的单病种数量符合国家相关要求（0.2分）。</w:t>
            </w:r>
          </w:p>
        </w:tc>
        <w:tc>
          <w:tcPr>
            <w:tcW w:w="105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2.1.24.2</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建立本院单病种管理的指标和质量参考标准体系，并开展应用。</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1.建立本院的单病种质量管理指标（0.3分）；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2.有明确的单病种质量参考标准体系，符合国家单病种质量监测平台要求（0.2分）；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3.抽查的单病种病例符合上述质控要求，达60%以上（0.2分），达80%以上（0.3分）。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2.1.24.3</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按照相关要求，及时、全面、准确收集国家单病种质量管理与控制数据。</w:t>
            </w:r>
          </w:p>
        </w:tc>
        <w:tc>
          <w:tcPr>
            <w:tcW w:w="1419" w:type="dxa"/>
            <w:vMerge w:val="restar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8000" w:type="dxa"/>
            <w:tcBorders>
              <w:top w:val="single" w:color="000000" w:sz="8" w:space="0"/>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1.有专人负责单病种数据收集、审核工作，数据可追溯（0.2分）；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2.数据收集及时、完整、准确，符合质控管理要求，达标率60%以上（0.1分），80%以上（0.2分），90%以上（0.3分）。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（二十五）制订满意度监测指标并不断完善，定期开展患者和员工满意度监测，改善患者就医体验和员工执业感受（2分）。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2.1.25.1</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医院指定部门负责患者和员工满意度监测管理，有相关的制度、流程及适宜的评价内容。</w:t>
            </w:r>
          </w:p>
        </w:tc>
        <w:tc>
          <w:tcPr>
            <w:tcW w:w="1419" w:type="dxa"/>
            <w:vMerge w:val="restart"/>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1.医院有指定部门负责满意度监测归口管理（0.3分）；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2.有完善的患者及员工满意度监测制度（0.3分）；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3.监测流程合理，评价内容适宜，</w:t>
            </w:r>
            <w:r>
              <w:rPr>
                <w:rStyle w:val="28"/>
                <w:rFonts w:hint="eastAsia" w:ascii="仿宋_GB2312" w:hAnsi="仿宋_GB2312" w:eastAsia="仿宋_GB2312" w:cs="仿宋_GB2312"/>
                <w:color w:val="000000"/>
                <w:sz w:val="24"/>
                <w:szCs w:val="24"/>
                <w:lang w:val="en-US" w:eastAsia="zh-CN" w:bidi="ar"/>
              </w:rPr>
              <w:t>能真实反映患者就医体验和员工执业感受，</w:t>
            </w:r>
            <w:r>
              <w:rPr>
                <w:rStyle w:val="34"/>
                <w:rFonts w:hint="eastAsia" w:ascii="仿宋_GB2312" w:hAnsi="仿宋_GB2312" w:eastAsia="仿宋_GB2312" w:cs="仿宋_GB2312"/>
                <w:color w:val="000000"/>
                <w:sz w:val="24"/>
                <w:szCs w:val="24"/>
                <w:lang w:val="en-US" w:eastAsia="zh-CN" w:bidi="ar"/>
              </w:rPr>
              <w:t>具有可操作性</w:t>
            </w:r>
            <w:r>
              <w:rPr>
                <w:rStyle w:val="29"/>
                <w:rFonts w:hint="eastAsia" w:ascii="仿宋_GB2312" w:hAnsi="仿宋_GB2312" w:eastAsia="仿宋_GB2312" w:cs="仿宋_GB2312"/>
                <w:color w:val="000000"/>
                <w:sz w:val="24"/>
                <w:szCs w:val="24"/>
                <w:lang w:val="en-US" w:eastAsia="zh-CN" w:bidi="ar"/>
              </w:rPr>
              <w:t>（0.3分）；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4.按时完成国家满意度监测平台调查，调查问卷量达标（0.3分）。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2.1.25.2</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对满意度监测中发现的问题，及时沟通、协商、整改和反馈。</w:t>
            </w:r>
          </w:p>
        </w:tc>
        <w:tc>
          <w:tcPr>
            <w:tcW w:w="1419" w:type="dxa"/>
            <w:vMerge w:val="restart"/>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数据核查</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1.至少每年一次公布</w:t>
            </w:r>
            <w:r>
              <w:rPr>
                <w:rStyle w:val="29"/>
                <w:rFonts w:hint="eastAsia" w:ascii="仿宋_GB2312" w:hAnsi="仿宋_GB2312" w:eastAsia="仿宋_GB2312" w:cs="仿宋_GB2312"/>
                <w:color w:val="000000"/>
                <w:sz w:val="24"/>
                <w:szCs w:val="24"/>
                <w:lang w:val="en-US" w:eastAsia="zh-CN" w:bidi="ar"/>
              </w:rPr>
              <w:t>满意度测评结果，并分析评估（0.2分）；</w:t>
            </w:r>
          </w:p>
        </w:tc>
        <w:tc>
          <w:tcPr>
            <w:tcW w:w="1059" w:type="dxa"/>
            <w:vMerge w:val="restart"/>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2.监测发现的问题，有沟通协商，有针对性的整改措施（0.3分）；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3.国家满意度监测平台数据显示，综合满意度持续提升（0.3分）。</w:t>
            </w:r>
          </w:p>
        </w:tc>
        <w:tc>
          <w:tcPr>
            <w:tcW w:w="1059" w:type="dxa"/>
            <w:vMerge w:val="continue"/>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（二十六）建立本院各科室医疗质量内部现场检查和公示制度（2分）。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51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2.1.26.1</w:t>
            </w:r>
          </w:p>
        </w:tc>
        <w:tc>
          <w:tcPr>
            <w:tcW w:w="25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建立本院各科室医疗质量内部现场检查制度并落实。</w:t>
            </w:r>
          </w:p>
        </w:tc>
        <w:tc>
          <w:tcPr>
            <w:tcW w:w="141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80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1.有医院定期对各科室进行医疗质量内部现场检查的制度（0.3分）；</w:t>
            </w:r>
          </w:p>
        </w:tc>
        <w:tc>
          <w:tcPr>
            <w:tcW w:w="10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51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2.有完善的医疗质量内部现场检查流程，方法和标准（0.3分）；</w:t>
            </w:r>
          </w:p>
        </w:tc>
        <w:tc>
          <w:tcPr>
            <w:tcW w:w="10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51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r>
              <w:rPr>
                <w:rStyle w:val="28"/>
                <w:rFonts w:hint="eastAsia" w:ascii="仿宋_GB2312" w:hAnsi="仿宋_GB2312" w:eastAsia="仿宋_GB2312" w:cs="仿宋_GB2312"/>
                <w:color w:val="000000"/>
                <w:sz w:val="24"/>
                <w:szCs w:val="24"/>
                <w:lang w:val="en-US" w:eastAsia="zh-CN" w:bidi="ar"/>
              </w:rPr>
              <w:t>医院每季度</w:t>
            </w:r>
            <w:r>
              <w:rPr>
                <w:rStyle w:val="30"/>
                <w:rFonts w:hint="eastAsia" w:ascii="仿宋_GB2312" w:hAnsi="仿宋_GB2312" w:eastAsia="仿宋_GB2312" w:cs="仿宋_GB2312"/>
                <w:color w:val="000000"/>
                <w:sz w:val="24"/>
                <w:szCs w:val="24"/>
                <w:lang w:val="en-US" w:eastAsia="zh-CN" w:bidi="ar"/>
              </w:rPr>
              <w:t>实施医疗质量内部现场检查，并有记录（0.3分）；</w:t>
            </w:r>
          </w:p>
        </w:tc>
        <w:tc>
          <w:tcPr>
            <w:tcW w:w="10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51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4.有每次内部现场检查报告（0.3分）。</w:t>
            </w:r>
          </w:p>
        </w:tc>
        <w:tc>
          <w:tcPr>
            <w:tcW w:w="10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2.1.26.2</w:t>
            </w:r>
          </w:p>
        </w:tc>
        <w:tc>
          <w:tcPr>
            <w:tcW w:w="25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建立本院医疗质量内部公示制度，对各科室医疗质量关键指标的完成情况予以内部公示。</w:t>
            </w:r>
          </w:p>
        </w:tc>
        <w:tc>
          <w:tcPr>
            <w:tcW w:w="141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1.医院有定期内部公示本院医疗质量情况的制度（0.2分）；</w:t>
            </w:r>
          </w:p>
        </w:tc>
        <w:tc>
          <w:tcPr>
            <w:tcW w:w="10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1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2.有明确的公示范围，包括各科室的医疗质量关键指标完成值。员工知晓内部公示的查阅方式（0.3分）；</w:t>
            </w:r>
          </w:p>
        </w:tc>
        <w:tc>
          <w:tcPr>
            <w:tcW w:w="10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51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both"/>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3.各相关医疗质量管理部门每季度对工作质量与安全情况进行分析汇总并形成《质量简报》向全院公示，公示内容完整(0.3分)。</w:t>
            </w:r>
          </w:p>
        </w:tc>
        <w:tc>
          <w:tcPr>
            <w:tcW w:w="10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4560" w:type="dxa"/>
            <w:gridSpan w:val="5"/>
            <w:tcBorders>
              <w:top w:val="nil"/>
              <w:left w:val="single" w:color="000000" w:sz="8" w:space="0"/>
              <w:bottom w:val="single" w:color="000000" w:sz="4"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（二十七） 强化基于电子病历的医院信息平台建设，满足医疗质量管理与控制工作需要（1.5分）。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2.1.27.1</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基于电子病历的医院信息平台建设符合《全国医院信息化建设标准与规范》的要求，功能具备《医院信息平台应用功能指引》的要求，技术符合《医院信息化建设应用技术指引（2017 版）》的要求。</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病历检查</w:t>
            </w:r>
          </w:p>
        </w:tc>
        <w:tc>
          <w:tcPr>
            <w:tcW w:w="8000" w:type="dxa"/>
            <w:tcBorders>
              <w:top w:val="single" w:color="000000" w:sz="8" w:space="0"/>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1.医院有明确的基于电子病历的医疗质量管理信息平台建设方案，并成为医院各管理层面的共识（0.2分）；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2.有明确的建设步骤、进度时限和具体的落实措施（0.3分）；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3.电子病历应用功能水平分级达到4级（0.3分），达到5级及以上（0.4分）。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2.1.27.2</w:t>
            </w:r>
          </w:p>
        </w:tc>
        <w:tc>
          <w:tcPr>
            <w:tcW w:w="256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医院信息平台能够提供医疗质量管理与控制工作所需的数据信息，数据符合《全国医院数据上报管理方案》《全国医院上报数据统计分析指标集》要求。</w:t>
            </w:r>
          </w:p>
        </w:tc>
        <w:tc>
          <w:tcPr>
            <w:tcW w:w="141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1.医院有基于信息平台的常规基础质控数据库（0.2分）；</w:t>
            </w:r>
          </w:p>
        </w:tc>
        <w:tc>
          <w:tcPr>
            <w:tcW w:w="1059"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nil"/>
              <w:left w:val="single" w:color="000000" w:sz="8" w:space="0"/>
              <w:bottom w:val="single" w:color="000000" w:sz="8" w:space="0"/>
              <w:right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2.有病历质控、药品监测、医院感染管理、医疗技术管理、处方点评、不良反应报告、耗材管理等质控与安全相关系统（0.4分）。</w:t>
            </w:r>
          </w:p>
        </w:tc>
        <w:tc>
          <w:tcPr>
            <w:tcW w:w="105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456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八）对医疗质量管理要求执行情况进行定期评估，对医疗质量信息数据开展内部验证并及时分析和反馈，对医疗质量问题和医疗安全风险进行预警和干预，对存在的问题及时采取有效干预措施，评估干预效果，促进医疗质量的持续改进（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2.1.28.1</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对医疗质量管理要求执行情况进行定期评估。</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1.有医疗质量管理执行情况定期评估制度（0.3分）；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2.评估报告客观，完整，有数据支撑，有分析及改进建议（0.3分）；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3.有事实说明医疗质量评估报告为医院决策提供依据（0.3分）。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2.1.28.2</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对医疗质量信息数据开展内部验证，并及时分析和反馈。</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数据核查</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1.医院有明确有效的医疗质量信息数据内部验证机制（0.3分）；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2.内部验证结果有分析和反馈（0.3分）；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3.核查证实医疗质量信息数据真实、可信、有效、可用（0.3分）。</w:t>
            </w:r>
          </w:p>
        </w:tc>
        <w:tc>
          <w:tcPr>
            <w:tcW w:w="105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517" w:type="dxa"/>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2.1.28.3</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对医疗质量问题和医疗安全风险进行预警和干预，对存在的问题及时采取有效干预措施，评估干预效果，促进医疗质量的持续改进。</w:t>
            </w:r>
          </w:p>
        </w:tc>
        <w:tc>
          <w:tcPr>
            <w:tcW w:w="14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1.有制度保证对发现的医疗质量问题和医疗安全风险进行预警和干预（0.3分）；</w:t>
            </w: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2.对存在的问题及时采取有效干预措施，并评估效果（0.2分）；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17"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4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8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r>
              <w:rPr>
                <w:rStyle w:val="29"/>
                <w:rFonts w:hint="eastAsia" w:ascii="仿宋_GB2312" w:hAnsi="仿宋_GB2312" w:eastAsia="仿宋_GB2312" w:cs="仿宋_GB2312"/>
                <w:color w:val="000000"/>
                <w:sz w:val="24"/>
                <w:szCs w:val="24"/>
                <w:lang w:val="en-US" w:eastAsia="zh-CN" w:bidi="ar"/>
              </w:rPr>
              <w:t>采取干预措施后成效明显，医院确定新的管理标准或制度（0.2分）。</w:t>
            </w: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bl>
    <w:p>
      <w:pPr>
        <w:pStyle w:val="5"/>
        <w:bidi w:val="0"/>
        <w:rPr>
          <w:rFonts w:hint="eastAsia"/>
          <w:color w:val="000000"/>
          <w:lang w:val="en-US" w:eastAsia="zh-CN"/>
        </w:rPr>
      </w:pPr>
      <w:bookmarkStart w:id="161" w:name="_Toc14605"/>
      <w:bookmarkStart w:id="162" w:name="_Toc13346"/>
      <w:r>
        <w:rPr>
          <w:rFonts w:hint="eastAsia"/>
          <w:color w:val="000000"/>
          <w:lang w:eastAsia="zh-CN"/>
        </w:rPr>
        <w:t>二、</w:t>
      </w:r>
      <w:r>
        <w:rPr>
          <w:rFonts w:hint="eastAsia"/>
          <w:color w:val="000000"/>
        </w:rPr>
        <w:t>医疗质量安全核心制度（</w:t>
      </w:r>
      <w:r>
        <w:rPr>
          <w:rFonts w:hint="eastAsia"/>
          <w:color w:val="000000"/>
          <w:lang w:val="en-US" w:eastAsia="zh-CN"/>
        </w:rPr>
        <w:t>31</w:t>
      </w:r>
      <w:r>
        <w:rPr>
          <w:rFonts w:hint="eastAsia"/>
          <w:color w:val="000000"/>
        </w:rPr>
        <w:t>分）</w:t>
      </w:r>
      <w:bookmarkEnd w:id="161"/>
      <w:bookmarkEnd w:id="162"/>
    </w:p>
    <w:tbl>
      <w:tblPr>
        <w:tblStyle w:val="14"/>
        <w:tblW w:w="14693"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92"/>
        <w:gridCol w:w="4988"/>
        <w:gridCol w:w="1617"/>
        <w:gridCol w:w="6136"/>
        <w:gridCol w:w="7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blHeader/>
        </w:trPr>
        <w:tc>
          <w:tcPr>
            <w:tcW w:w="6180" w:type="dxa"/>
            <w:gridSpan w:val="2"/>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评审指标细则</w:t>
            </w:r>
          </w:p>
        </w:tc>
        <w:tc>
          <w:tcPr>
            <w:tcW w:w="1617"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评审方法</w:t>
            </w:r>
          </w:p>
        </w:tc>
        <w:tc>
          <w:tcPr>
            <w:tcW w:w="6136"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评分细则</w:t>
            </w:r>
          </w:p>
        </w:tc>
        <w:tc>
          <w:tcPr>
            <w:tcW w:w="760"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3"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（二十九）医院应当落实《医疗质量管理办法》《医疗质量安全核心制度要点》要求，制定发布本院医疗质量安全核心制度，并组织全员培训（1.5分）。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2.2.29.1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落实《医疗质量管理办法》《医疗质量安全核心制度要点》要求，制定发布本院医疗质量安全核心制度。</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1.制定本院医疗核心制度和相关配套制度，符合《医疗质量管理办法》《医疗质量安全核心制度要点》要求 （0.3分）；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2.根据制度落实情况适时修订更新（0.2分）。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2.2.29.2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开展针对医疗质量安全核心制度的全员培训。</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1.定期开展医疗质量安全核心制度全员培训（0.2分）；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2.有考核记录（0.2分）；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3.访谈员工知晓医疗质量安全核心制度相关内容（0.2分）。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2.2.29.3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有针对新员工的专项培训，确保新员工尽快知晓其职责范围相关的医疗质量安全核心制度。</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1.有针对新员工的医疗核心制度专项培训，并考核（0.2分）；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2.访谈新员工知晓其岗位职责相关的医疗质量安全核心制度内容（0.2分）。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3"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（三十）建立首诊负责制度。明确在诊疗过程不同阶段的责任主体，保障患者诊疗服务连续性和医疗行为可追溯（1分）。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2.2.30.1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明确在诊疗过程不同阶段的责任主体，确保患者的所有诊疗过程都有人负责。</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患者访谈</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1.首诊负责制明确规定首位接诊医师（首诊医师）在一次就诊过程结束前或由其他医师接诊前全面负责该患者诊疗的诊疗管理职责（0.2分）；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2.明确患者所有诊疗过程的负责人，落实到个人，并延伸到科室（0.2分）。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2.2.30.2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各项诊疗过程、项目有转接机制，保障患者诊疗服务连续性。</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1.对各项目诊疗过程有明确的转接流程（0.1分）；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2.需转院诊治的患者应有明确的告知和转院流程（0.1分）；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3.能确保患者诊疗服务连续性（0.1分）。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8"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2.2.30.3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医疗行为有记录，可追溯。</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1.能体现上述所有医疗行为都有相应的记录和明确的责任人（0.2分）；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2.记录可追溯（0.1分）。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（三十一）建立三级查房制度。实行科主任领导下的三个不同级别的医师查房制度，严格明确查房周期。明确各级医师的医疗决策和实施权限（2分）。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2.2.31.1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实行科主任领导下的三个不同级别的医师查房制度。三个不同级别的医师包括但不限于主任医师或副主任医师-主治医师-住院医师。</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三级查房制度能明确体现科主任领导下的三个不同级别的医师开展查房；如实行主诊医师负责制的须明确规定医疗团队的负责人（含主诊医师、医疗组长和带组的主任医师等），—中间级别—最低级别的三个级别医师查房要求（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2.访谈员工及抽查病历体现满足以上要求（0.3分）。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3"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2.2.31.2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严格明确查房周期。工作日每天至少查房 2 次，非工作日每天至少查房 1 次，三级医师中最高级别的医师每周至少查房2次，中间级别的医师每周至少查房3次。术者必须亲自在术前和术后24小时内查房。</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1.三级查房制度明确规定查房周期符合《医疗质量安全核心制度要点》要求（0.2分）；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2.访谈员工与病历抽查能体现符合上述查房周期规定（0.3分）。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2.2.31.3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明确各级医师的医疗决策和实施权限，有员工相关权限的授权目录，有落实、有定期调整。</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1.三级查房制度明确各级别医师的医疗决策和实施权限（0.2分）；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30"/>
                <w:rFonts w:hint="eastAsia" w:ascii="仿宋_GB2312" w:hAnsi="仿宋_GB2312" w:eastAsia="仿宋_GB2312" w:cs="仿宋_GB2312"/>
                <w:color w:val="000000"/>
                <w:sz w:val="24"/>
                <w:szCs w:val="24"/>
                <w:lang w:val="en-US" w:eastAsia="zh-CN" w:bidi="ar"/>
              </w:rPr>
              <w:t>2.</w:t>
            </w:r>
            <w:r>
              <w:rPr>
                <w:rStyle w:val="33"/>
                <w:rFonts w:hint="eastAsia" w:ascii="仿宋_GB2312" w:hAnsi="仿宋_GB2312" w:eastAsia="仿宋_GB2312" w:cs="仿宋_GB2312"/>
                <w:color w:val="000000"/>
                <w:sz w:val="24"/>
                <w:szCs w:val="24"/>
                <w:lang w:val="en-US" w:eastAsia="zh-CN" w:bidi="ar"/>
              </w:rPr>
              <w:t>有</w:t>
            </w:r>
            <w:r>
              <w:rPr>
                <w:rStyle w:val="30"/>
                <w:rFonts w:hint="eastAsia" w:ascii="仿宋_GB2312" w:hAnsi="仿宋_GB2312" w:eastAsia="仿宋_GB2312" w:cs="仿宋_GB2312"/>
                <w:color w:val="000000"/>
                <w:sz w:val="24"/>
                <w:szCs w:val="24"/>
                <w:lang w:val="en-US" w:eastAsia="zh-CN" w:bidi="ar"/>
              </w:rPr>
              <w:t>科室员工</w:t>
            </w:r>
            <w:r>
              <w:rPr>
                <w:rStyle w:val="33"/>
                <w:rFonts w:hint="eastAsia" w:ascii="仿宋_GB2312" w:hAnsi="仿宋_GB2312" w:eastAsia="仿宋_GB2312" w:cs="仿宋_GB2312"/>
                <w:color w:val="000000"/>
                <w:sz w:val="24"/>
                <w:szCs w:val="24"/>
                <w:lang w:val="en-US" w:eastAsia="zh-CN" w:bidi="ar"/>
              </w:rPr>
              <w:t>相关权限的授权目录</w:t>
            </w:r>
            <w:r>
              <w:rPr>
                <w:rStyle w:val="30"/>
                <w:rFonts w:hint="eastAsia" w:ascii="仿宋_GB2312" w:hAnsi="仿宋_GB2312" w:eastAsia="仿宋_GB2312" w:cs="仿宋_GB2312"/>
                <w:color w:val="000000"/>
                <w:sz w:val="24"/>
                <w:szCs w:val="24"/>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3.访谈与抽查的病历体现符合上述要求（0.3分）；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4.员工相关权限的授权目录有定期调整（0.3分）。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（三十二）建立会诊制度。明确各类会诊的具体流程和时间要求，统一会诊单格式及填写规范。会诊请求人员应当陪同完成会诊，并按规定进行记录（1分）。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2.2.32.1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明确各类会诊的具体流程和时间要求，急会诊必须在10 分钟之内到位，普通会诊应当在会诊发出后 24 小时内完成。</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1.会诊制度有明确分类的流程、时限要求，符合《医疗质量安全核心制度要点》要求（0.1分）；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2.</w:t>
            </w:r>
            <w:r>
              <w:rPr>
                <w:rStyle w:val="30"/>
                <w:rFonts w:hint="eastAsia" w:ascii="仿宋_GB2312" w:hAnsi="仿宋_GB2312" w:eastAsia="仿宋_GB2312" w:cs="仿宋_GB2312"/>
                <w:color w:val="000000"/>
                <w:sz w:val="24"/>
                <w:szCs w:val="24"/>
                <w:lang w:val="en-US" w:eastAsia="zh-CN" w:bidi="ar"/>
              </w:rPr>
              <w:t>现场访视和</w:t>
            </w:r>
            <w:r>
              <w:rPr>
                <w:rStyle w:val="29"/>
                <w:rFonts w:hint="eastAsia" w:ascii="仿宋_GB2312" w:hAnsi="仿宋_GB2312" w:eastAsia="仿宋_GB2312" w:cs="仿宋_GB2312"/>
                <w:color w:val="000000"/>
                <w:sz w:val="24"/>
                <w:szCs w:val="24"/>
                <w:lang w:val="en-US" w:eastAsia="zh-CN" w:bidi="ar"/>
              </w:rPr>
              <w:t>病历抽查结果满足上述要求（0.1分）。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2.2.32.2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会诊请求人员应当陪同完成会诊。</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患者访谈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1.制度明确规定会诊请求人员应当陪同完成会诊（0.05分）；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2.访谈和现场检查结果符合上述要求（0.05分）。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3"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2.2.32.3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医院统一会诊单格式及填写规范，员工知晓。</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1.医院有统一的会诊单格式及填写规范（0.1分）；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2.访谈员工100%知晓（0.1分）；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3.抽查中无非统一格式会诊单（0.1分）。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2.2.32.4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会诊情况和处置按规定进行记录，有定期的自查与督查。</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1.会诊情况和处置按规定在病程中记录（0.1分）；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center"/>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2.科室定期自查、分析、总结、整改；自查记录，有整改措施（0.1分）；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center"/>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3.职能部门定期督查、分析、反馈，落实整改（0.1分）；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center"/>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4.有资料证明会诊制度落实情况明显改进，现场检查中无不符合制度要求情况（0.1分）。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9"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（三十三） 建立分级护理制度。按照国家分级护理管理相关指导原则和护理服务工作标准，规范各级别护理的内容。合理动态调整护理级别，护理级别应当明确标识（1分）。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2.2.33.1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按照国家分级护理管理相关指导原则，制定医院分级护理制度，有针对各级别护理的工作规范。</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1.查阅分级护理制度（结合医院与专科实际制定）（0.1分）；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2.分级护理服务标准及服务规范，护理级别标识统一（0.2分）；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3.护理部、科室落实监管并追踪整改，体现持续改进（0.2分）；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4.员工访谈知晓相关内容（0.2分）。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4"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2.2.33.2</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根据患者病情与生活自理能力变化的情况，合理动态调整患者护理级别。</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病历检查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根据患者病情与自理能力确定并合理动态调整护理级别（0.2分）。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6"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2.2.33.3</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护理级别应实时在病历、患者一览表及床头卡有明确标识。</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病历检查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查看病历、患者一览表及床头卡，护理级别标识一致（0.1分）。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2"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四）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2.2.34.1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有全院性医疗值班体系，包括临床、医技、护理部门以及提供诊疗支持的后勤部门，明确值班岗位职责并纳入职责汇编，员工知晓。</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1.建立完善的全院性医疗值班体系，包括临床、医技、护理部门以及提供诊疗支持的后勤部门（0.1分）；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2.各值班岗位有明确的职责，并纳入医院职责汇编（0.1分）；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3.员工对本岗位值班职责与要求知晓率达90% （0.2分）。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2.2.34.2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值班人数应满足岗位职责需要，并保证常态运行。</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1.有值班人员资质，人数要求，满足常态运行需要（0.1分）；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2.未发现值班人员与制度不符情况（0.1分）。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2.2.34.3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实行医院总值班制度，总值班人员需接受培训并考核合格。</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1.有明确的医院总值班制度，符合国家相关要求（0.2分）；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2.总值班人员100%知晓总值班制度、职责、权限（0.2分）；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3.总值班人员熟悉医院应急预案，能妥善处置突发事件（0.2分）。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2.2.34.4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医院及科室值班表应当定期提前全院公开，值班表应当涵盖与患者诊疗相关的所有岗位和时间。</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1.医院及科室值班表定期并提前在全院公开（0.1分）；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2.与患者诊疗相关的所有岗位及时段，都有相应值班人员（0.1分）。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1"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2.2.34.5</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值班人员资质和值班记录应当符合规定，</w:t>
            </w:r>
            <w:r>
              <w:rPr>
                <w:rStyle w:val="35"/>
                <w:rFonts w:hint="eastAsia" w:ascii="仿宋_GB2312" w:hAnsi="仿宋_GB2312" w:eastAsia="仿宋_GB2312" w:cs="仿宋_GB2312"/>
                <w:b w:val="0"/>
                <w:bCs w:val="0"/>
                <w:color w:val="000000"/>
                <w:sz w:val="24"/>
                <w:szCs w:val="24"/>
                <w:lang w:val="en-US" w:eastAsia="zh-CN" w:bidi="ar"/>
              </w:rPr>
              <w:t>非本机构执业医务人员不得单独值班。</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1.有各岗位值班记录的规范要求和标准模板（0.1分）；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2.值班人员资质符合规定，不得安排非本机构执业医务人员单独值班（0.1分）；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3.值班记录符合规定（0.1分）。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2.2.34.6</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值班期间所有的诊疗活动必须及时记入病历，有定期的自查与督查。</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1.</w:t>
            </w:r>
            <w:r>
              <w:rPr>
                <w:rStyle w:val="32"/>
                <w:rFonts w:hint="eastAsia" w:ascii="仿宋_GB2312" w:hAnsi="仿宋_GB2312" w:eastAsia="仿宋_GB2312" w:cs="仿宋_GB2312"/>
                <w:color w:val="000000"/>
                <w:sz w:val="24"/>
                <w:szCs w:val="24"/>
                <w:lang w:val="en-US" w:eastAsia="zh-CN" w:bidi="ar"/>
              </w:rPr>
              <w:t>值班期间值班人员应当及时、准确、完整地将诊疗活动记入病历</w:t>
            </w:r>
            <w:r>
              <w:rPr>
                <w:rStyle w:val="29"/>
                <w:rFonts w:hint="eastAsia" w:ascii="仿宋_GB2312" w:hAnsi="仿宋_GB2312" w:eastAsia="仿宋_GB2312" w:cs="仿宋_GB2312"/>
                <w:color w:val="000000"/>
                <w:sz w:val="24"/>
                <w:szCs w:val="24"/>
                <w:lang w:val="en-US" w:eastAsia="zh-CN" w:bidi="ar"/>
              </w:rPr>
              <w:t>（0.1分）；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2.有科室定期自查记录，发现问题有整改（0.1分）；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3.有职能部门定期督查记录，有反馈建议（0.1分）。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9"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（三十五）交接班内容应当专册记录，并由交班人员和接班人员共同签字确认，急危重患者必须床旁交班（1分）。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2.2.35.1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交接班内容应当专册记录，并由交班人员和接班人员共同签字确认。</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1.交接班内容有专册记录（0.3分）；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2.交接班记录有交班人员和接班人员共同签字确认（0.2分）。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Style w:val="36"/>
                <w:rFonts w:hint="eastAsia" w:ascii="仿宋_GB2312" w:hAnsi="仿宋_GB2312" w:eastAsia="仿宋_GB2312" w:cs="仿宋_GB2312"/>
                <w:color w:val="000000"/>
                <w:sz w:val="24"/>
                <w:szCs w:val="24"/>
                <w:lang w:val="en-US" w:eastAsia="zh-CN" w:bidi="ar"/>
              </w:rPr>
              <w:t>2.2.35.2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急危重患者必须床旁交班， 并在交接班记录中予以体现。</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1.急危重患者进行床旁交班（0.3分）；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4" w:hRule="atLeast"/>
        </w:trPr>
        <w:tc>
          <w:tcPr>
            <w:tcW w:w="1192" w:type="dxa"/>
            <w:vMerge w:val="continue"/>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4988" w:type="dxa"/>
            <w:vMerge w:val="continue"/>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36"/>
                <w:rFonts w:hint="eastAsia" w:ascii="仿宋_GB2312" w:hAnsi="仿宋_GB2312" w:eastAsia="仿宋_GB2312" w:cs="仿宋_GB2312"/>
                <w:color w:val="000000"/>
                <w:sz w:val="24"/>
                <w:szCs w:val="24"/>
                <w:lang w:val="en-US" w:eastAsia="zh-CN" w:bidi="ar"/>
              </w:rPr>
              <w:t>2.床旁交班有记录（0.2分）。</w:t>
            </w:r>
          </w:p>
        </w:tc>
        <w:tc>
          <w:tcPr>
            <w:tcW w:w="760" w:type="dxa"/>
            <w:vMerge w:val="continue"/>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（三十六）建立疑难病例讨论制度。医院和科室应当确定疑难病例的范围，明确参与讨论人员范围、组成和流程要求。讨论内容专册记录，讨论结论记入病历（1分）。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2.2.36.1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和科室应当确定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访谈员工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1.医院的疑难病例讨论制度符合《医疗质量安全核心制度要点》要求，有明确的疑难病例范围界定（0.1分）；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2.医院各科室制定有本科室疑难病例范围（0.1分）；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3.访谈员工知晓本科室的疑难病例范围（0.1分）。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2.2.36.2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明确参与疑难病例讨论的人员范围、组成和流程要求。讨论原则上应由科主任主持，全科人员参加。讨论成员</w:t>
            </w:r>
            <w:r>
              <w:rPr>
                <w:rStyle w:val="32"/>
                <w:rFonts w:hint="eastAsia" w:ascii="仿宋_GB2312" w:hAnsi="仿宋_GB2312" w:eastAsia="仿宋_GB2312" w:cs="仿宋_GB2312"/>
                <w:color w:val="000000"/>
                <w:sz w:val="24"/>
                <w:szCs w:val="24"/>
                <w:lang w:val="en-US" w:eastAsia="zh-CN" w:bidi="ar"/>
              </w:rPr>
              <w:t>中应当至少有2人具有主治及以上</w:t>
            </w:r>
            <w:r>
              <w:rPr>
                <w:rStyle w:val="29"/>
                <w:rFonts w:hint="eastAsia" w:ascii="仿宋_GB2312" w:hAnsi="仿宋_GB2312" w:eastAsia="仿宋_GB2312" w:cs="仿宋_GB2312"/>
                <w:color w:val="000000"/>
                <w:sz w:val="24"/>
                <w:szCs w:val="24"/>
                <w:lang w:val="en-US" w:eastAsia="zh-CN" w:bidi="ar"/>
              </w:rPr>
              <w:t>专业技术职务任职资格。</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1.医院制定的疑难病例讨论制度，对参加讨论的人员范围、组成和流程有明确规定，符合《医疗质量安全核心制度要点》要求（0.1分）；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2.讨论原则上应由科主任主持，全科人员参加。讨论成员中应当至少有2人具有主治及以上专业技术职务任职资格（0.1分）。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2.2.36.3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疑难病例讨论内容专册记录，主持人需审核并签字。</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1.疑难病例讨论有专册记录（0.1分）；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2.主持人对讨论内容审核并签字（0.1分）。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2.2.36.4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疑难病例讨论结论记入病历，定期自查与督查。</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1.疑难病例讨论结论记入病历，符合规范要求（0.1分）；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2.科室有定期自查、总结分析、整改措施并落实（0.1分）；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3.职能部门有督导检查、分析、反馈，并检查科室整改落实情况（0.1分）。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7"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（三十七）建立急危重患者抢救制度。医院和科室应当确定急危重患者的范围，医院建立抢救资源配置与紧急调配机制和绿色通道机制。抢救完成后 6 小时内应当将抢救记录记入病历（1分）。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2.2.37.1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医院和科室应当确定急危重患者的范围，包括但不限于出现以下情形的患者：病情危重，不立即处置可能存在危及生命或出现重要脏器功能严重损害；生命体征不稳定并有恶化倾向等。</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1.医院的急危重患者抢救制度符合《医疗质量安全核心制度要点》要求，有明确的急危重患者范围界定（0.1分）；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left"/>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w:t>
            </w:r>
            <w:r>
              <w:rPr>
                <w:rStyle w:val="32"/>
                <w:rFonts w:hint="eastAsia" w:ascii="仿宋_GB2312" w:hAnsi="仿宋_GB2312" w:eastAsia="仿宋_GB2312" w:cs="仿宋_GB2312"/>
                <w:color w:val="000000"/>
                <w:sz w:val="24"/>
                <w:szCs w:val="24"/>
                <w:lang w:val="en-US" w:eastAsia="zh-CN" w:bidi="ar"/>
              </w:rPr>
              <w:t>员工知晓</w:t>
            </w:r>
            <w:r>
              <w:rPr>
                <w:rStyle w:val="29"/>
                <w:rFonts w:hint="eastAsia" w:ascii="仿宋_GB2312" w:hAnsi="仿宋_GB2312" w:eastAsia="仿宋_GB2312" w:cs="仿宋_GB2312"/>
                <w:color w:val="000000"/>
                <w:sz w:val="24"/>
                <w:szCs w:val="24"/>
                <w:lang w:val="en-US" w:eastAsia="zh-CN" w:bidi="ar"/>
              </w:rPr>
              <w:t>本科室的急危重患者范围（0.1分）。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2.2.37.2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建立抢救资源配置机制。抢救资源包括但不限于抢救人员、抢救药品、抢救设备和病区抢救区域、抢救床位。</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1.医院制定明确的抢救资源配置机制，包括但不限于抢救人员、抢救药品、抢救设备和病区抢救区域、抢救床位（0.05分）；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2.访谈员工知晓本科室抢救资源相关内容（0.1分）。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0"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2.2.37.3</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建立抢救资源紧急调配机制。紧急调配机制可以包括人员调配、抢救用药保障、医疗设备紧急调配、应急床位统一调配和多科室紧急抢救协作机制。</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1.医院建立完善的抢救资源紧急调配机制，可以包括人员调配、抢救用药保障、医疗设备紧急调配、应急床位统一调配和多科室紧急抢救协作机制</w:t>
            </w:r>
            <w:r>
              <w:rPr>
                <w:rStyle w:val="30"/>
                <w:rFonts w:hint="eastAsia" w:ascii="仿宋_GB2312" w:hAnsi="仿宋_GB2312" w:eastAsia="仿宋_GB2312" w:cs="仿宋_GB2312"/>
                <w:color w:val="000000"/>
                <w:sz w:val="24"/>
                <w:szCs w:val="24"/>
                <w:lang w:val="en-US" w:eastAsia="zh-CN" w:bidi="ar"/>
              </w:rPr>
              <w:t>（0.05分）；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2.相关岗位人员熟悉上述紧急调配机制，知晓本岗位紧急调配权限和职责</w:t>
            </w:r>
            <w:r>
              <w:rPr>
                <w:rStyle w:val="30"/>
                <w:rFonts w:hint="eastAsia" w:ascii="仿宋_GB2312" w:hAnsi="仿宋_GB2312" w:eastAsia="仿宋_GB2312" w:cs="仿宋_GB2312"/>
                <w:color w:val="000000"/>
                <w:sz w:val="24"/>
                <w:szCs w:val="24"/>
                <w:lang w:val="en-US" w:eastAsia="zh-CN" w:bidi="ar"/>
              </w:rPr>
              <w:t>（0.1分）。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4"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2.2.37.4</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医院建立急危重患者相关绿色通道，明确进入绿色通道情形及绿色通道的运行机制。</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1.医院建立完善的急危重患者绿色通道相关机制（0.05分）；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5"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r>
              <w:rPr>
                <w:rStyle w:val="30"/>
                <w:rFonts w:hint="eastAsia" w:ascii="仿宋_GB2312" w:hAnsi="仿宋_GB2312" w:eastAsia="仿宋_GB2312" w:cs="仿宋_GB2312"/>
                <w:color w:val="000000"/>
                <w:sz w:val="24"/>
                <w:szCs w:val="24"/>
                <w:lang w:val="en-US" w:eastAsia="zh-CN" w:bidi="ar"/>
              </w:rPr>
              <w:t>建立重点病种的服务流程（</w:t>
            </w:r>
            <w:r>
              <w:rPr>
                <w:rStyle w:val="29"/>
                <w:rFonts w:hint="eastAsia" w:ascii="仿宋_GB2312" w:hAnsi="仿宋_GB2312" w:eastAsia="仿宋_GB2312" w:cs="仿宋_GB2312"/>
                <w:color w:val="000000"/>
                <w:sz w:val="24"/>
                <w:szCs w:val="24"/>
                <w:lang w:val="en-US" w:eastAsia="zh-CN" w:bidi="ar"/>
              </w:rPr>
              <w:t>0.05分）；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w:t>
            </w:r>
            <w:r>
              <w:rPr>
                <w:rStyle w:val="30"/>
                <w:rFonts w:hint="eastAsia" w:ascii="仿宋_GB2312" w:hAnsi="仿宋_GB2312" w:eastAsia="仿宋_GB2312" w:cs="仿宋_GB2312"/>
                <w:color w:val="000000"/>
                <w:sz w:val="24"/>
                <w:szCs w:val="24"/>
                <w:lang w:val="en-US" w:eastAsia="zh-CN" w:bidi="ar"/>
              </w:rPr>
              <w:t>员工知晓进入绿色通道条件及流程（0.1分）。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3"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2.2.37.5</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抢救完成后6小时内应当将抢救记录记入病历，有定期自查与督查。</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1.抢救完成后</w:t>
            </w:r>
            <w:r>
              <w:rPr>
                <w:rStyle w:val="30"/>
                <w:rFonts w:hint="eastAsia" w:ascii="仿宋_GB2312" w:hAnsi="仿宋_GB2312" w:eastAsia="仿宋_GB2312" w:cs="仿宋_GB2312"/>
                <w:color w:val="000000"/>
                <w:sz w:val="24"/>
                <w:szCs w:val="24"/>
                <w:lang w:val="en-US" w:eastAsia="zh-CN" w:bidi="ar"/>
              </w:rPr>
              <w:t>6小时内完成抢救记录</w:t>
            </w:r>
            <w:r>
              <w:rPr>
                <w:rStyle w:val="29"/>
                <w:rFonts w:hint="eastAsia" w:ascii="仿宋_GB2312" w:hAnsi="仿宋_GB2312" w:eastAsia="仿宋_GB2312" w:cs="仿宋_GB2312"/>
                <w:color w:val="000000"/>
                <w:sz w:val="24"/>
                <w:szCs w:val="24"/>
                <w:lang w:val="en-US" w:eastAsia="zh-CN" w:bidi="ar"/>
              </w:rPr>
              <w:t>（0.1分）；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2.科室有定期自查、总结分析、整改措施并落实（0.1分）；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3.职能部门有督导检查、分析、反馈，并检查科室整改落实情况（0.1分）。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2"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（三十八）建立术前讨论制度。医院应当明确不同术前讨论形式的参加人员范围和流程。科室应当明确本科室开展的各级手术术前讨论的范围并经医疗管理部门审定。术前讨论的结论记入病历（1分）。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2.2.38.1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明确不同术前讨论形式的参加人员范围，包括手术组讨论、医师团队讨论、病区内讨论和全科讨论。</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1.医院制定的术前讨论制度明确规定不同手术术前讨论形式的参加人员范围和流程(0.1分)；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2.</w:t>
            </w:r>
            <w:r>
              <w:rPr>
                <w:rStyle w:val="30"/>
                <w:rFonts w:hint="eastAsia" w:ascii="仿宋_GB2312" w:hAnsi="仿宋_GB2312" w:eastAsia="仿宋_GB2312" w:cs="仿宋_GB2312"/>
                <w:color w:val="000000"/>
                <w:sz w:val="24"/>
                <w:szCs w:val="24"/>
                <w:lang w:val="en-US" w:eastAsia="zh-CN" w:bidi="ar"/>
              </w:rPr>
              <w:t>查阅手术病历符合上述要求</w:t>
            </w:r>
            <w:r>
              <w:rPr>
                <w:rStyle w:val="29"/>
                <w:rFonts w:hint="eastAsia" w:ascii="仿宋_GB2312" w:hAnsi="仿宋_GB2312" w:eastAsia="仿宋_GB2312" w:cs="仿宋_GB2312"/>
                <w:color w:val="000000"/>
                <w:sz w:val="24"/>
                <w:szCs w:val="24"/>
                <w:lang w:val="en-US" w:eastAsia="zh-CN" w:bidi="ar"/>
              </w:rPr>
              <w:t>（0.1分）。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2.2.38.2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明确术前讨论的流程，术前讨论完成后，方可开具手术医嘱，签署手术知情同意书。</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1.医院有明确的术前讨论流程（0.1分）；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2.医师知晓术前讨论流程（0.1分）；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3.查阅手术病历符合上述要求（0.1分）。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3"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2.2.38.3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科室明确本科室开展的各级手术术前讨论的范围并经医疗管理部门审定。</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1.科室确定本科室开展的各级手术术前讨论的范围并经医疗管理部门审定（0.1分）；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2.医师知晓本科室术前讨论范围</w:t>
            </w:r>
            <w:r>
              <w:rPr>
                <w:rStyle w:val="30"/>
                <w:rFonts w:hint="eastAsia" w:ascii="仿宋_GB2312" w:hAnsi="仿宋_GB2312" w:eastAsia="仿宋_GB2312" w:cs="仿宋_GB2312"/>
                <w:color w:val="000000"/>
                <w:sz w:val="24"/>
                <w:szCs w:val="24"/>
                <w:lang w:val="en-US" w:eastAsia="zh-CN" w:bidi="ar"/>
              </w:rPr>
              <w:t>（0.1分）。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8"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2.2.38.4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术前讨论的结论记入病历，有定期自查与督查。</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1.术前讨论结论记入病历（0.1分）；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2.科室有定期自查、总结分析、整改措施并落实（0.1分）；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3.职能部门有督导检查、分析、反馈，并检查科室整改落实情况（0.1分）。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3"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（三十九）建立死亡病例讨论制度。医院应当监测全院死亡病例并及时进行汇总分析，提出持续改进意见。死亡病例讨论范围、参加人员、时限和记录应当符合规定（1分）。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7"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2.2.39.1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医院监测全院死亡病例发生情况并及时进行汇总分析，提出持续改进意见。</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1.</w:t>
            </w:r>
            <w:r>
              <w:rPr>
                <w:rStyle w:val="30"/>
                <w:rFonts w:hint="eastAsia" w:ascii="仿宋_GB2312" w:hAnsi="仿宋_GB2312" w:eastAsia="仿宋_GB2312" w:cs="仿宋_GB2312"/>
                <w:color w:val="000000"/>
                <w:sz w:val="24"/>
                <w:szCs w:val="24"/>
                <w:lang w:val="en-US" w:eastAsia="zh-CN" w:bidi="ar"/>
              </w:rPr>
              <w:t>医院建立有死亡病例讨论制度</w:t>
            </w:r>
            <w:r>
              <w:rPr>
                <w:rStyle w:val="29"/>
                <w:rFonts w:hint="eastAsia" w:ascii="仿宋_GB2312" w:hAnsi="仿宋_GB2312" w:eastAsia="仿宋_GB2312" w:cs="仿宋_GB2312"/>
                <w:color w:val="000000"/>
                <w:sz w:val="24"/>
                <w:szCs w:val="24"/>
                <w:lang w:val="en-US" w:eastAsia="zh-CN" w:bidi="ar"/>
              </w:rPr>
              <w:t>（0.2分）；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2.医院对全院死亡病例进行监测（0.1分）；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3.对死亡病例及时进行汇总分析，提出持续改进意见（0.1分）。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2.2.39.2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8"/>
                <w:rFonts w:hint="eastAsia" w:ascii="仿宋_GB2312" w:hAnsi="仿宋_GB2312" w:eastAsia="仿宋_GB2312" w:cs="仿宋_GB2312"/>
                <w:color w:val="000000"/>
                <w:sz w:val="24"/>
                <w:szCs w:val="24"/>
                <w:lang w:val="en-US" w:eastAsia="zh-CN" w:bidi="ar"/>
              </w:rPr>
              <w:t>死亡病例讨论</w:t>
            </w:r>
            <w:r>
              <w:rPr>
                <w:rStyle w:val="29"/>
                <w:rFonts w:hint="eastAsia" w:ascii="仿宋_GB2312" w:hAnsi="仿宋_GB2312" w:eastAsia="仿宋_GB2312" w:cs="仿宋_GB2312"/>
                <w:color w:val="000000"/>
                <w:sz w:val="24"/>
                <w:szCs w:val="24"/>
                <w:lang w:val="en-US" w:eastAsia="zh-CN" w:bidi="ar"/>
              </w:rPr>
              <w:t>在全科范围内完成，由科主任主持讨论。</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1.</w:t>
            </w:r>
            <w:r>
              <w:rPr>
                <w:rStyle w:val="30"/>
                <w:rFonts w:hint="eastAsia" w:ascii="仿宋_GB2312" w:hAnsi="仿宋_GB2312" w:eastAsia="仿宋_GB2312" w:cs="仿宋_GB2312"/>
                <w:color w:val="000000"/>
                <w:sz w:val="24"/>
                <w:szCs w:val="24"/>
                <w:lang w:val="en-US" w:eastAsia="zh-CN" w:bidi="ar"/>
              </w:rPr>
              <w:t>死亡病例讨论在全科范围内完成</w:t>
            </w:r>
            <w:r>
              <w:rPr>
                <w:rStyle w:val="29"/>
                <w:rFonts w:hint="eastAsia" w:ascii="仿宋_GB2312" w:hAnsi="仿宋_GB2312" w:eastAsia="仿宋_GB2312" w:cs="仿宋_GB2312"/>
                <w:color w:val="000000"/>
                <w:sz w:val="24"/>
                <w:szCs w:val="24"/>
                <w:lang w:val="en-US" w:eastAsia="zh-CN" w:bidi="ar"/>
              </w:rPr>
              <w:t>（0.1分）；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2.死亡</w:t>
            </w:r>
            <w:r>
              <w:rPr>
                <w:rStyle w:val="28"/>
                <w:rFonts w:hint="eastAsia" w:ascii="仿宋_GB2312" w:hAnsi="仿宋_GB2312" w:eastAsia="仿宋_GB2312" w:cs="仿宋_GB2312"/>
                <w:color w:val="000000"/>
                <w:sz w:val="24"/>
                <w:szCs w:val="24"/>
                <w:lang w:val="en-US" w:eastAsia="zh-CN" w:bidi="ar"/>
              </w:rPr>
              <w:t>病例</w:t>
            </w:r>
            <w:r>
              <w:rPr>
                <w:rStyle w:val="29"/>
                <w:rFonts w:hint="eastAsia" w:ascii="仿宋_GB2312" w:hAnsi="仿宋_GB2312" w:eastAsia="仿宋_GB2312" w:cs="仿宋_GB2312"/>
                <w:color w:val="000000"/>
                <w:sz w:val="24"/>
                <w:szCs w:val="24"/>
                <w:lang w:val="en-US" w:eastAsia="zh-CN" w:bidi="ar"/>
              </w:rPr>
              <w:t>讨论由科主任主持（0.1分）。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2.2.39.3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8"/>
                <w:rFonts w:hint="eastAsia" w:ascii="仿宋_GB2312" w:hAnsi="仿宋_GB2312" w:eastAsia="仿宋_GB2312" w:cs="仿宋_GB2312"/>
                <w:color w:val="000000"/>
                <w:sz w:val="24"/>
                <w:szCs w:val="24"/>
                <w:lang w:val="en-US" w:eastAsia="zh-CN" w:bidi="ar"/>
              </w:rPr>
              <w:t>死亡病例讨论</w:t>
            </w:r>
            <w:r>
              <w:rPr>
                <w:rStyle w:val="29"/>
                <w:rFonts w:hint="eastAsia" w:ascii="仿宋_GB2312" w:hAnsi="仿宋_GB2312" w:eastAsia="仿宋_GB2312" w:cs="仿宋_GB2312"/>
                <w:color w:val="000000"/>
                <w:sz w:val="24"/>
                <w:szCs w:val="24"/>
                <w:lang w:val="en-US" w:eastAsia="zh-CN" w:bidi="ar"/>
              </w:rPr>
              <w:t>在患者死亡一周内完成，尸检病例在尸检报告出具后1 周内必须再次讨论。</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1.死亡</w:t>
            </w:r>
            <w:r>
              <w:rPr>
                <w:rStyle w:val="28"/>
                <w:rFonts w:hint="eastAsia" w:ascii="仿宋_GB2312" w:hAnsi="仿宋_GB2312" w:eastAsia="仿宋_GB2312" w:cs="仿宋_GB2312"/>
                <w:color w:val="000000"/>
                <w:sz w:val="24"/>
                <w:szCs w:val="24"/>
                <w:lang w:val="en-US" w:eastAsia="zh-CN" w:bidi="ar"/>
              </w:rPr>
              <w:t>病例</w:t>
            </w:r>
            <w:r>
              <w:rPr>
                <w:rStyle w:val="29"/>
                <w:rFonts w:hint="eastAsia" w:ascii="仿宋_GB2312" w:hAnsi="仿宋_GB2312" w:eastAsia="仿宋_GB2312" w:cs="仿宋_GB2312"/>
                <w:color w:val="000000"/>
                <w:sz w:val="24"/>
                <w:szCs w:val="24"/>
                <w:lang w:val="en-US" w:eastAsia="zh-CN" w:bidi="ar"/>
              </w:rPr>
              <w:t>讨论在患者死亡一周内完成（0.1分）；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2.尸检病例在尸检报告出具后1周内再次讨论(0.1分)。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2.2.39.4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死亡病例讨论结果记入病历，讨论内容专册记录。</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1.死亡病例讨论结果按规范记入病历（0.1分）；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2.死亡病例讨论有</w:t>
            </w:r>
            <w:r>
              <w:rPr>
                <w:rStyle w:val="30"/>
                <w:rFonts w:hint="eastAsia" w:ascii="仿宋_GB2312" w:hAnsi="仿宋_GB2312" w:eastAsia="仿宋_GB2312" w:cs="仿宋_GB2312"/>
                <w:color w:val="000000"/>
                <w:sz w:val="24"/>
                <w:szCs w:val="24"/>
                <w:lang w:val="en-US" w:eastAsia="zh-CN" w:bidi="ar"/>
              </w:rPr>
              <w:t>专册记录</w:t>
            </w:r>
            <w:r>
              <w:rPr>
                <w:rStyle w:val="29"/>
                <w:rFonts w:hint="eastAsia" w:ascii="仿宋_GB2312" w:hAnsi="仿宋_GB2312" w:eastAsia="仿宋_GB2312" w:cs="仿宋_GB2312"/>
                <w:color w:val="000000"/>
                <w:sz w:val="24"/>
                <w:szCs w:val="24"/>
                <w:lang w:val="en-US" w:eastAsia="zh-CN" w:bidi="ar"/>
              </w:rPr>
              <w:t>（0.1分）。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8"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（四十）建立查对制度。医院查对制度应当涵盖患者身份识别、临床诊疗行为、设备设施运行和医疗环境安全等方面。医疗器械、设施、药品、标本等查对要求按照国家有关规定和标准执行（2分）。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8"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2.2.40.1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医院建立患者身份识别制度，患者的身份查对不少于两种独立的核对方式，床号不得用于查对。</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1.医院建立规范的患者身份识别制度，患者的身份查对有不少于两种独立的核对方式，床号不得用于查对（0.2分）；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2.对实施“手腕带”识别患者身份有规范要求（0.2分）；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3.现场查看医务人员查对与制度要求一致（0.1分）。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2.2.40.2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有临床诊疗行为的查对制度，包括但不限于开具和执行医嘱、给药、手术/操作、麻醉、输血、检验标本采集、检查、发放营养膳食、接送转运患者、检验检查结果/报告等环节。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1.医院有明确的临床诊疗行为查对制度（0.2分）；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2.内容包括但不限于开具和执行医嘱、给药、操作、麻醉、输血、检验标本采集、检查、发放营养膳食、接送转运患者、检验检查结果/报告等环节（0.2分）；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3.现场查看医务人员查对与制度要求一致（0.1分）。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2.2.40.3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建立医疗器械、设备设施运行和医疗环境安全等查对制度。</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1.医院有明确的医疗器械、设备设施运行和医疗环境安全等查对制度（0.2分）；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2.</w:t>
            </w:r>
            <w:r>
              <w:rPr>
                <w:rStyle w:val="32"/>
                <w:rFonts w:hint="eastAsia" w:ascii="仿宋_GB2312" w:hAnsi="仿宋_GB2312" w:eastAsia="仿宋_GB2312" w:cs="仿宋_GB2312"/>
                <w:color w:val="000000"/>
                <w:sz w:val="24"/>
                <w:szCs w:val="24"/>
                <w:lang w:val="en-US" w:eastAsia="zh-CN" w:bidi="ar"/>
              </w:rPr>
              <w:t>现场查看医务人员查对与制度要求一致</w:t>
            </w:r>
            <w:r>
              <w:rPr>
                <w:rStyle w:val="29"/>
                <w:rFonts w:hint="eastAsia" w:ascii="仿宋_GB2312" w:hAnsi="仿宋_GB2312" w:eastAsia="仿宋_GB2312" w:cs="仿宋_GB2312"/>
                <w:color w:val="000000"/>
                <w:sz w:val="24"/>
                <w:szCs w:val="24"/>
                <w:lang w:val="en-US" w:eastAsia="zh-CN" w:bidi="ar"/>
              </w:rPr>
              <w:t>（0.3分）。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2.2.40.4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药品、标本等查对要求按照国家有关规定和标准执行。</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1.医院有明确的药品、标本等查对制度（0.2分）；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2.</w:t>
            </w:r>
            <w:r>
              <w:rPr>
                <w:rStyle w:val="32"/>
                <w:rFonts w:hint="eastAsia" w:ascii="仿宋_GB2312" w:hAnsi="仿宋_GB2312" w:eastAsia="仿宋_GB2312" w:cs="仿宋_GB2312"/>
                <w:color w:val="000000"/>
                <w:sz w:val="24"/>
                <w:szCs w:val="24"/>
                <w:lang w:val="en-US" w:eastAsia="zh-CN" w:bidi="ar"/>
              </w:rPr>
              <w:t>现场查看医务人员查对与制度要求一致</w:t>
            </w:r>
            <w:r>
              <w:rPr>
                <w:rStyle w:val="29"/>
                <w:rFonts w:hint="eastAsia" w:ascii="仿宋_GB2312" w:hAnsi="仿宋_GB2312" w:eastAsia="仿宋_GB2312" w:cs="仿宋_GB2312"/>
                <w:color w:val="000000"/>
                <w:sz w:val="24"/>
                <w:szCs w:val="24"/>
                <w:lang w:val="en-US" w:eastAsia="zh-CN" w:bidi="ar"/>
              </w:rPr>
              <w:t>（0.3分）。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4"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（四十一）建立手术安全核查制度。建立手术安全核查制度和标准化流程，手术安全核查过程和内容按国家有关规定执行。手术安全核查表纳入病历</w:t>
            </w:r>
            <w:r>
              <w:rPr>
                <w:rFonts w:hint="eastAsia" w:ascii="仿宋_GB2312" w:hAnsi="仿宋_GB2312" w:eastAsia="仿宋_GB2312" w:cs="仿宋_GB2312"/>
                <w:i w:val="0"/>
                <w:iCs w:val="0"/>
                <w:color w:val="000000"/>
                <w:kern w:val="0"/>
                <w:sz w:val="24"/>
                <w:szCs w:val="24"/>
                <w:highlight w:val="none"/>
                <w:u w:val="none"/>
                <w:lang w:val="en-US" w:eastAsia="zh-CN" w:bidi="ar"/>
              </w:rPr>
              <w:t>（1.5分）</w:t>
            </w: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1"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2.2.41.1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建立手术安全核查制度和标准化流程，手术安全核查过程和内容按国家有关规定执行。</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1.有手术安全核查制度和标准化流程（0.2分）；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2.被访谈人员对手术安全核查制度及核查流程知晓率达100%（0.2分）；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3.现场查看手术医师、麻醉医师、手术护士等人员手术安全核查操作熟练，符合制度要求（0.3分）；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4.有职能部门的</w:t>
            </w:r>
            <w:r>
              <w:rPr>
                <w:rStyle w:val="28"/>
                <w:rFonts w:hint="eastAsia" w:ascii="仿宋_GB2312" w:hAnsi="仿宋_GB2312" w:eastAsia="仿宋_GB2312" w:cs="仿宋_GB2312"/>
                <w:color w:val="000000"/>
                <w:sz w:val="24"/>
                <w:szCs w:val="24"/>
                <w:lang w:val="en-US" w:eastAsia="zh-CN" w:bidi="ar"/>
              </w:rPr>
              <w:t>每季度督查</w:t>
            </w:r>
            <w:r>
              <w:rPr>
                <w:rStyle w:val="29"/>
                <w:rFonts w:hint="eastAsia" w:ascii="仿宋_GB2312" w:hAnsi="仿宋_GB2312" w:eastAsia="仿宋_GB2312" w:cs="仿宋_GB2312"/>
                <w:color w:val="000000"/>
                <w:sz w:val="24"/>
                <w:szCs w:val="24"/>
                <w:lang w:val="en-US" w:eastAsia="zh-CN" w:bidi="ar"/>
              </w:rPr>
              <w:t>、反馈及分析（0.1分）。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2.2.41.2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手术安全核查表纳入病历。</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1.手术安全核查表</w:t>
            </w:r>
            <w:r>
              <w:rPr>
                <w:rStyle w:val="29"/>
                <w:rFonts w:hint="eastAsia" w:ascii="仿宋_GB2312" w:hAnsi="仿宋_GB2312" w:eastAsia="仿宋_GB2312" w:cs="仿宋_GB2312"/>
                <w:color w:val="000000"/>
                <w:sz w:val="24"/>
                <w:szCs w:val="24"/>
                <w:lang w:val="en-US" w:eastAsia="zh-CN" w:bidi="ar"/>
              </w:rPr>
              <w:t>有统一</w:t>
            </w:r>
            <w:r>
              <w:rPr>
                <w:rStyle w:val="32"/>
                <w:rFonts w:hint="eastAsia" w:ascii="仿宋_GB2312" w:hAnsi="仿宋_GB2312" w:eastAsia="仿宋_GB2312" w:cs="仿宋_GB2312"/>
                <w:color w:val="000000"/>
                <w:sz w:val="24"/>
                <w:szCs w:val="24"/>
                <w:lang w:val="en-US" w:eastAsia="zh-CN" w:bidi="ar"/>
              </w:rPr>
              <w:t>内容和模板</w:t>
            </w:r>
            <w:r>
              <w:rPr>
                <w:rStyle w:val="29"/>
                <w:rFonts w:hint="eastAsia" w:ascii="仿宋_GB2312" w:hAnsi="仿宋_GB2312" w:eastAsia="仿宋_GB2312" w:cs="仿宋_GB2312"/>
                <w:color w:val="000000"/>
                <w:sz w:val="24"/>
                <w:szCs w:val="24"/>
                <w:lang w:val="en-US" w:eastAsia="zh-CN" w:bidi="ar"/>
              </w:rPr>
              <w:t>（0.2分）；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2.手术安全核查表</w:t>
            </w:r>
            <w:r>
              <w:rPr>
                <w:rStyle w:val="29"/>
                <w:rFonts w:hint="eastAsia" w:ascii="仿宋_GB2312" w:hAnsi="仿宋_GB2312" w:eastAsia="仿宋_GB2312" w:cs="仿宋_GB2312"/>
                <w:color w:val="000000"/>
                <w:sz w:val="24"/>
                <w:szCs w:val="24"/>
                <w:lang w:val="en-US" w:eastAsia="zh-CN" w:bidi="ar"/>
              </w:rPr>
              <w:t>纳入病历（0.5分）。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1"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二）建立手术分级管理制度。建立手术分级管理工作制度和手术分级管理目录。建立手术分级授权管理机制和手术医师技术档案。医院应当对手术医师能力进行定期评估，根据评估结果对手术权限进行动态调整（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2.2.42.1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建立手术分级管理工作制度和手术分级管理目录。</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数据核查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1.制定医院手术分级管理工作制度（0.2分）；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2.根据手术风险和难易程度，建立医院手术分级管理目录（0.2分）。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2.2.42.2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制定本机构手术医师资质与授权管理制度及规范文件，按照手术名称授权。</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1.根据医师技术能力和资质，制定手术授权管理制度（0.2分）；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2.按照手术名称进行各专科手术医师授权（0.2分）。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3"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2.2.42.3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手术分级授权管理制度必须落实到本机构每一位医师，确保每一位医师的实际能力与其手术资质与授权情况相一致。</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1.对照医师花名册中每一名医师都有手术医师手术授权，与其实际能力相符（0.2分）；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2.医师知晓本人获授权的手术级别及手术名称（0.2分）；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3.抽查的病历体现手术名称与手术医师授权相符（0.2分）。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8"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2.2.42.4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建立手术医师技术档案，包括但不限于：医师开展手术的年限、手术数量、手术效果、手术质量与安全指标完成情况，科室对手术医师年度考核结果等。</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数据核查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1.建立手术医师技术档案，内容至少包括：医师开展手术的年限、手术数量、手术效果、手术质量与安全指标完成情况，科室对手术医师年度考核结果（0.2分）；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2.核查手术医师技术档案内容数据，与实际相符（0.1分）。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2.2.42.5</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定期对手术医师的手术能力进行再评估，动态调整医师手术权限。</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1.有定期对手术医师能力评估与再授权规定，评估内容、频度符合国家要求（0.1分）；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2.能根据评估结果动态调整医师手术授权（0.1分）；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3.医师手术授权院内公开，可实时查询（0.1分）。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三）建立新技术和新项目准入制度。建立本院医疗技术临床应用目录并定期更新。建立新技术和新项目审批流程，所有新技术和新项目必须通过本院医学伦理委员会和医疗技术临床应用管理委员会审核同意后开展临床应用（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2.2.43.1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建立本院医疗技术临床应用目录，涵盖所有常规开展的临床诊疗项目并定期更新。</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1.有医院医疗技术临床应用目录，涵盖本院常规开展的所有医疗活动，并定期更新（至少每年更新一次）（0.3分）；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2.有各</w:t>
            </w:r>
            <w:r>
              <w:rPr>
                <w:rStyle w:val="32"/>
                <w:rFonts w:hint="eastAsia" w:ascii="仿宋_GB2312" w:hAnsi="仿宋_GB2312" w:eastAsia="仿宋_GB2312" w:cs="仿宋_GB2312"/>
                <w:color w:val="000000"/>
                <w:sz w:val="24"/>
                <w:szCs w:val="24"/>
                <w:lang w:val="en-US" w:eastAsia="zh-CN" w:bidi="ar"/>
              </w:rPr>
              <w:t>科室</w:t>
            </w:r>
            <w:r>
              <w:rPr>
                <w:rStyle w:val="29"/>
                <w:rFonts w:hint="eastAsia" w:ascii="仿宋_GB2312" w:hAnsi="仿宋_GB2312" w:eastAsia="仿宋_GB2312" w:cs="仿宋_GB2312"/>
                <w:color w:val="000000"/>
                <w:sz w:val="24"/>
                <w:szCs w:val="24"/>
                <w:lang w:val="en-US" w:eastAsia="zh-CN" w:bidi="ar"/>
              </w:rPr>
              <w:t>医疗技术临床应用目录，涵盖本</w:t>
            </w:r>
            <w:r>
              <w:rPr>
                <w:rStyle w:val="32"/>
                <w:rFonts w:hint="eastAsia" w:ascii="仿宋_GB2312" w:hAnsi="仿宋_GB2312" w:eastAsia="仿宋_GB2312" w:cs="仿宋_GB2312"/>
                <w:color w:val="000000"/>
                <w:sz w:val="24"/>
                <w:szCs w:val="24"/>
                <w:lang w:val="en-US" w:eastAsia="zh-CN" w:bidi="ar"/>
              </w:rPr>
              <w:t>科室</w:t>
            </w:r>
            <w:r>
              <w:rPr>
                <w:rStyle w:val="29"/>
                <w:rFonts w:hint="eastAsia" w:ascii="仿宋_GB2312" w:hAnsi="仿宋_GB2312" w:eastAsia="仿宋_GB2312" w:cs="仿宋_GB2312"/>
                <w:color w:val="000000"/>
                <w:sz w:val="24"/>
                <w:szCs w:val="24"/>
                <w:lang w:val="en-US" w:eastAsia="zh-CN" w:bidi="ar"/>
              </w:rPr>
              <w:t>常规开展的所有医疗活动，与医院目录相符，并</w:t>
            </w:r>
            <w:r>
              <w:rPr>
                <w:rFonts w:hint="eastAsia" w:ascii="仿宋_GB2312" w:hAnsi="仿宋_GB2312" w:eastAsia="仿宋_GB2312" w:cs="仿宋_GB2312"/>
                <w:i w:val="0"/>
                <w:iCs w:val="0"/>
                <w:color w:val="000000"/>
                <w:kern w:val="0"/>
                <w:sz w:val="24"/>
                <w:szCs w:val="24"/>
                <w:u w:val="none"/>
                <w:lang w:val="en-US" w:eastAsia="zh-CN" w:bidi="ar"/>
              </w:rPr>
              <w:t>定期更新（</w:t>
            </w:r>
            <w:r>
              <w:rPr>
                <w:rStyle w:val="29"/>
                <w:rFonts w:hint="eastAsia" w:ascii="仿宋_GB2312" w:hAnsi="仿宋_GB2312" w:eastAsia="仿宋_GB2312" w:cs="仿宋_GB2312"/>
                <w:color w:val="000000"/>
                <w:sz w:val="24"/>
                <w:szCs w:val="24"/>
                <w:lang w:val="en-US" w:eastAsia="zh-CN" w:bidi="ar"/>
              </w:rPr>
              <w:t>至少每年更新一次）（0.2分）。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2.2.43.2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建立符合法律法规要求的新技术和新项目审批流程并落实。</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1.有明确的新技术和新项目</w:t>
            </w:r>
            <w:r>
              <w:rPr>
                <w:rStyle w:val="36"/>
                <w:rFonts w:hint="eastAsia" w:ascii="仿宋_GB2312" w:hAnsi="仿宋_GB2312" w:eastAsia="仿宋_GB2312" w:cs="仿宋_GB2312"/>
                <w:color w:val="000000"/>
                <w:sz w:val="24"/>
                <w:szCs w:val="24"/>
                <w:lang w:val="en-US" w:eastAsia="zh-CN" w:bidi="ar"/>
              </w:rPr>
              <w:t>审批流程</w:t>
            </w:r>
            <w:r>
              <w:rPr>
                <w:rFonts w:hint="eastAsia" w:ascii="仿宋_GB2312" w:hAnsi="仿宋_GB2312" w:eastAsia="仿宋_GB2312" w:cs="仿宋_GB2312"/>
                <w:i w:val="0"/>
                <w:iCs w:val="0"/>
                <w:color w:val="000000"/>
                <w:kern w:val="0"/>
                <w:sz w:val="24"/>
                <w:szCs w:val="24"/>
                <w:u w:val="none"/>
                <w:lang w:val="en-US" w:eastAsia="zh-CN" w:bidi="ar"/>
              </w:rPr>
              <w:t>，并符合相关法律法规要求</w:t>
            </w:r>
            <w:r>
              <w:rPr>
                <w:rStyle w:val="32"/>
                <w:rFonts w:hint="eastAsia" w:ascii="仿宋_GB2312" w:hAnsi="仿宋_GB2312" w:eastAsia="仿宋_GB2312" w:cs="仿宋_GB2312"/>
                <w:color w:val="000000"/>
                <w:sz w:val="24"/>
                <w:szCs w:val="24"/>
                <w:lang w:val="en-US" w:eastAsia="zh-CN" w:bidi="ar"/>
              </w:rPr>
              <w:t>（0.2分）；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2.查阅新技术新项目审批材料是否符合规定的流程（0.3分）；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2.2.43.3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所有新技术和新项目必须通过本院医学伦理委员会和</w:t>
            </w:r>
            <w:r>
              <w:rPr>
                <w:rStyle w:val="28"/>
                <w:rFonts w:hint="eastAsia" w:ascii="仿宋_GB2312" w:hAnsi="仿宋_GB2312" w:eastAsia="仿宋_GB2312" w:cs="仿宋_GB2312"/>
                <w:color w:val="000000"/>
                <w:sz w:val="24"/>
                <w:szCs w:val="24"/>
                <w:lang w:val="en-US" w:eastAsia="zh-CN" w:bidi="ar"/>
              </w:rPr>
              <w:t>医疗技术临床应用管理委员会</w:t>
            </w:r>
            <w:r>
              <w:rPr>
                <w:rStyle w:val="29"/>
                <w:rFonts w:hint="eastAsia" w:ascii="仿宋_GB2312" w:hAnsi="仿宋_GB2312" w:eastAsia="仿宋_GB2312" w:cs="仿宋_GB2312"/>
                <w:color w:val="000000"/>
                <w:sz w:val="24"/>
                <w:szCs w:val="24"/>
                <w:lang w:val="en-US" w:eastAsia="zh-CN" w:bidi="ar"/>
              </w:rPr>
              <w:t>审核同意后开展临床应用。</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1.有制度约束，所有新技术和新项目必须</w:t>
            </w:r>
            <w:r>
              <w:rPr>
                <w:rStyle w:val="30"/>
                <w:rFonts w:hint="eastAsia" w:ascii="仿宋_GB2312" w:hAnsi="仿宋_GB2312" w:eastAsia="仿宋_GB2312" w:cs="仿宋_GB2312"/>
                <w:color w:val="000000"/>
                <w:sz w:val="24"/>
                <w:szCs w:val="24"/>
                <w:lang w:val="en-US" w:eastAsia="zh-CN" w:bidi="ar"/>
              </w:rPr>
              <w:t>通过本款规定的两个委员会</w:t>
            </w:r>
            <w:r>
              <w:rPr>
                <w:rStyle w:val="34"/>
                <w:rFonts w:hint="eastAsia" w:ascii="仿宋_GB2312" w:hAnsi="仿宋_GB2312" w:eastAsia="仿宋_GB2312" w:cs="仿宋_GB2312"/>
                <w:color w:val="000000"/>
                <w:sz w:val="24"/>
                <w:szCs w:val="24"/>
                <w:lang w:val="en-US" w:eastAsia="zh-CN" w:bidi="ar"/>
              </w:rPr>
              <w:t>审</w:t>
            </w:r>
            <w:r>
              <w:rPr>
                <w:rStyle w:val="29"/>
                <w:rFonts w:hint="eastAsia" w:ascii="仿宋_GB2312" w:hAnsi="仿宋_GB2312" w:eastAsia="仿宋_GB2312" w:cs="仿宋_GB2312"/>
                <w:color w:val="000000"/>
                <w:sz w:val="24"/>
                <w:szCs w:val="24"/>
                <w:lang w:val="en-US" w:eastAsia="zh-CN" w:bidi="ar"/>
              </w:rPr>
              <w:t>核同意后，方可开展临床应用（0.2分）；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2.</w:t>
            </w:r>
            <w:r>
              <w:rPr>
                <w:rStyle w:val="32"/>
                <w:rFonts w:hint="eastAsia" w:ascii="仿宋_GB2312" w:hAnsi="仿宋_GB2312" w:eastAsia="仿宋_GB2312" w:cs="仿宋_GB2312"/>
                <w:color w:val="000000"/>
                <w:sz w:val="24"/>
                <w:szCs w:val="24"/>
                <w:lang w:val="en-US" w:eastAsia="zh-CN" w:bidi="ar"/>
              </w:rPr>
              <w:t>查阅新技术新项目审批材料是否</w:t>
            </w:r>
            <w:r>
              <w:rPr>
                <w:rStyle w:val="29"/>
                <w:rFonts w:hint="eastAsia" w:ascii="仿宋_GB2312" w:hAnsi="仿宋_GB2312" w:eastAsia="仿宋_GB2312" w:cs="仿宋_GB2312"/>
                <w:color w:val="000000"/>
                <w:sz w:val="24"/>
                <w:szCs w:val="24"/>
                <w:lang w:val="en-US" w:eastAsia="zh-CN" w:bidi="ar"/>
              </w:rPr>
              <w:t>经过上述委员会审核同意（0.3分）。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4"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四）明确开展新技术和新项目临床应用的专业人员范围、论证可能存在的安全隐患或技术风险并制定相应预案。建立新技术和新项目临床应用动态评估制度，对新技术和新项目实施全程追踪管理、质量控制和动态评估（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2.2.44.1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明确开展新技术和新项目临床应用的专业人员范围，所有新技术和新项目实施人均有授权。</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查阅文件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查看记录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1.医院有明确规定，开展新技术和新项目临床应用的专业人员具备相应的资质及能力，并有授权（0.1分）；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7"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2.抽查3-5份新技术新项目材料是否符合上述规定（0.1分）</w:t>
            </w:r>
            <w:r>
              <w:rPr>
                <w:rStyle w:val="32"/>
                <w:rFonts w:hint="eastAsia" w:ascii="仿宋_GB2312" w:hAnsi="仿宋_GB2312" w:eastAsia="仿宋_GB2312" w:cs="仿宋_GB2312"/>
                <w:color w:val="000000"/>
                <w:sz w:val="24"/>
                <w:szCs w:val="24"/>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3"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2.2.44.2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对可能存在的安全隐患或技术风险开展论证并制定相应预案。</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1.医院有制度规定，新技术新项目开展前必须对可能存在的安全隐患和技术风险进行论证，并制定相应的预案等（0.1分）；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32"/>
                <w:rFonts w:hint="eastAsia" w:ascii="仿宋_GB2312" w:hAnsi="仿宋_GB2312" w:eastAsia="仿宋_GB2312" w:cs="仿宋_GB2312"/>
                <w:color w:val="000000"/>
                <w:sz w:val="24"/>
                <w:szCs w:val="24"/>
                <w:lang w:val="en-US" w:eastAsia="zh-CN" w:bidi="ar"/>
              </w:rPr>
              <w:t>2.抽查3-5份新技术新项目材料是否符合上述规定（0.1分）。</w:t>
            </w:r>
            <w:r>
              <w:rPr>
                <w:rStyle w:val="29"/>
                <w:rFonts w:hint="eastAsia" w:ascii="仿宋_GB2312" w:hAnsi="仿宋_GB2312" w:eastAsia="仿宋_GB2312" w:cs="仿宋_GB2312"/>
                <w:color w:val="000000"/>
                <w:sz w:val="24"/>
                <w:szCs w:val="24"/>
                <w:lang w:val="en-US" w:eastAsia="zh-CN" w:bidi="ar"/>
              </w:rPr>
              <w:t xml:space="preserve"> </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8" w:hRule="atLeast"/>
        </w:trPr>
        <w:tc>
          <w:tcPr>
            <w:tcW w:w="119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2.2.44.3</w:t>
            </w:r>
          </w:p>
        </w:tc>
        <w:tc>
          <w:tcPr>
            <w:tcW w:w="49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建立新技术和新项目临床应用动态评估制度，对新技术和新项目实施全程追踪管理、质量控制和动态评估。</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1.医院建立新技术新项目临床应用动态评估制度（0.2分）；</w:t>
            </w:r>
          </w:p>
        </w:tc>
        <w:tc>
          <w:tcPr>
            <w:tcW w:w="76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8" w:hRule="atLeast"/>
        </w:trPr>
        <w:tc>
          <w:tcPr>
            <w:tcW w:w="119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2.科室对开展的新技术和新项目的全过程进行动态评估（0.2分）；</w:t>
            </w:r>
          </w:p>
        </w:tc>
        <w:tc>
          <w:tcPr>
            <w:tcW w:w="760"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8" w:hRule="atLeast"/>
        </w:trPr>
        <w:tc>
          <w:tcPr>
            <w:tcW w:w="119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3.职能部门对新技术新项目临床应用情况进行全过程追踪管理，对存在的问题提出改进措施（0.2分）。</w:t>
            </w:r>
          </w:p>
        </w:tc>
        <w:tc>
          <w:tcPr>
            <w:tcW w:w="760"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14693" w:type="dxa"/>
            <w:gridSpan w:val="5"/>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五）建立危急值报告制度。制定可能危及患者生命的各项检查、检验结果危急值清单并定期调整。分别建立住院和门诊患者危急值报告具体管理流程和记录规范，确保危急值信息传递各环节无缝对接和关键要素可追溯。临床危急值信息专册登记（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5" w:hRule="atLeast"/>
        </w:trPr>
        <w:tc>
          <w:tcPr>
            <w:tcW w:w="119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2.2.45.1</w:t>
            </w:r>
          </w:p>
        </w:tc>
        <w:tc>
          <w:tcPr>
            <w:tcW w:w="49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制定可能危及患者生命的各项检查、检验结果危急值清单，包括疾病危急值清单并定期调整。</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1.医院有明确的危急值清单，包括可能危及患者生命的各项检查、检验结果和疾病等（0.1分）；</w:t>
            </w:r>
          </w:p>
        </w:tc>
        <w:tc>
          <w:tcPr>
            <w:tcW w:w="76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119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2.危急值清单有定期调整（0.1分）；</w:t>
            </w:r>
          </w:p>
        </w:tc>
        <w:tc>
          <w:tcPr>
            <w:tcW w:w="760"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8" w:hRule="atLeast"/>
        </w:trPr>
        <w:tc>
          <w:tcPr>
            <w:tcW w:w="119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3.医务人员知晓本专业相关的危急值清单，知晓率达80%（0.1分），达100%（0.2分）。</w:t>
            </w:r>
          </w:p>
        </w:tc>
        <w:tc>
          <w:tcPr>
            <w:tcW w:w="760"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1" w:hRule="atLeast"/>
        </w:trPr>
        <w:tc>
          <w:tcPr>
            <w:tcW w:w="119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2.2.45.2</w:t>
            </w:r>
          </w:p>
        </w:tc>
        <w:tc>
          <w:tcPr>
            <w:tcW w:w="49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建立住院和门诊患者危急值报告具体管理流程和记录规范。</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建立适合住院和门诊患者的危急值报告流程；有外送的检验标本或检查项目存在危急值项目时，与协作机构有协议约束其履行危急值报告流程，确保临床科室或患方能够及时接收危急值，过程可追溯（0.1分）；</w:t>
            </w:r>
          </w:p>
        </w:tc>
        <w:tc>
          <w:tcPr>
            <w:tcW w:w="76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4" w:hRule="atLeast"/>
        </w:trPr>
        <w:tc>
          <w:tcPr>
            <w:tcW w:w="119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Style w:val="33"/>
                <w:rFonts w:hint="eastAsia" w:ascii="仿宋_GB2312" w:hAnsi="仿宋_GB2312" w:eastAsia="仿宋_GB2312" w:cs="仿宋_GB2312"/>
                <w:color w:val="000000"/>
                <w:sz w:val="24"/>
                <w:szCs w:val="24"/>
                <w:lang w:val="en-US" w:eastAsia="zh-CN" w:bidi="ar"/>
              </w:rPr>
              <w:t>2.有符合规范要求的统一危急值记录</w:t>
            </w:r>
            <w:r>
              <w:rPr>
                <w:rStyle w:val="30"/>
                <w:rFonts w:hint="eastAsia" w:ascii="仿宋_GB2312" w:hAnsi="仿宋_GB2312" w:eastAsia="仿宋_GB2312" w:cs="仿宋_GB2312"/>
                <w:color w:val="000000"/>
                <w:sz w:val="24"/>
                <w:szCs w:val="24"/>
                <w:lang w:val="en-US" w:eastAsia="zh-CN" w:bidi="ar"/>
              </w:rPr>
              <w:t>内容和</w:t>
            </w:r>
            <w:r>
              <w:rPr>
                <w:rStyle w:val="33"/>
                <w:rFonts w:hint="eastAsia" w:ascii="仿宋_GB2312" w:hAnsi="仿宋_GB2312" w:eastAsia="仿宋_GB2312" w:cs="仿宋_GB2312"/>
                <w:color w:val="000000"/>
                <w:sz w:val="24"/>
                <w:szCs w:val="24"/>
                <w:lang w:val="en-US" w:eastAsia="zh-CN" w:bidi="ar"/>
              </w:rPr>
              <w:t>模板（0.1分）；</w:t>
            </w:r>
          </w:p>
        </w:tc>
        <w:tc>
          <w:tcPr>
            <w:tcW w:w="760"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9" w:hRule="atLeast"/>
        </w:trPr>
        <w:tc>
          <w:tcPr>
            <w:tcW w:w="119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3.员工知晓管理流程和记录规范（0.2分）。</w:t>
            </w:r>
          </w:p>
        </w:tc>
        <w:tc>
          <w:tcPr>
            <w:tcW w:w="760"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6" w:hRule="atLeast"/>
        </w:trPr>
        <w:tc>
          <w:tcPr>
            <w:tcW w:w="11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2.2.45.3</w:t>
            </w:r>
          </w:p>
        </w:tc>
        <w:tc>
          <w:tcPr>
            <w:tcW w:w="49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确保危急值信息传递各环节无缝对接，每个环节都必须详细记录处理情况及处理时间，时间应精准到分钟。</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1.制定的危急值处理流程中，必须明确危急值信息传递各环节无缝对接，每个环节都必须详细记录处理情况及处理时间，时间应精准到分钟（0.1分）；</w:t>
            </w:r>
          </w:p>
        </w:tc>
        <w:tc>
          <w:tcPr>
            <w:tcW w:w="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8"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2.员工熟悉上述流程</w:t>
            </w:r>
            <w:r>
              <w:rPr>
                <w:rStyle w:val="30"/>
                <w:rFonts w:hint="eastAsia" w:ascii="仿宋_GB2312" w:hAnsi="仿宋_GB2312" w:eastAsia="仿宋_GB2312" w:cs="仿宋_GB2312"/>
                <w:color w:val="000000"/>
                <w:sz w:val="24"/>
                <w:szCs w:val="24"/>
                <w:lang w:val="en-US" w:eastAsia="zh-CN" w:bidi="ar"/>
              </w:rPr>
              <w:t>及记录要求</w:t>
            </w:r>
            <w:r>
              <w:rPr>
                <w:rStyle w:val="29"/>
                <w:rFonts w:hint="eastAsia" w:ascii="仿宋_GB2312" w:hAnsi="仿宋_GB2312" w:eastAsia="仿宋_GB2312" w:cs="仿宋_GB2312"/>
                <w:color w:val="000000"/>
                <w:sz w:val="24"/>
                <w:szCs w:val="24"/>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2.2.45.4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临床危急值信息专册（纸质或者电子）登记，患者信息、检验检查结果、报告与接收人、时间等关键要素可追溯。</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1.医院有规范的临床危急值专册登记模板，项目至少包括患者信息、检验检查结果、报告与接收人、时间等内容（0.1分）；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2.落实专册登记并可追溯（0.1分）；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3.有职能部门对危急值管理落实情况进行监管，发现问题及时改进（0.2分）。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8"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六）建立病历管理制度。严格落实国家有关法律法规以及病历书写、分类编码、管理与应用相关规定，建立门诊及住院病历规范书写、管理和质量控制制度。医院应当保障病历资料安全，病历内容记录与修改信息可追溯（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2.2.46.1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建立门诊及住院病历规范书写、管理和质量控制制度，建立病历质量检查、评估与反馈机制。</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1.有本院病历书写及管理制度，包括门诊及住院，病历的书写、管理、质控，符合国家相关法律法规和标准要求（0.2分）；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6"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2.定期</w:t>
            </w:r>
            <w:r>
              <w:rPr>
                <w:rStyle w:val="28"/>
                <w:rFonts w:hint="eastAsia" w:ascii="仿宋_GB2312" w:hAnsi="仿宋_GB2312" w:eastAsia="仿宋_GB2312" w:cs="仿宋_GB2312"/>
                <w:color w:val="000000"/>
                <w:sz w:val="24"/>
                <w:szCs w:val="24"/>
                <w:lang w:val="en-US" w:eastAsia="zh-CN" w:bidi="ar"/>
              </w:rPr>
              <w:t>（至少每年一次）</w:t>
            </w:r>
            <w:r>
              <w:rPr>
                <w:rStyle w:val="29"/>
                <w:rFonts w:hint="eastAsia" w:ascii="仿宋_GB2312" w:hAnsi="仿宋_GB2312" w:eastAsia="仿宋_GB2312" w:cs="仿宋_GB2312"/>
                <w:color w:val="000000"/>
                <w:sz w:val="24"/>
                <w:szCs w:val="24"/>
                <w:lang w:val="en-US" w:eastAsia="zh-CN" w:bidi="ar"/>
              </w:rPr>
              <w:t>对各类医务人员进行病历管理相关培训（0.2分）；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8"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3.科室有定期自查、总结分析、整改措施并落实（0.2分）；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9"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4.职能部门有督查、分析、反馈，并检查科室整改落实情况（0.2分）。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2.2.46.2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病历书写应当做到客观、真实、准确、及时、完整、规范，并明确病历书写的格式、内容和时限。</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1.医院对病历书写的格式、内容、时限等有明确的规定，符合《病历书写规范》标准要求（0.1分）；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2.查阅病历书写符合上述标准要求，内容记录与修改信息可追溯（0.1分）。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9"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2.2.46.3</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建立病案管理体系，落实分类编码的相关规定。</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1.医院建立有病案管理体系</w:t>
            </w:r>
            <w:r>
              <w:rPr>
                <w:rStyle w:val="29"/>
                <w:rFonts w:hint="eastAsia" w:ascii="仿宋_GB2312" w:hAnsi="仿宋_GB2312" w:eastAsia="仿宋_GB2312" w:cs="仿宋_GB2312"/>
                <w:color w:val="000000"/>
                <w:sz w:val="24"/>
                <w:szCs w:val="24"/>
                <w:lang w:val="en-US" w:eastAsia="zh-CN" w:bidi="ar"/>
              </w:rPr>
              <w:t>（0.1分）；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2.病案首页信息填写及分类编码符合国家相关</w:t>
            </w:r>
            <w:r>
              <w:rPr>
                <w:rStyle w:val="35"/>
                <w:rFonts w:hint="eastAsia" w:ascii="仿宋_GB2312" w:hAnsi="仿宋_GB2312" w:eastAsia="仿宋_GB2312" w:cs="仿宋_GB2312"/>
                <w:b w:val="0"/>
                <w:bCs w:val="0"/>
                <w:color w:val="000000"/>
                <w:sz w:val="24"/>
                <w:szCs w:val="24"/>
                <w:lang w:val="en-US" w:eastAsia="zh-CN" w:bidi="ar"/>
              </w:rPr>
              <w:t>规定（0.1分）；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3.访谈病案管理人员知晓相关规定（0.1分）</w:t>
            </w:r>
            <w:r>
              <w:rPr>
                <w:rStyle w:val="28"/>
                <w:rFonts w:hint="eastAsia" w:ascii="仿宋_GB2312" w:hAnsi="仿宋_GB2312" w:eastAsia="仿宋_GB2312" w:cs="仿宋_GB2312"/>
                <w:color w:val="000000"/>
                <w:sz w:val="24"/>
                <w:szCs w:val="24"/>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2.2.46.4</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有保护病历与病案及信息安全的相关制度。确保病历内容记录与修改信息可追溯。</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1.医院有保护病历与病案信息资料安全的制度（0.1分）；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7"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2.医护人员知晓保护</w:t>
            </w:r>
            <w:r>
              <w:rPr>
                <w:rStyle w:val="30"/>
                <w:rFonts w:hint="eastAsia" w:ascii="仿宋_GB2312" w:hAnsi="仿宋_GB2312" w:eastAsia="仿宋_GB2312" w:cs="仿宋_GB2312"/>
                <w:color w:val="000000"/>
                <w:sz w:val="24"/>
                <w:szCs w:val="24"/>
                <w:lang w:val="en-US" w:eastAsia="zh-CN" w:bidi="ar"/>
              </w:rPr>
              <w:t>病历与病案及信息安全的相关内容</w:t>
            </w:r>
            <w:r>
              <w:rPr>
                <w:rStyle w:val="29"/>
                <w:rFonts w:hint="eastAsia" w:ascii="仿宋_GB2312" w:hAnsi="仿宋_GB2312" w:eastAsia="仿宋_GB2312" w:cs="仿宋_GB2312"/>
                <w:color w:val="000000"/>
                <w:sz w:val="24"/>
                <w:szCs w:val="24"/>
                <w:lang w:val="en-US" w:eastAsia="zh-CN" w:bidi="ar"/>
              </w:rPr>
              <w:t>（0.1分）</w:t>
            </w:r>
            <w:r>
              <w:rPr>
                <w:rStyle w:val="28"/>
                <w:rFonts w:hint="eastAsia" w:ascii="仿宋_GB2312" w:hAnsi="仿宋_GB2312" w:eastAsia="仿宋_GB2312" w:cs="仿宋_GB2312"/>
                <w:color w:val="000000"/>
                <w:sz w:val="24"/>
                <w:szCs w:val="24"/>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8"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（四十七）实施电子病历的医院，应当建立电子病历的建立、记录、修改、使用、存储、传输、质控、安全等级保护等管理制度（2分）。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2.2.47.1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实施电子病历的医院，建立电子病历的建立、记录、修改、使用等管理制度。</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1.医院对电子病历的建立、记录、修改、使用、有明确的制度要求（0.2分）；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2.员工知晓相关规定（0.2分）；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3.</w:t>
            </w:r>
            <w:r>
              <w:rPr>
                <w:rStyle w:val="30"/>
                <w:rFonts w:hint="eastAsia" w:ascii="仿宋_GB2312" w:hAnsi="仿宋_GB2312" w:eastAsia="仿宋_GB2312" w:cs="仿宋_GB2312"/>
                <w:color w:val="000000"/>
                <w:sz w:val="24"/>
                <w:szCs w:val="24"/>
                <w:lang w:val="en-US" w:eastAsia="zh-CN" w:bidi="ar"/>
              </w:rPr>
              <w:t>查阅电子病历符合上述制度要求</w:t>
            </w:r>
            <w:r>
              <w:rPr>
                <w:rStyle w:val="29"/>
                <w:rFonts w:hint="eastAsia" w:ascii="仿宋_GB2312" w:hAnsi="仿宋_GB2312" w:eastAsia="仿宋_GB2312" w:cs="仿宋_GB2312"/>
                <w:color w:val="000000"/>
                <w:sz w:val="24"/>
                <w:szCs w:val="24"/>
                <w:lang w:val="en-US" w:eastAsia="zh-CN" w:bidi="ar"/>
              </w:rPr>
              <w:t>（0.3分）。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2.2.47.2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实施电子病历的医院，建立电子病历的存储、传输等管理制度。</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1.医院制定电子病历的存储和传输流程等管理制度（0.2分）；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2.员工知晓相关规定（0.2分）；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auto"/>
            <w:noWrap/>
            <w:vAlign w:val="bottom"/>
          </w:tcPr>
          <w:p>
            <w:pPr>
              <w:keepNext w:val="0"/>
              <w:keepLines w:val="0"/>
              <w:widowControl/>
              <w:suppressLineNumbers w:val="0"/>
              <w:jc w:val="both"/>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3.查阅电子病历的存储和传输流程符合上述制度要求（0.2分）。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2.2.47.3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实施电子病历的医院，建立电子病历的质控、安全等级保护等管理制度。</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1.医院有电子病历的质控和安全等级保护管理制度（0.2分）；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2.落实电子病历质控管理，</w:t>
            </w:r>
            <w:r>
              <w:rPr>
                <w:rStyle w:val="30"/>
                <w:rFonts w:hint="eastAsia" w:ascii="仿宋_GB2312" w:hAnsi="仿宋_GB2312" w:eastAsia="仿宋_GB2312" w:cs="仿宋_GB2312"/>
                <w:color w:val="000000"/>
                <w:sz w:val="24"/>
                <w:szCs w:val="24"/>
                <w:lang w:val="en-US" w:eastAsia="zh-CN" w:bidi="ar"/>
              </w:rPr>
              <w:t>有检查、分析、反馈、整改记录（0.2分）；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3.安全等保达到2级（0.1分），达到3级（0.2分），达到4级及以上（0.3分）。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6"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八）建立抗菌药物分级管理制度。严格按照《抗菌药物临床应用管理办法》等有关规定，建立本院抗菌药物遴选、采购、处方、调剂、临床应用和药物评价的管理制度和具体操作流程，确定抗菌药物分级管理目录、医师抗菌药物处方权限和医师会诊权限，并定期调整（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0"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2.2.48.1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建立本院抗菌药物遴选、采购、处方、调剂和药物评价的管理制度和具体操作流程。</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1.有医院抗菌药物遴选、采购、处方、调剂和药物评价的管理制度和具体操作流程，符合国家《抗菌药物临床应用管理办法》等有关规定（0.1分）；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2.员工知晓上述制度（0.1分）；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3.查阅相关资料，有检查、分析、评价、反馈、整改记录（0.2分）。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2.2.48.2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建立本院抗菌药物临床应用的管理制度和具体操作流程。</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1.建立医院抗菌药物临床应用的管理制度，符合国家抗菌药物临床合理应用原则（0.1分）；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2.访谈员工知晓医院抗菌药物临床应用的管理制度和具体操作流程（0.1分）；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3.科室有定期自查、总结分析、整改措施并落实（0.1分）；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4.职能部门定期督检、分析、反馈，并检查科室整改落实情况（0.1分）。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2.2.48.3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确定抗菌药物分级管理目录，抗菌药物分为非限制使用级、限制使用级与特殊使用级三级。</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1.建立医院抗菌药物分级管理制度（0.1分）；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2.有明确的抗菌药物的分级目录，分为非限制使用级、限制使用级与特殊使用级三级，符合国家相关分级规范（0.1分）；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3.访谈员工知晓上述分级管理制度及分级目录规定（0.1分）。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2.2.48.4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 xml:space="preserve">确定医师抗菌药物处方权限和医师会诊权限，有医师权限目录，并定期调整。  </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1.明确有医师抗菌药物处方权限和医师会诊权限，有医师权限目录，并至少每年一次调整（0.1分）；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2.医师熟知本人抗菌药物处方权限及会诊权限（0.1分）；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3.所有特殊使用级抗菌药物的应用都有相应会诊记录，且符合规范要求（0.2分）。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4"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（四十九）建立信息安全管理制度。明确医院主要负责人是患者诊疗信息安全管理第一责任人，依法依规建立覆盖患者诊疗信息管理全流程的制度和技术保障体系（1分）。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2.2.49.1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明确医院主要负责人是患者诊疗信息安全管理第一责任人。</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员工访谈：院长，信息科长</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1.医院信息管理制度中，明确医院主要负责人是患者诊疗信息安全管理第一责任人（0.1分）；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2.医院主要负责人履行信息安全管理第一责任人职责（0.1分）。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2.2.49.2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建立全面的信息安全管理制度，从组织结构、责任分工、安全管理范围、信息访问权限、应急处置方法等建立制度体系。</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1.医院有全面的信息安全管理制度，有信息安全管理组织架构、明确责任分工、确定安全管理范围、信息访问权限，有信息系统应急处置方法等（0.1分）；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2.访谈员工知晓本人相关的信息安全职责与权限（0.1分）。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1"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2.2.49.3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建立完整的信息安全技术体系，从信息产生、传输、存储、交换、调阅等各个环节，对用户身份识别、用户鉴权、网络入侵监测等方面进行安全管理。</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1.信息安全技术体系完整，能够从信息产生、传输、存储、交换、调阅等各个环节，对用户身份识别、用户鉴权、网络入侵监测等方面进行安全管理（0.1分）；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2.有定期</w:t>
            </w:r>
            <w:r>
              <w:rPr>
                <w:rStyle w:val="28"/>
                <w:rFonts w:hint="eastAsia" w:ascii="仿宋_GB2312" w:hAnsi="仿宋_GB2312" w:eastAsia="仿宋_GB2312" w:cs="仿宋_GB2312"/>
                <w:color w:val="000000"/>
                <w:sz w:val="24"/>
                <w:szCs w:val="24"/>
                <w:lang w:val="en-US" w:eastAsia="zh-CN" w:bidi="ar"/>
              </w:rPr>
              <w:t>（至少每年一次）</w:t>
            </w:r>
            <w:r>
              <w:rPr>
                <w:rStyle w:val="29"/>
                <w:rFonts w:hint="eastAsia" w:ascii="仿宋_GB2312" w:hAnsi="仿宋_GB2312" w:eastAsia="仿宋_GB2312" w:cs="仿宋_GB2312"/>
                <w:color w:val="000000"/>
                <w:sz w:val="24"/>
                <w:szCs w:val="24"/>
                <w:lang w:val="en-US" w:eastAsia="zh-CN" w:bidi="ar"/>
              </w:rPr>
              <w:t>对上述体系运行状况的评估与改进（0.1分）。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2.2.49.4</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建立应急响应机制，定期评估信息安全风险，定期开展信息安全应急演练。</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9"/>
                <w:rFonts w:hint="eastAsia" w:ascii="仿宋_GB2312" w:hAnsi="仿宋_GB2312" w:eastAsia="仿宋_GB2312" w:cs="仿宋_GB2312"/>
                <w:color w:val="000000"/>
                <w:sz w:val="24"/>
                <w:szCs w:val="24"/>
                <w:lang w:val="en-US" w:eastAsia="zh-CN" w:bidi="ar"/>
              </w:rPr>
              <w:t>1.</w:t>
            </w:r>
            <w:r>
              <w:rPr>
                <w:rStyle w:val="30"/>
                <w:rFonts w:hint="eastAsia" w:ascii="仿宋_GB2312" w:hAnsi="仿宋_GB2312" w:eastAsia="仿宋_GB2312" w:cs="仿宋_GB2312"/>
                <w:color w:val="000000"/>
                <w:sz w:val="24"/>
                <w:szCs w:val="24"/>
                <w:lang w:val="en-US" w:eastAsia="zh-CN" w:bidi="ar"/>
              </w:rPr>
              <w:t>建立有应急响应机制的应急预案</w:t>
            </w:r>
            <w:r>
              <w:rPr>
                <w:rStyle w:val="29"/>
                <w:rFonts w:hint="eastAsia" w:ascii="仿宋_GB2312" w:hAnsi="仿宋_GB2312" w:eastAsia="仿宋_GB2312" w:cs="仿宋_GB2312"/>
                <w:color w:val="000000"/>
                <w:sz w:val="24"/>
                <w:szCs w:val="24"/>
                <w:lang w:val="en-US" w:eastAsia="zh-CN" w:bidi="ar"/>
              </w:rPr>
              <w:t>（0.1分）；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2.至少每年一次评估信息安全风险（0.1分）；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3.至少每年一次开展应急演练（0.1分）；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4.能根据风险评估结果和应急演练情况，</w:t>
            </w:r>
            <w:r>
              <w:rPr>
                <w:rStyle w:val="30"/>
                <w:rFonts w:hint="eastAsia" w:ascii="仿宋_GB2312" w:hAnsi="仿宋_GB2312" w:eastAsia="仿宋_GB2312" w:cs="仿宋_GB2312"/>
                <w:color w:val="000000"/>
                <w:sz w:val="24"/>
                <w:szCs w:val="24"/>
                <w:lang w:val="en-US" w:eastAsia="zh-CN" w:bidi="ar"/>
              </w:rPr>
              <w:t>及时</w:t>
            </w:r>
            <w:r>
              <w:rPr>
                <w:rStyle w:val="29"/>
                <w:rFonts w:hint="eastAsia" w:ascii="仿宋_GB2312" w:hAnsi="仿宋_GB2312" w:eastAsia="仿宋_GB2312" w:cs="仿宋_GB2312"/>
                <w:color w:val="000000"/>
                <w:sz w:val="24"/>
                <w:szCs w:val="24"/>
                <w:lang w:val="en-US" w:eastAsia="zh-CN" w:bidi="ar"/>
              </w:rPr>
              <w:t>更新预案（0.1分）。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9"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十）确保实现本院患者诊疗信息管理全流程的安全性、真实性、连续性、完整性、稳定性、时效性、溯源性。对员工使用患者诊疗信息实行授权管理，明晰权责，为员工使用患者诊疗信息提供便利和安全保障（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2.2.50.1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确保实现本院患者诊疗信息管理全流程的安全性、真实性、连续性、完整性、稳定性、时效性、溯源性。</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1.制定有患者诊疗信息保护制度，确保实现本院患者诊疗信息管理过程全流程的安全性等（0.2分）；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1192"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988" w:type="dxa"/>
            <w:vMerge w:val="continue"/>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2.有职能部门督查、分析、反馈，并检查科室整改落实情况（0.3分）。</w:t>
            </w:r>
          </w:p>
        </w:tc>
        <w:tc>
          <w:tcPr>
            <w:tcW w:w="760"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2.2.50.2</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对员工使用患者诊疗信息实行授权管理，明晰权责。</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1.建立员工授权管理制度，明晰权责（0.2分）；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2.员工知晓本人权限并严格执行（0.2分）；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3.有职能部门检查、分析、反馈、整改（0.2分）；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4.对授权执行情况，有管理部门定期巡查，监督，发现问题有反馈与处理（0.3分）；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5.发现有出售或违规擅自向他人或其他机构提供患者诊疗信息的，本款不得分。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2.2.50.3</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为员工使用患者诊疗信息提供便利和安全保障。</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1.依法利用信息系统为员工使用患者诊疗信息提供便利（0.2分）；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2.有防止不当使用的措施（0.2分）；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6136"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3.职能部门定期督查、分析、反馈，并检查科室整改落实情况（0.2分）。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r>
    </w:tbl>
    <w:p>
      <w:pPr>
        <w:pStyle w:val="5"/>
        <w:bidi w:val="0"/>
        <w:rPr>
          <w:rFonts w:hint="eastAsia"/>
          <w:color w:val="000000"/>
          <w:lang w:val="en-US" w:eastAsia="zh-CN"/>
        </w:rPr>
      </w:pPr>
    </w:p>
    <w:p>
      <w:pPr>
        <w:pStyle w:val="5"/>
        <w:bidi w:val="0"/>
        <w:rPr>
          <w:rFonts w:hint="eastAsia"/>
          <w:color w:val="000000"/>
          <w:lang w:val="en-US" w:eastAsia="zh-CN"/>
        </w:rPr>
      </w:pPr>
      <w:bookmarkStart w:id="163" w:name="_Toc24820"/>
    </w:p>
    <w:p>
      <w:pPr>
        <w:pStyle w:val="5"/>
        <w:bidi w:val="0"/>
        <w:rPr>
          <w:rFonts w:hint="eastAsia"/>
          <w:color w:val="000000"/>
          <w:lang w:val="en-US" w:eastAsia="zh-CN"/>
        </w:rPr>
      </w:pPr>
    </w:p>
    <w:p>
      <w:pPr>
        <w:pStyle w:val="5"/>
        <w:bidi w:val="0"/>
        <w:rPr>
          <w:rFonts w:hint="eastAsia"/>
          <w:color w:val="000000"/>
          <w:lang w:val="en-US" w:eastAsia="zh-CN"/>
        </w:rPr>
      </w:pPr>
    </w:p>
    <w:p>
      <w:pPr>
        <w:pStyle w:val="5"/>
        <w:bidi w:val="0"/>
        <w:rPr>
          <w:rFonts w:hint="default"/>
          <w:color w:val="000000"/>
          <w:lang w:val="en-US" w:eastAsia="zh-CN"/>
        </w:rPr>
      </w:pPr>
      <w:bookmarkStart w:id="164" w:name="_Toc2900"/>
      <w:r>
        <w:rPr>
          <w:rFonts w:hint="eastAsia"/>
          <w:color w:val="000000"/>
          <w:lang w:val="en-US" w:eastAsia="zh-CN"/>
        </w:rPr>
        <w:t>三、</w:t>
      </w:r>
      <w:r>
        <w:rPr>
          <w:rFonts w:hint="eastAsia"/>
          <w:color w:val="000000"/>
        </w:rPr>
        <w:t>医疗技术临床应用管理</w:t>
      </w:r>
      <w:r>
        <w:rPr>
          <w:rFonts w:hint="eastAsia"/>
          <w:color w:val="000000"/>
          <w:lang w:eastAsia="zh-CN"/>
        </w:rPr>
        <w:t>（</w:t>
      </w:r>
      <w:r>
        <w:rPr>
          <w:rFonts w:hint="eastAsia"/>
          <w:color w:val="000000"/>
          <w:lang w:val="en-US" w:eastAsia="zh-CN"/>
        </w:rPr>
        <w:t>22</w:t>
      </w:r>
      <w:r>
        <w:rPr>
          <w:rFonts w:hint="eastAsia"/>
          <w:color w:val="000000"/>
        </w:rPr>
        <w:t>分）</w:t>
      </w:r>
      <w:bookmarkEnd w:id="163"/>
      <w:bookmarkEnd w:id="164"/>
    </w:p>
    <w:tbl>
      <w:tblPr>
        <w:tblStyle w:val="14"/>
        <w:tblW w:w="14693"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92"/>
        <w:gridCol w:w="4988"/>
        <w:gridCol w:w="1617"/>
        <w:gridCol w:w="6136"/>
        <w:gridCol w:w="7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6" w:hRule="atLeast"/>
          <w:tblHeader/>
        </w:trPr>
        <w:tc>
          <w:tcPr>
            <w:tcW w:w="6180" w:type="dxa"/>
            <w:gridSpan w:val="2"/>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评审指标细则</w:t>
            </w:r>
          </w:p>
        </w:tc>
        <w:tc>
          <w:tcPr>
            <w:tcW w:w="1617"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评审方法</w:t>
            </w:r>
          </w:p>
        </w:tc>
        <w:tc>
          <w:tcPr>
            <w:tcW w:w="6136"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评分细则</w:t>
            </w:r>
          </w:p>
        </w:tc>
        <w:tc>
          <w:tcPr>
            <w:tcW w:w="760"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（五十一）医院开展医疗技术服务应当与其技术能力相适应。医疗技术临床应用应当遵循科学、安全、规范、有效、经济、符合伦理的原则（2分）。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2.3.51.1</w:t>
            </w:r>
          </w:p>
        </w:tc>
        <w:tc>
          <w:tcPr>
            <w:tcW w:w="4988" w:type="dxa"/>
            <w:vMerge w:val="restar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医院开展医疗技术服务应当与其技术能力相适应，包括但不限于对医务人员的技能要求，对相应的药品、设备设施功能要求，对开展该项医疗技术的环境要求。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1.医院有根据服务能力和诊疗科目许可制定本院的医疗技术目录（0.2分）；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2.现场复核人员资质符合医院开展的各类医疗技术要求（0.2分）；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3.现场复核</w:t>
            </w:r>
            <w:r>
              <w:rPr>
                <w:rStyle w:val="37"/>
                <w:rFonts w:hint="eastAsia" w:ascii="仿宋_GB2312" w:hAnsi="仿宋_GB2312" w:eastAsia="仿宋_GB2312" w:cs="仿宋_GB2312"/>
                <w:color w:val="000000"/>
                <w:sz w:val="24"/>
                <w:szCs w:val="24"/>
                <w:highlight w:val="none"/>
                <w:lang w:val="en-US" w:eastAsia="zh-CN" w:bidi="ar"/>
              </w:rPr>
              <w:t>药品、设备设施</w:t>
            </w:r>
            <w:r>
              <w:rPr>
                <w:rStyle w:val="29"/>
                <w:rFonts w:hint="eastAsia" w:ascii="仿宋_GB2312" w:hAnsi="仿宋_GB2312" w:eastAsia="仿宋_GB2312" w:cs="仿宋_GB2312"/>
                <w:color w:val="000000"/>
                <w:sz w:val="24"/>
                <w:szCs w:val="24"/>
                <w:highlight w:val="none"/>
                <w:lang w:val="en-US" w:eastAsia="zh-CN" w:bidi="ar"/>
              </w:rPr>
              <w:t>符合医院开展的各类医疗技术要求</w:t>
            </w:r>
            <w:r>
              <w:rPr>
                <w:rStyle w:val="37"/>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auto"/>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4.现场复核场地符合医院开展的各类医疗技术要求（0.2分）。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1"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2.3.51.2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医疗技术临床应用应当遵循科学、安全、规范、有效、经济原则，并在实际工作中予以体现。</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1.医院制定有医疗技术临床应用管理制度（0.3分）；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2.定期检查医疗技术临床应用管理各项制度落实情况（0.2分）；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3.有检查评价、分析、反馈、并督导整改措施的落实（0.2）。</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2.3.51.3</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医院开展医疗技术服务符合不伤害、有利、尊重和公平的伦理原则。</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病历检查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1.涉及伦理的医疗技术开展前均有伦理审核</w:t>
            </w:r>
            <w:r>
              <w:rPr>
                <w:rStyle w:val="30"/>
                <w:rFonts w:hint="eastAsia" w:ascii="仿宋_GB2312" w:hAnsi="仿宋_GB2312" w:eastAsia="仿宋_GB2312" w:cs="仿宋_GB2312"/>
                <w:color w:val="000000"/>
                <w:sz w:val="24"/>
                <w:szCs w:val="24"/>
                <w:highlight w:val="none"/>
                <w:lang w:val="en-US" w:eastAsia="zh-CN" w:bidi="ar"/>
              </w:rPr>
              <w:t>（0.3分）；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2.涉及伦理问题的病历有伦理讨论情况记载</w:t>
            </w:r>
            <w:r>
              <w:rPr>
                <w:rStyle w:val="30"/>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（五十二）医院在医疗质量管理委员会下设立医疗技术临床应用管理专门组织。人员组成和功能任务符合《医疗技术临床应用管理办法》要求（1.5分）。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2.3.52.1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在医疗质量管理委员会下常设医疗技术临床应用管理专门组织，由医务、质量管理、药学、护理、院感、设备等部门负责人和具有高级技术职务任职资格的临床、管理、伦理等相关专业人员组成。</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1.医疗质量管理委员会下设医疗技术临床应用管理委员会（0.2分）；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2.医疗技术临床应用管理委员会人员组成和职责符合要求（0.2分）；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3.委员会根据医院人事变动、政策变化等进行相应调整、更新（0.1分）。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2.3.52.2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医疗技术临床应用管理专门组织履行医疗技术临床应用管理职责，有工作计划、工作记录，可追溯。</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1.有明确的委员会工作制度（0.2分）；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2.有各年度工作计划并实施（0.2分）；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3.委员会至少每季度开展一轮质量督查，工作记录完整、真实（0.2分）；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4.有检查评价、分析、反馈，并督导整改措施的落实（0.2分）；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5.周期内整改有成效或形成新的制度、规范、流程、举措等（0.2分）。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（五十三）医院开展医疗技术临床应用应当符合要求的诊疗科目、人员、设备、设施和质量控制体系，并遵守临床应用管理规范（2分）。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2.3.53.1</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医院开展医疗技术临床应用与诊疗科目一致。</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医院开展的每项医疗技术均有对应的诊疗科目，特别是重点类技术（0.2分）。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2.3.53.2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开展相关医疗技术的人员具备相应资质、权限。</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1.查阅医疗技术人员档案，开展相关医疗技术人员符合资质要求（0.2分）；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2.评审周期内，开展相关医疗技术人员有动态院内授权记录（0.1分）。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2.3.53.3</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开展相关医疗技术的设备、设施功能完好、符合要求。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1.医院开展的每项医疗技术所需设备、设施符合要求（0.2分）；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2.医院开展的每项医疗技术所需设备、设施功能完好（0.1分）。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2.3.53.4</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建立医疗技术临床应用质量控制体系，有医疗技术实施路径或操作规范，有医疗技术临床应用质量管理的指标，定期分析和反馈，持续改进。</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1.医院开展的医疗技术均应有诊疗规范和操作流程，并根据国家相关规范及时更新（0.2分）；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2.医院制定有医疗技术临床应用质量管理的指标（0.2分）；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w:t>
            </w:r>
            <w:r>
              <w:rPr>
                <w:rStyle w:val="30"/>
                <w:rFonts w:hint="eastAsia" w:ascii="仿宋_GB2312" w:hAnsi="仿宋_GB2312" w:eastAsia="仿宋_GB2312" w:cs="仿宋_GB2312"/>
                <w:color w:val="000000"/>
                <w:sz w:val="24"/>
                <w:szCs w:val="24"/>
                <w:highlight w:val="none"/>
                <w:lang w:val="en-US" w:eastAsia="zh-CN" w:bidi="ar"/>
              </w:rPr>
              <w:t>科室有定期自查、总结分析、整改措施并落实</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w:t>
            </w:r>
            <w:r>
              <w:rPr>
                <w:rStyle w:val="30"/>
                <w:rFonts w:hint="eastAsia" w:ascii="仿宋_GB2312" w:hAnsi="仿宋_GB2312" w:eastAsia="仿宋_GB2312" w:cs="仿宋_GB2312"/>
                <w:color w:val="000000"/>
                <w:sz w:val="24"/>
                <w:szCs w:val="24"/>
                <w:highlight w:val="none"/>
                <w:lang w:val="en-US" w:eastAsia="zh-CN" w:bidi="ar"/>
              </w:rPr>
              <w:t>职能部门定期督查、分析、反馈，并检查科室整改落实情况</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5.有案例或数据体现持续改进（0.2分）。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2.3.53.5</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遵守相关技术临床应用管理规范。</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数据核查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1.员工知晓医疗技术临床应用管理规范（0.1分）；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2.无医疗技术临床应用管理的不良事件、医疗事故（0.1分）。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（五十四）医院开展重点类技术，应当按照《医疗技术临床应用管理办法》履行自我评估和备案程序（1分）。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2.3.54.1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医院开展重点类技术，应当按照《医疗技术临床应用管理办法》进行自我评估，内容包括但不限于对医院、开展人员、技术管理、设备设施和环境等方面的基本要求。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1.有重点类医疗技术管理规定（0.2分）；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2.每项重点类技术有自我评估资料且内容齐全（0.2分）；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3.员工知晓重点类医疗技术管理规定（0.2分）。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2.3.54.2</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自我评估结果报医疗技术临床应用管理专门组织审核。</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每项重点类医疗技术有医疗技术临床应用管理组织审核记录（0.2分）。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5"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2.3.54.3</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开展首例临床应用后15个工作日向医院主管部门完成备案程序。</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评审周期内，新开展的重点类技术开展首例后在规定时限内完成备案（0.2分）。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1"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（五十五）未经伦理委员会审查通过的医疗技术，特别是重点类医疗技术和存在重大伦理风险的医疗技术，不得应用于临床（0.5分）。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4" w:hRule="atLeast"/>
        </w:trPr>
        <w:tc>
          <w:tcPr>
            <w:tcW w:w="1192"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2.3.55.1</w:t>
            </w:r>
          </w:p>
        </w:tc>
        <w:tc>
          <w:tcPr>
            <w:tcW w:w="4988"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未经伦理委员会审查通过的医疗技术，不得应用于临床。</w:t>
            </w:r>
          </w:p>
        </w:tc>
        <w:tc>
          <w:tcPr>
            <w:tcW w:w="1617"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查阅伦理委员会医疗技术审批目录与医院实际开展的是否相符（0.5分）</w:t>
            </w:r>
            <w:r>
              <w:rPr>
                <w:rStyle w:val="28"/>
                <w:rFonts w:hint="eastAsia" w:ascii="仿宋_GB2312" w:hAnsi="仿宋_GB2312" w:eastAsia="仿宋_GB2312" w:cs="仿宋_GB2312"/>
                <w:color w:val="000000"/>
                <w:sz w:val="24"/>
                <w:szCs w:val="24"/>
                <w:highlight w:val="none"/>
                <w:lang w:val="en-US" w:eastAsia="zh-CN" w:bidi="ar"/>
              </w:rPr>
              <w:t>。</w:t>
            </w:r>
          </w:p>
        </w:tc>
        <w:tc>
          <w:tcPr>
            <w:tcW w:w="76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4"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（五十六）制定本机构医疗技术临床应用管理目录并及时调整，对目录内的手术进行分级管理（2分）。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2.3.56.1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制定本机构医疗技术临床应用管理目录并及时调整，目录应当包括本院开展临床应用的所有医疗技术。</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1.有医疗技术临床应用管理目录（0.3分）；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2.目录覆盖所有医疗技术（0.3分）；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3.评审周期内，管理目录体现动态更新（0.4分）。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2.3.56.2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对医疗技术临床应用管理目录内的手术进行分级管理，有手术分级目录，并根据手术开展情况定期调整。</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1.医院有手术分级管理制度（0.2分）；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2.医院制定有适合本院的手术分级管理目录（0.2分）；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3.手术分级管理目录定期</w:t>
            </w:r>
            <w:r>
              <w:rPr>
                <w:rStyle w:val="28"/>
                <w:rFonts w:hint="eastAsia" w:ascii="仿宋_GB2312" w:hAnsi="仿宋_GB2312" w:eastAsia="仿宋_GB2312" w:cs="仿宋_GB2312"/>
                <w:color w:val="000000"/>
                <w:sz w:val="24"/>
                <w:szCs w:val="24"/>
                <w:highlight w:val="none"/>
                <w:lang w:val="en-US" w:eastAsia="zh-CN" w:bidi="ar"/>
              </w:rPr>
              <w:t>（至少每年）</w:t>
            </w:r>
            <w:r>
              <w:rPr>
                <w:rStyle w:val="29"/>
                <w:rFonts w:hint="eastAsia" w:ascii="仿宋_GB2312" w:hAnsi="仿宋_GB2312" w:eastAsia="仿宋_GB2312" w:cs="仿宋_GB2312"/>
                <w:color w:val="000000"/>
                <w:sz w:val="24"/>
                <w:szCs w:val="24"/>
                <w:highlight w:val="none"/>
                <w:lang w:val="en-US" w:eastAsia="zh-CN" w:bidi="ar"/>
              </w:rPr>
              <w:t>调整（0.2分）；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4.病历病案检查手术开展情况与定期调整目录相符（0.4分）。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（五十七）建立医师手术授权与动态管理制度，根据医师的专业能力、临床实践、手术质量安全、培训情况授予或者取消相应的手术级别和具体手术项目权限（2分）。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2.3.57.1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建立医师手术授权制度，根据医师的专业能力、临床实践、手术质量安全和培训情况，授予或者取消相应的手术级别和具体手术项目权限。</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1.有手术医师资质与授权管理相关制度，其中</w:t>
            </w:r>
            <w:r>
              <w:rPr>
                <w:rStyle w:val="30"/>
                <w:rFonts w:hint="eastAsia" w:ascii="仿宋_GB2312" w:hAnsi="仿宋_GB2312" w:eastAsia="仿宋_GB2312" w:cs="仿宋_GB2312"/>
                <w:color w:val="000000"/>
                <w:sz w:val="24"/>
                <w:szCs w:val="24"/>
                <w:highlight w:val="none"/>
                <w:lang w:val="en-US" w:eastAsia="zh-CN" w:bidi="ar"/>
              </w:rPr>
              <w:t>体现紧急状态下的越级手术审核相关规定</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2.评审周期内，实行手术授权管理明确</w:t>
            </w:r>
            <w:r>
              <w:rPr>
                <w:rStyle w:val="30"/>
                <w:rFonts w:hint="eastAsia" w:ascii="仿宋_GB2312" w:hAnsi="仿宋_GB2312" w:eastAsia="仿宋_GB2312" w:cs="仿宋_GB2312"/>
                <w:color w:val="000000"/>
                <w:sz w:val="24"/>
                <w:szCs w:val="24"/>
                <w:highlight w:val="none"/>
                <w:lang w:val="en-US" w:eastAsia="zh-CN" w:bidi="ar"/>
              </w:rPr>
              <w:t>手术级别和具体手术项目名称</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3.医师知晓手术授权管理制度（0.2分）；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5"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4.查阅病历，无违规越级手术（0.2分）。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2.3.57.2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建立动态管理制，明确取消和增加医师手术授权的情形，并有相应调整记录。</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1.有动态管理手术授权制度，体现取消和增加授权情形（0.2分）；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2.抽查评审周期内医师的授权档案完整，内容包括但不限于医师的专业能力、临床工作开展情况、手术质量与安全指标、专业技能培训等（0.2分）；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3.评审周期内，每两年完成再授权一次（0.2分）。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2.3.57.3</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建立医师手术质量监测机制，供定期调整授权时参考、决策。</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1.在手术授权制度中建立有手术质量评价监测相关规定（0.2分）；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2.职能部门落实评价监测，有手术质量定期</w:t>
            </w:r>
            <w:r>
              <w:rPr>
                <w:rStyle w:val="28"/>
                <w:rFonts w:hint="eastAsia" w:ascii="仿宋_GB2312" w:hAnsi="仿宋_GB2312" w:eastAsia="仿宋_GB2312" w:cs="仿宋_GB2312"/>
                <w:color w:val="000000"/>
                <w:sz w:val="24"/>
                <w:szCs w:val="24"/>
                <w:highlight w:val="none"/>
                <w:lang w:val="en-US" w:eastAsia="zh-CN" w:bidi="ar"/>
              </w:rPr>
              <w:t>（至少每年）</w:t>
            </w:r>
            <w:r>
              <w:rPr>
                <w:rStyle w:val="29"/>
                <w:rFonts w:hint="eastAsia" w:ascii="仿宋_GB2312" w:hAnsi="仿宋_GB2312" w:eastAsia="仿宋_GB2312" w:cs="仿宋_GB2312"/>
                <w:color w:val="000000"/>
                <w:sz w:val="24"/>
                <w:szCs w:val="24"/>
                <w:highlight w:val="none"/>
                <w:lang w:val="en-US" w:eastAsia="zh-CN" w:bidi="ar"/>
              </w:rPr>
              <w:t>评价分析记录（0.2分）；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3.查阅授权相关资料，有体现运用评价结果</w:t>
            </w:r>
            <w:r>
              <w:rPr>
                <w:rStyle w:val="30"/>
                <w:rFonts w:hint="eastAsia" w:ascii="仿宋_GB2312" w:hAnsi="仿宋_GB2312" w:eastAsia="仿宋_GB2312" w:cs="仿宋_GB2312"/>
                <w:color w:val="000000"/>
                <w:sz w:val="24"/>
                <w:szCs w:val="24"/>
                <w:highlight w:val="none"/>
                <w:lang w:val="en-US" w:eastAsia="zh-CN" w:bidi="ar"/>
              </w:rPr>
              <w:t>进行</w:t>
            </w:r>
            <w:r>
              <w:rPr>
                <w:rStyle w:val="29"/>
                <w:rFonts w:hint="eastAsia" w:ascii="仿宋_GB2312" w:hAnsi="仿宋_GB2312" w:eastAsia="仿宋_GB2312" w:cs="仿宋_GB2312"/>
                <w:color w:val="000000"/>
                <w:sz w:val="24"/>
                <w:szCs w:val="24"/>
                <w:highlight w:val="none"/>
                <w:lang w:val="en-US" w:eastAsia="zh-CN" w:bidi="ar"/>
              </w:rPr>
              <w:t>动态授权管理（0.2分）。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1"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（五十八）医院依法准予医务人员实施与其专业能力相适应的医疗技术，并为医务人员建立医疗技术临床应用管理档案，纳入个人专业技术档案管理（1分）。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3"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2.3.58.1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建立医务人员医疗技术临床应用管理档案，内容包括但不限于：准予医务人员开展医疗技术目录、医疗质量情况、医疗技术差错事故、医疗技术培训考核情况等。</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1.建立每位医务人员医疗技术临床应用管理档案（0.2分）；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7"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2.档案内容符合要求（0.2分）；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9"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3.档案管理每年动态更新（0.1分）。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trPr>
        <w:tc>
          <w:tcPr>
            <w:tcW w:w="1192"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2.3.58.2</w:t>
            </w:r>
          </w:p>
        </w:tc>
        <w:tc>
          <w:tcPr>
            <w:tcW w:w="4988"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医疗技术临床应用管理档案纳入个人专业技术档案管理。</w:t>
            </w:r>
          </w:p>
        </w:tc>
        <w:tc>
          <w:tcPr>
            <w:tcW w:w="1617"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数据核查</w:t>
            </w: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个人专业技术档案包含医疗技术临床应用管理档案（0.5分）</w:t>
            </w:r>
            <w:r>
              <w:rPr>
                <w:rStyle w:val="28"/>
                <w:rFonts w:hint="eastAsia" w:ascii="仿宋_GB2312" w:hAnsi="仿宋_GB2312" w:eastAsia="仿宋_GB2312" w:cs="仿宋_GB2312"/>
                <w:color w:val="000000"/>
                <w:sz w:val="24"/>
                <w:szCs w:val="24"/>
                <w:highlight w:val="none"/>
                <w:lang w:val="en-US" w:eastAsia="zh-CN" w:bidi="ar"/>
              </w:rPr>
              <w:t>。</w:t>
            </w:r>
          </w:p>
        </w:tc>
        <w:tc>
          <w:tcPr>
            <w:tcW w:w="76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8"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（五十九）建立医疗技术临床应用论证制度，对已证明安全有效，但属本院首次应用的医疗技术，应当组织开展医疗技术能力和安全保障能力论证并进行伦理审查（1分）。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2.3.59.1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建立医疗技术临床应用论证制度。</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1.建立有医疗技术临床应用论证制度</w:t>
            </w:r>
            <w:r>
              <w:rPr>
                <w:rStyle w:val="30"/>
                <w:rFonts w:hint="eastAsia" w:ascii="仿宋_GB2312" w:hAnsi="仿宋_GB2312" w:eastAsia="仿宋_GB2312" w:cs="仿宋_GB2312"/>
                <w:color w:val="000000"/>
                <w:sz w:val="24"/>
                <w:szCs w:val="24"/>
                <w:highlight w:val="none"/>
                <w:lang w:val="en-US" w:eastAsia="zh-CN" w:bidi="ar"/>
              </w:rPr>
              <w:t>或在医疗技术临床应用管理制度中有体现</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9"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2.医疗技术临床应用论证内容齐全，包括但不限于准入、申报、审批、反馈、退出等流程，针对可能存在的风险制定处置预案等（0.2分）；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3.医务人员知晓论证制度（0.2分）。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8"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2.3.59.2</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对已证明安全有效，但属本院首次应用的医疗技术，应当组织开展技术能力和安全保障能力论证。</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提供医疗技术管理委员会对</w:t>
            </w:r>
            <w:r>
              <w:rPr>
                <w:rStyle w:val="30"/>
                <w:rFonts w:hint="eastAsia" w:ascii="仿宋_GB2312" w:hAnsi="仿宋_GB2312" w:eastAsia="仿宋_GB2312" w:cs="仿宋_GB2312"/>
                <w:color w:val="000000"/>
                <w:sz w:val="24"/>
                <w:szCs w:val="24"/>
                <w:highlight w:val="none"/>
                <w:lang w:val="en-US" w:eastAsia="zh-CN" w:bidi="ar"/>
              </w:rPr>
              <w:t>本院</w:t>
            </w:r>
            <w:r>
              <w:rPr>
                <w:rStyle w:val="29"/>
                <w:rFonts w:hint="eastAsia" w:ascii="仿宋_GB2312" w:hAnsi="仿宋_GB2312" w:eastAsia="仿宋_GB2312" w:cs="仿宋_GB2312"/>
                <w:color w:val="000000"/>
                <w:sz w:val="24"/>
                <w:szCs w:val="24"/>
                <w:highlight w:val="none"/>
                <w:lang w:val="en-US" w:eastAsia="zh-CN" w:bidi="ar"/>
              </w:rPr>
              <w:t>首次应用的医疗技术能力和安全保障能力进行论证的相关资料（0.2分）。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1192"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2.3.59.3</w:t>
            </w:r>
          </w:p>
        </w:tc>
        <w:tc>
          <w:tcPr>
            <w:tcW w:w="4988"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本院首次应用的医疗技术通过伦理审查。</w:t>
            </w:r>
          </w:p>
        </w:tc>
        <w:tc>
          <w:tcPr>
            <w:tcW w:w="1617"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提供医疗伦理委员会对</w:t>
            </w:r>
            <w:r>
              <w:rPr>
                <w:rStyle w:val="30"/>
                <w:rFonts w:hint="eastAsia" w:ascii="仿宋_GB2312" w:hAnsi="仿宋_GB2312" w:eastAsia="仿宋_GB2312" w:cs="仿宋_GB2312"/>
                <w:color w:val="000000"/>
                <w:sz w:val="24"/>
                <w:szCs w:val="24"/>
                <w:highlight w:val="none"/>
                <w:lang w:val="en-US" w:eastAsia="zh-CN" w:bidi="ar"/>
              </w:rPr>
              <w:t>本院</w:t>
            </w:r>
            <w:r>
              <w:rPr>
                <w:rStyle w:val="29"/>
                <w:rFonts w:hint="eastAsia" w:ascii="仿宋_GB2312" w:hAnsi="仿宋_GB2312" w:eastAsia="仿宋_GB2312" w:cs="仿宋_GB2312"/>
                <w:color w:val="000000"/>
                <w:sz w:val="24"/>
                <w:szCs w:val="24"/>
                <w:highlight w:val="none"/>
                <w:lang w:val="en-US" w:eastAsia="zh-CN" w:bidi="ar"/>
              </w:rPr>
              <w:t>首次应用的医疗技术伦理相关问题进行审查通过的相关资料</w:t>
            </w:r>
            <w:r>
              <w:rPr>
                <w:rStyle w:val="30"/>
                <w:rFonts w:hint="eastAsia" w:ascii="仿宋_GB2312" w:hAnsi="仿宋_GB2312" w:eastAsia="仿宋_GB2312" w:cs="仿宋_GB2312"/>
                <w:color w:val="000000"/>
                <w:sz w:val="24"/>
                <w:szCs w:val="24"/>
                <w:highlight w:val="none"/>
                <w:lang w:val="en-US" w:eastAsia="zh-CN" w:bidi="ar"/>
              </w:rPr>
              <w:t>（0.2分）。</w:t>
            </w:r>
          </w:p>
        </w:tc>
        <w:tc>
          <w:tcPr>
            <w:tcW w:w="760"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4"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建立医疗技术临床应用评估制度，对重点类技术的质量安全和技术保证能力进行重点评估，并根据评估结果及时调整本院医疗技术临床应用管理目录、医师相关技术临床应用权限和有关管理要求（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2.3.60.1</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建立医疗技术临床应用评估制度。</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有医疗技术临床应用评估制度或在医疗技术临床应用管理制度中有相关规定</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2.3.60.2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对重点类技术的质量安全和技术保证能力进行重点评估，评估内容包括但不限于接受该项医疗技术的患者评估(适应症和禁忌证、临床应用效果和患者生存质量、不良反应、死亡、医疗事故)、环境评估和设备设施评估等。</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1.重点类技术的质量安全和技术保证能力进行重点评估，内容包括患者、环境、设备设施等方面（0.2分）；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r>
              <w:rPr>
                <w:rStyle w:val="30"/>
                <w:rFonts w:hint="eastAsia" w:ascii="仿宋_GB2312" w:hAnsi="仿宋_GB2312" w:eastAsia="仿宋_GB2312" w:cs="仿宋_GB2312"/>
                <w:color w:val="000000"/>
                <w:sz w:val="24"/>
                <w:szCs w:val="24"/>
                <w:highlight w:val="none"/>
                <w:lang w:val="en-US" w:eastAsia="zh-CN" w:bidi="ar"/>
              </w:rPr>
              <w:t>查阅</w:t>
            </w:r>
            <w:r>
              <w:rPr>
                <w:rStyle w:val="29"/>
                <w:rFonts w:hint="eastAsia" w:ascii="仿宋_GB2312" w:hAnsi="仿宋_GB2312" w:eastAsia="仿宋_GB2312" w:cs="仿宋_GB2312"/>
                <w:color w:val="000000"/>
                <w:sz w:val="24"/>
                <w:szCs w:val="24"/>
                <w:highlight w:val="none"/>
                <w:lang w:val="en-US" w:eastAsia="zh-CN" w:bidi="ar"/>
              </w:rPr>
              <w:t>相关重点类技术评</w:t>
            </w:r>
            <w:r>
              <w:rPr>
                <w:rStyle w:val="30"/>
                <w:rFonts w:hint="eastAsia" w:ascii="仿宋_GB2312" w:hAnsi="仿宋_GB2312" w:eastAsia="仿宋_GB2312" w:cs="仿宋_GB2312"/>
                <w:color w:val="000000"/>
                <w:sz w:val="24"/>
                <w:szCs w:val="24"/>
                <w:highlight w:val="none"/>
                <w:lang w:val="en-US" w:eastAsia="zh-CN" w:bidi="ar"/>
              </w:rPr>
              <w:t>估记录符合规范要求</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2.3.60.3</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遵循科学、安全、规范、有效、经济、符合伦理的评估原则，评估指标量化。</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数据核查</w:t>
            </w: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1.有医疗技术临床应用评估量化指标（0.2分）；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1"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2.访谈员工知晓医疗技术临床应用评估内容及量化指标（0.2分）；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1"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3.职能部门履行监管职责，通过量化指标进行监管，有记录（0.1分）。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2.3.60.4</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根据评估结果及时调整本院医疗技术临床应用管理目录、医师相关技术临床应用权限、医疗技术临床应用管理要求。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r>
              <w:rPr>
                <w:rStyle w:val="30"/>
                <w:rFonts w:hint="eastAsia" w:ascii="仿宋_GB2312" w:hAnsi="仿宋_GB2312" w:eastAsia="仿宋_GB2312" w:cs="仿宋_GB2312"/>
                <w:color w:val="000000"/>
                <w:sz w:val="24"/>
                <w:szCs w:val="24"/>
                <w:highlight w:val="none"/>
                <w:lang w:val="en-US" w:eastAsia="zh-CN" w:bidi="ar"/>
              </w:rPr>
              <w:t>职能部门</w:t>
            </w:r>
            <w:r>
              <w:rPr>
                <w:rStyle w:val="29"/>
                <w:rFonts w:hint="eastAsia" w:ascii="仿宋_GB2312" w:hAnsi="仿宋_GB2312" w:eastAsia="仿宋_GB2312" w:cs="仿宋_GB2312"/>
                <w:color w:val="000000"/>
                <w:sz w:val="24"/>
                <w:szCs w:val="24"/>
                <w:highlight w:val="none"/>
                <w:lang w:val="en-US" w:eastAsia="zh-CN" w:bidi="ar"/>
              </w:rPr>
              <w:t>将评估结果运用在医疗技术临床应用管理目录调整上（0.2分）；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r>
              <w:rPr>
                <w:rStyle w:val="30"/>
                <w:rFonts w:hint="eastAsia" w:ascii="仿宋_GB2312" w:hAnsi="仿宋_GB2312" w:eastAsia="仿宋_GB2312" w:cs="仿宋_GB2312"/>
                <w:color w:val="000000"/>
                <w:sz w:val="24"/>
                <w:szCs w:val="24"/>
                <w:highlight w:val="none"/>
                <w:lang w:val="en-US" w:eastAsia="zh-CN" w:bidi="ar"/>
              </w:rPr>
              <w:t>职能部门</w:t>
            </w:r>
            <w:r>
              <w:rPr>
                <w:rStyle w:val="29"/>
                <w:rFonts w:hint="eastAsia" w:ascii="仿宋_GB2312" w:hAnsi="仿宋_GB2312" w:eastAsia="仿宋_GB2312" w:cs="仿宋_GB2312"/>
                <w:color w:val="000000"/>
                <w:sz w:val="24"/>
                <w:szCs w:val="24"/>
                <w:highlight w:val="none"/>
                <w:lang w:val="en-US" w:eastAsia="zh-CN" w:bidi="ar"/>
              </w:rPr>
              <w:t>将评估结果运用在医师医疗技术授权上（0.2分）。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3"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（六十一）建立医疗技术临床应用质量控制制度，以重点类技术为重点，制定本院医疗技术质量控制指标，加强信息收集、分析与反馈，持续改进医疗技术临床应用质量（2）。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2.3.61.1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建立医疗技术临床应用质量控制制度，覆盖医疗技术临床应用的全过程。</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1.建立有医疗技术临床应用质量控制制度（0.2分）；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2.制度覆盖医疗技术临床应用全过程（0.2分）。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2.3.61.2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以重点类技术为重点，制定本院医疗技术质量控制指标，需符合国家和省级管理要求。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1.重点类技术有医疗质量控制指标（0.2分）；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2.质量控制指标符合国家</w:t>
            </w:r>
            <w:r>
              <w:rPr>
                <w:rStyle w:val="30"/>
                <w:rFonts w:hint="eastAsia" w:ascii="仿宋_GB2312" w:hAnsi="仿宋_GB2312" w:eastAsia="仿宋_GB2312" w:cs="仿宋_GB2312"/>
                <w:color w:val="000000"/>
                <w:sz w:val="24"/>
                <w:szCs w:val="24"/>
                <w:highlight w:val="none"/>
                <w:lang w:val="en-US" w:eastAsia="zh-CN" w:bidi="ar"/>
              </w:rPr>
              <w:t>和自治区要求</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8"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2.3.61.3</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Style w:val="28"/>
                <w:rFonts w:hint="eastAsia" w:ascii="仿宋_GB2312" w:hAnsi="仿宋_GB2312" w:eastAsia="仿宋_GB2312" w:cs="仿宋_GB2312"/>
                <w:color w:val="000000"/>
                <w:sz w:val="24"/>
                <w:szCs w:val="24"/>
                <w:highlight w:val="none"/>
                <w:lang w:val="en-US" w:eastAsia="zh-CN" w:bidi="ar"/>
              </w:rPr>
              <w:t>各科室根据开展的医疗技术</w:t>
            </w:r>
            <w:r>
              <w:rPr>
                <w:rStyle w:val="29"/>
                <w:rFonts w:hint="eastAsia" w:ascii="仿宋_GB2312" w:hAnsi="仿宋_GB2312" w:eastAsia="仿宋_GB2312" w:cs="仿宋_GB2312"/>
                <w:color w:val="000000"/>
                <w:sz w:val="24"/>
                <w:szCs w:val="24"/>
                <w:highlight w:val="none"/>
                <w:lang w:val="en-US" w:eastAsia="zh-CN" w:bidi="ar"/>
              </w:rPr>
              <w:t xml:space="preserve">，制定本科室医疗技术临床应用质控指标，关注日常开展的医疗技术。                     </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30"/>
                <w:rFonts w:hint="eastAsia" w:ascii="仿宋_GB2312" w:hAnsi="仿宋_GB2312" w:eastAsia="仿宋_GB2312" w:cs="仿宋_GB2312"/>
                <w:color w:val="000000"/>
                <w:sz w:val="24"/>
                <w:szCs w:val="24"/>
                <w:highlight w:val="none"/>
                <w:lang w:val="en-US" w:eastAsia="zh-CN" w:bidi="ar"/>
              </w:rPr>
              <w:t>1.各科室制定年度医疗技术临床应用质控指标</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2.科室每季度自查、总结分析、整改措施并落实（0.2分）；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2"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3.职能部门定期督查、分析、反馈，并检查科室整改落实情况（0.2分）；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2"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4.评审周期内，科室</w:t>
            </w:r>
            <w:r>
              <w:rPr>
                <w:rStyle w:val="28"/>
                <w:rFonts w:hint="eastAsia" w:ascii="仿宋_GB2312" w:hAnsi="仿宋_GB2312" w:eastAsia="仿宋_GB2312" w:cs="仿宋_GB2312"/>
                <w:color w:val="000000"/>
                <w:sz w:val="24"/>
                <w:szCs w:val="24"/>
                <w:highlight w:val="none"/>
                <w:lang w:val="en-US" w:eastAsia="zh-CN" w:bidi="ar"/>
              </w:rPr>
              <w:t>有</w:t>
            </w:r>
            <w:r>
              <w:rPr>
                <w:rStyle w:val="29"/>
                <w:rFonts w:hint="eastAsia" w:ascii="仿宋_GB2312" w:hAnsi="仿宋_GB2312" w:eastAsia="仿宋_GB2312" w:cs="仿宋_GB2312"/>
                <w:color w:val="000000"/>
                <w:sz w:val="24"/>
                <w:szCs w:val="24"/>
                <w:highlight w:val="none"/>
                <w:lang w:val="en-US" w:eastAsia="zh-CN" w:bidi="ar"/>
              </w:rPr>
              <w:t>数据</w:t>
            </w:r>
            <w:r>
              <w:rPr>
                <w:rStyle w:val="28"/>
                <w:rFonts w:hint="eastAsia" w:ascii="仿宋_GB2312" w:hAnsi="仿宋_GB2312" w:eastAsia="仿宋_GB2312" w:cs="仿宋_GB2312"/>
                <w:color w:val="000000"/>
                <w:sz w:val="24"/>
                <w:szCs w:val="24"/>
                <w:highlight w:val="none"/>
                <w:lang w:val="en-US" w:eastAsia="zh-CN" w:bidi="ar"/>
              </w:rPr>
              <w:t>或</w:t>
            </w:r>
            <w:r>
              <w:rPr>
                <w:rStyle w:val="29"/>
                <w:rFonts w:hint="eastAsia" w:ascii="仿宋_GB2312" w:hAnsi="仿宋_GB2312" w:eastAsia="仿宋_GB2312" w:cs="仿宋_GB2312"/>
                <w:color w:val="000000"/>
                <w:sz w:val="24"/>
                <w:szCs w:val="24"/>
                <w:highlight w:val="none"/>
                <w:lang w:val="en-US" w:eastAsia="zh-CN" w:bidi="ar"/>
              </w:rPr>
              <w:t>案例体现持续改进（0.1分）。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2.3.61.4</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加强信息收集、分析与反馈，持续改进医疗技术临床应用质量。</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数据核查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1.信息系统支持医疗技术质量控制指标数据收集与分析，且数据准确（0.2分）；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2.</w:t>
            </w:r>
            <w:r>
              <w:rPr>
                <w:rStyle w:val="30"/>
                <w:rFonts w:hint="eastAsia" w:ascii="仿宋_GB2312" w:hAnsi="仿宋_GB2312" w:eastAsia="仿宋_GB2312" w:cs="仿宋_GB2312"/>
                <w:color w:val="000000"/>
                <w:sz w:val="24"/>
                <w:szCs w:val="24"/>
                <w:highlight w:val="none"/>
                <w:lang w:val="en-US" w:eastAsia="zh-CN" w:bidi="ar"/>
              </w:rPr>
              <w:t>职能</w:t>
            </w:r>
            <w:r>
              <w:rPr>
                <w:rStyle w:val="29"/>
                <w:rFonts w:hint="eastAsia" w:ascii="仿宋_GB2312" w:hAnsi="仿宋_GB2312" w:eastAsia="仿宋_GB2312" w:cs="仿宋_GB2312"/>
                <w:color w:val="000000"/>
                <w:sz w:val="24"/>
                <w:szCs w:val="24"/>
                <w:highlight w:val="none"/>
                <w:lang w:val="en-US" w:eastAsia="zh-CN" w:bidi="ar"/>
              </w:rPr>
              <w:t>部门对指标数据有监管、分析记录（0.2分）；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3.有数据或案例体现持续改进（0.1分）。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2"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（六十二）建立医疗技术临床应用规范化培训制度。重视医疗技术临床应用管理人才队伍的建设和培养（1.5分）。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2.3.62.1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建立医疗技术临床应用规范化培训制度，有培训大纲、 培训计划和考核标准，培训内容包括但不限于对法律法规、规章规范以及专项技术的学习。</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1.有医疗技术临床应用规范化培训制度（0.3分）；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2.有培训大纲、培训计划、考核标准（0.2分）；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3.培训内容包括但不限于对法律法规、规章规范以及专项技术的学习（0.2分）；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4.落实医疗技术考核，有记录（0.2分）。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2.3.62.2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重视医疗技术临床应用管理人才队伍的建设和培养，进行管理学理论及方法的培训，强化自我管理意识，提高管理水平和技能。</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1.有医疗技术管理人才培训计划（0.2分）；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2.访谈员工知晓医院医疗技术管理人才培训计划（0.2分）；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3.提供管理人才培训实施材料（0.2分）。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（六十三）医院开展的重点类技术目录、手术分级管理目录和重点类技术临床应用情况应当纳入医院院务公开范围，接受社会监督（1分）。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2.3.63.1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重点类技术目录、手术分级管理目录纳入</w:t>
            </w:r>
            <w:r>
              <w:rPr>
                <w:rStyle w:val="28"/>
                <w:rFonts w:hint="eastAsia" w:ascii="仿宋_GB2312" w:hAnsi="仿宋_GB2312" w:eastAsia="仿宋_GB2312" w:cs="仿宋_GB2312"/>
                <w:color w:val="000000"/>
                <w:sz w:val="24"/>
                <w:szCs w:val="24"/>
                <w:highlight w:val="none"/>
                <w:lang w:val="en-US" w:eastAsia="zh-CN" w:bidi="ar"/>
              </w:rPr>
              <w:t>医院院务公开范围</w:t>
            </w:r>
            <w:r>
              <w:rPr>
                <w:rStyle w:val="29"/>
                <w:rFonts w:hint="eastAsia" w:ascii="仿宋_GB2312" w:hAnsi="仿宋_GB2312" w:eastAsia="仿宋_GB2312" w:cs="仿宋_GB2312"/>
                <w:color w:val="000000"/>
                <w:sz w:val="24"/>
                <w:szCs w:val="24"/>
                <w:highlight w:val="none"/>
                <w:lang w:val="en-US" w:eastAsia="zh-CN" w:bidi="ar"/>
              </w:rPr>
              <w:t>，接受社会监督。</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1.医院通过多种形式包括但不限于网站、电子屏幕向社会公开医院重点类技术目录、手术分级目录（0.3分）；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2.及时更新信息（0.2分）。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2.3.63.2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重点类技术临床应用情况纳入医院院务公开范围，接受社会监督。</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1.定期将重点类技术临床应用情况在院务公开（0.3分）；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2.及时更新信息（0.2分）。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9"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（六十四）医院按照规定停止出现相关情形的医疗技术临床应用，并按规定履行报告程序（1分）。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2.3.64.1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按照规定，出现以下情形时应立即停用:被国家卫生健康委列入为“禁止类技术”的医疗技术；从事该项医疗技术的主要专业技术人员或者关键设备设施及其他辅助条件发生变化，不能满足相关技术临床应用管理规范要求，或者影响临床应用效果的；该项医疗技术在本院应用过程中出现重大医疗质量、医疗安全或伦理问题；或者发生与技术相关的严重不良后果的；发现该项医疗技术临床应用效果不确切，或存在重大质量、安全或伦理缺陷的。</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1.医院医疗技术临床应用管理制度体现本款规定情形下停用相应医疗技术（0.3分）；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2.查阅相关资料体现医院按规定履行报告程序（0.2分）。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2.3.64.2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前款停用的医疗技术，属于重点类技术的，</w:t>
            </w:r>
            <w:r>
              <w:rPr>
                <w:rStyle w:val="28"/>
                <w:rFonts w:hint="eastAsia" w:ascii="仿宋_GB2312" w:hAnsi="仿宋_GB2312" w:eastAsia="仿宋_GB2312" w:cs="仿宋_GB2312"/>
                <w:color w:val="000000"/>
                <w:sz w:val="24"/>
                <w:szCs w:val="24"/>
                <w:highlight w:val="none"/>
                <w:lang w:val="en-US" w:eastAsia="zh-CN" w:bidi="ar"/>
              </w:rPr>
              <w:t>上报属地和省级卫生健康行政部门，</w:t>
            </w:r>
            <w:r>
              <w:rPr>
                <w:rStyle w:val="29"/>
                <w:rFonts w:hint="eastAsia" w:ascii="仿宋_GB2312" w:hAnsi="仿宋_GB2312" w:eastAsia="仿宋_GB2312" w:cs="仿宋_GB2312"/>
                <w:color w:val="000000"/>
                <w:sz w:val="24"/>
                <w:szCs w:val="24"/>
                <w:highlight w:val="none"/>
                <w:lang w:val="en-US" w:eastAsia="zh-CN" w:bidi="ar"/>
              </w:rPr>
              <w:t>主动申请撤销备案，并向社会公示。</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1.医院如有停用限制类医疗技术，复核该停用技术相关病历未再开展（0.2分）；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2.停用的重点类技术及时上报省级卫生健康行政部门，主动申请撤销备案（0.2分）；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3.有停用的重点类技术主动向社会公示的资料（0.1分）。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7"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（六十五）开展重点类技术的临床科室要按照要求，及时、准确、完整地向医院主管部门报送重点类技术开展情况数据信息（2分）。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2.3.65.1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有上报机制，及时、准确、完整地向医院主管部门报送重点类技术开展情况数据信息。</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1.有向医院主管部门报送重点类技术开展情况信息的制度与流程（0.3分）；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2.医务人员熟知上报制度和要求（0.2分）。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2.3.65.2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建立数据信息内部验证机制，确保数据真实，符合上报要求。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病案检查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数据核查</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1.建立数据信息内部验证机制，体现院科两级审核（0.3分）；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2.科室对信息上报有自查记录（0.2分）；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3.医院数据审核流程或工作记录体现院科两级审核（0.2分）；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4.病案检查证实数据真实（0.2分）。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6"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2.3.65.3</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对上报情况定期进行分析反馈，持续改进上报质量。</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1.科室对数据上报情况</w:t>
            </w:r>
            <w:r>
              <w:rPr>
                <w:rStyle w:val="30"/>
                <w:rFonts w:hint="eastAsia" w:ascii="仿宋_GB2312" w:hAnsi="仿宋_GB2312" w:eastAsia="仿宋_GB2312" w:cs="仿宋_GB2312"/>
                <w:color w:val="000000"/>
                <w:sz w:val="24"/>
                <w:szCs w:val="24"/>
                <w:highlight w:val="none"/>
                <w:lang w:val="en-US" w:eastAsia="zh-CN" w:bidi="ar"/>
              </w:rPr>
              <w:t>有自查</w:t>
            </w:r>
            <w:r>
              <w:rPr>
                <w:rStyle w:val="29"/>
                <w:rFonts w:hint="eastAsia" w:ascii="仿宋_GB2312" w:hAnsi="仿宋_GB2312" w:eastAsia="仿宋_GB2312" w:cs="仿宋_GB2312"/>
                <w:color w:val="000000"/>
                <w:sz w:val="24"/>
                <w:szCs w:val="24"/>
                <w:highlight w:val="none"/>
                <w:lang w:val="en-US" w:eastAsia="zh-CN" w:bidi="ar"/>
              </w:rPr>
              <w:t>、总结分析及整改（0.2分）；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r>
              <w:rPr>
                <w:rStyle w:val="30"/>
                <w:rFonts w:hint="eastAsia" w:ascii="仿宋_GB2312" w:hAnsi="仿宋_GB2312" w:eastAsia="仿宋_GB2312" w:cs="仿宋_GB2312"/>
                <w:color w:val="000000"/>
                <w:sz w:val="24"/>
                <w:szCs w:val="24"/>
                <w:highlight w:val="none"/>
                <w:lang w:val="en-US" w:eastAsia="zh-CN" w:bidi="ar"/>
              </w:rPr>
              <w:t>职能</w:t>
            </w:r>
            <w:r>
              <w:rPr>
                <w:rStyle w:val="29"/>
                <w:rFonts w:hint="eastAsia" w:ascii="仿宋_GB2312" w:hAnsi="仿宋_GB2312" w:eastAsia="仿宋_GB2312" w:cs="仿宋_GB2312"/>
                <w:color w:val="000000"/>
                <w:sz w:val="24"/>
                <w:szCs w:val="24"/>
                <w:highlight w:val="none"/>
                <w:lang w:val="en-US" w:eastAsia="zh-CN" w:bidi="ar"/>
              </w:rPr>
              <w:t>部门对数据上报情况有督查、分析</w:t>
            </w:r>
            <w:r>
              <w:rPr>
                <w:rStyle w:val="30"/>
                <w:rFonts w:hint="eastAsia" w:ascii="仿宋_GB2312" w:hAnsi="仿宋_GB2312" w:eastAsia="仿宋_GB2312" w:cs="仿宋_GB2312"/>
                <w:color w:val="000000"/>
                <w:sz w:val="24"/>
                <w:szCs w:val="24"/>
                <w:highlight w:val="none"/>
                <w:lang w:val="en-US" w:eastAsia="zh-CN" w:bidi="ar"/>
              </w:rPr>
              <w:t>、反馈，落实整改</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3.有数据或案例体现</w:t>
            </w:r>
            <w:r>
              <w:rPr>
                <w:rStyle w:val="30"/>
                <w:rFonts w:hint="eastAsia" w:ascii="仿宋_GB2312" w:hAnsi="仿宋_GB2312" w:eastAsia="仿宋_GB2312" w:cs="仿宋_GB2312"/>
                <w:color w:val="000000"/>
                <w:sz w:val="24"/>
                <w:szCs w:val="24"/>
                <w:highlight w:val="none"/>
                <w:lang w:val="en-US" w:eastAsia="zh-CN" w:bidi="ar"/>
              </w:rPr>
              <w:t>上报</w:t>
            </w:r>
            <w:r>
              <w:rPr>
                <w:rStyle w:val="29"/>
                <w:rFonts w:hint="eastAsia" w:ascii="仿宋_GB2312" w:hAnsi="仿宋_GB2312" w:eastAsia="仿宋_GB2312" w:cs="仿宋_GB2312"/>
                <w:color w:val="000000"/>
                <w:sz w:val="24"/>
                <w:szCs w:val="24"/>
                <w:highlight w:val="none"/>
                <w:lang w:val="en-US" w:eastAsia="zh-CN" w:bidi="ar"/>
              </w:rPr>
              <w:t>质量持续改进（0.2分）。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bl>
    <w:p>
      <w:pPr>
        <w:pStyle w:val="2"/>
        <w:spacing w:line="440" w:lineRule="exact"/>
        <w:jc w:val="left"/>
        <w:rPr>
          <w:rFonts w:hint="eastAsia" w:ascii="黑体" w:hAnsi="黑体" w:eastAsia="黑体" w:cs="黑体"/>
          <w:color w:val="000000"/>
          <w:sz w:val="32"/>
          <w:szCs w:val="32"/>
          <w:lang w:eastAsia="zh-CN"/>
        </w:rPr>
      </w:pPr>
    </w:p>
    <w:p>
      <w:pPr>
        <w:pStyle w:val="5"/>
        <w:bidi w:val="0"/>
        <w:rPr>
          <w:rFonts w:hint="eastAsia"/>
          <w:color w:val="000000"/>
          <w:lang w:eastAsia="zh-CN"/>
        </w:rPr>
      </w:pPr>
      <w:bookmarkStart w:id="165" w:name="_Toc26943"/>
    </w:p>
    <w:p>
      <w:pPr>
        <w:pStyle w:val="5"/>
        <w:bidi w:val="0"/>
        <w:rPr>
          <w:rFonts w:hint="eastAsia"/>
          <w:color w:val="000000"/>
          <w:lang w:eastAsia="zh-CN"/>
        </w:rPr>
      </w:pPr>
    </w:p>
    <w:p>
      <w:pPr>
        <w:pStyle w:val="5"/>
        <w:bidi w:val="0"/>
        <w:rPr>
          <w:rFonts w:hint="default"/>
          <w:color w:val="000000"/>
          <w:lang w:val="en-US" w:eastAsia="zh-CN"/>
        </w:rPr>
      </w:pPr>
      <w:bookmarkStart w:id="166" w:name="_Toc7978"/>
      <w:r>
        <w:rPr>
          <w:rFonts w:hint="eastAsia"/>
          <w:color w:val="000000"/>
          <w:lang w:eastAsia="zh-CN"/>
        </w:rPr>
        <w:br w:type="page"/>
      </w:r>
      <w:r>
        <w:rPr>
          <w:rFonts w:hint="eastAsia"/>
          <w:color w:val="000000"/>
          <w:lang w:eastAsia="zh-CN"/>
        </w:rPr>
        <w:t>四</w:t>
      </w:r>
      <w:r>
        <w:rPr>
          <w:rFonts w:hint="eastAsia"/>
          <w:color w:val="000000"/>
        </w:rPr>
        <w:t>、医疗安全风险防范</w:t>
      </w:r>
      <w:r>
        <w:rPr>
          <w:rFonts w:hint="eastAsia"/>
          <w:color w:val="000000"/>
          <w:lang w:eastAsia="zh-CN"/>
        </w:rPr>
        <w:t>（</w:t>
      </w:r>
      <w:r>
        <w:rPr>
          <w:rFonts w:hint="eastAsia"/>
          <w:color w:val="000000"/>
          <w:lang w:val="en-US" w:eastAsia="zh-CN"/>
        </w:rPr>
        <w:t>11分</w:t>
      </w:r>
      <w:r>
        <w:rPr>
          <w:rFonts w:hint="eastAsia"/>
          <w:color w:val="000000"/>
          <w:lang w:eastAsia="zh-CN"/>
        </w:rPr>
        <w:t>）</w:t>
      </w:r>
      <w:bookmarkEnd w:id="165"/>
      <w:bookmarkEnd w:id="166"/>
    </w:p>
    <w:tbl>
      <w:tblPr>
        <w:tblStyle w:val="14"/>
        <w:tblW w:w="14693"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92"/>
        <w:gridCol w:w="4988"/>
        <w:gridCol w:w="1617"/>
        <w:gridCol w:w="6136"/>
        <w:gridCol w:w="7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blHeader/>
        </w:trPr>
        <w:tc>
          <w:tcPr>
            <w:tcW w:w="6180" w:type="dxa"/>
            <w:gridSpan w:val="2"/>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评审指标细则</w:t>
            </w:r>
          </w:p>
        </w:tc>
        <w:tc>
          <w:tcPr>
            <w:tcW w:w="1617"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评审方法</w:t>
            </w:r>
          </w:p>
        </w:tc>
        <w:tc>
          <w:tcPr>
            <w:tcW w:w="6136"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评分细则</w:t>
            </w:r>
          </w:p>
        </w:tc>
        <w:tc>
          <w:tcPr>
            <w:tcW w:w="760"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六）以减少诊疗活动对患者的伤害为目标，建立医疗质量（安全）不良事件信息采集、记录和报告相关制度和激励机制。有对本院医疗质量（安全）不良事件及管理缺陷进行统计分析、信息共享和持续改进机制（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2.4.66.1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建立医疗质量（安全）不良事件信息采集、记录和报告相关制度，明确相关部门职责。</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1.有医疗质量(安全)不良事件信息采集、记录和报告制度（0.2分）；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2"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2.有负责部门及工作职责（0.2分）。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2.4.66.2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有不良事件分类目录，员工知晓。</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1.有不良事件分类分级管理制度，有目录（0.1分）；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2.员工知晓不良事件分类情况（0.1分）。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4"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2.4.66.3</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以减少诊疗活动对患者的伤害为目标，鼓励主动上报医疗质量（安全）不良事件，建立激励机制。</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1.医院有鼓励主动上报不良事件的激励机制（0.1分）；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2.医院有数据或案例体现落实激励机制（0.1分）。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2.4.66.4</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对本院医疗质量（安全）不良事件及管理缺陷进行统计分析、信息共享。</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1.职能部门针对不良事件及管理缺陷有分析总结记录（0.1分）；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2.分析报告有院内渠道实现信息共享（0.1分）。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4"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2.4.66.5</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建立持续改进医疗质量（安全）不良事件相关因素及管理缺陷的机制。</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数据核查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1.有持续改进医疗质量（安全）不良事件相关因素及管理缺陷的制度</w:t>
            </w:r>
            <w:r>
              <w:rPr>
                <w:rStyle w:val="30"/>
                <w:rFonts w:hint="eastAsia" w:ascii="仿宋_GB2312" w:hAnsi="仿宋_GB2312" w:eastAsia="仿宋_GB2312" w:cs="仿宋_GB2312"/>
                <w:color w:val="000000"/>
                <w:sz w:val="24"/>
                <w:szCs w:val="24"/>
                <w:highlight w:val="none"/>
                <w:lang w:val="en-US" w:eastAsia="zh-CN" w:bidi="ar"/>
              </w:rPr>
              <w:t>等相关规定</w:t>
            </w:r>
            <w:r>
              <w:rPr>
                <w:rStyle w:val="29"/>
                <w:rFonts w:hint="eastAsia" w:ascii="仿宋_GB2312" w:hAnsi="仿宋_GB2312" w:eastAsia="仿宋_GB2312" w:cs="仿宋_GB2312"/>
                <w:color w:val="000000"/>
                <w:sz w:val="24"/>
                <w:szCs w:val="24"/>
                <w:highlight w:val="none"/>
                <w:lang w:val="en-US" w:eastAsia="zh-CN" w:bidi="ar"/>
              </w:rPr>
              <w:t>（0.1分）；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2"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2、对医疗质量（安全）不良事件相关因素及管理缺陷开展针对性的培训</w:t>
            </w:r>
            <w:r>
              <w:rPr>
                <w:rStyle w:val="28"/>
                <w:rFonts w:hint="eastAsia" w:ascii="仿宋_GB2312" w:hAnsi="仿宋_GB2312" w:eastAsia="仿宋_GB2312" w:cs="仿宋_GB2312"/>
                <w:color w:val="000000"/>
                <w:sz w:val="24"/>
                <w:szCs w:val="24"/>
                <w:highlight w:val="none"/>
                <w:lang w:val="en-US" w:eastAsia="zh-CN" w:bidi="ar"/>
              </w:rPr>
              <w:t>（0.1分）；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3、科室有定期自查、总结分析、整改措施并落实</w:t>
            </w:r>
            <w:r>
              <w:rPr>
                <w:rStyle w:val="28"/>
                <w:rFonts w:hint="eastAsia" w:ascii="仿宋_GB2312" w:hAnsi="仿宋_GB2312" w:eastAsia="仿宋_GB2312" w:cs="仿宋_GB2312"/>
                <w:color w:val="000000"/>
                <w:sz w:val="24"/>
                <w:szCs w:val="24"/>
                <w:highlight w:val="none"/>
                <w:lang w:val="en-US" w:eastAsia="zh-CN" w:bidi="ar"/>
              </w:rPr>
              <w:t>（0.1分）；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5"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4、职能部门有检查评价、督导检查、分析、反馈，并检查科室整改落实情况</w:t>
            </w:r>
            <w:r>
              <w:rPr>
                <w:rStyle w:val="28"/>
                <w:rFonts w:hint="eastAsia" w:ascii="仿宋_GB2312" w:hAnsi="仿宋_GB2312" w:eastAsia="仿宋_GB2312" w:cs="仿宋_GB2312"/>
                <w:color w:val="000000"/>
                <w:sz w:val="24"/>
                <w:szCs w:val="24"/>
                <w:highlight w:val="none"/>
                <w:lang w:val="en-US" w:eastAsia="zh-CN" w:bidi="ar"/>
              </w:rPr>
              <w:t>（0.1分）；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5、评审周期内，医院有数据或案例体现医院通过不良事件持续改进医疗质量</w:t>
            </w:r>
            <w:r>
              <w:rPr>
                <w:rStyle w:val="28"/>
                <w:rFonts w:hint="eastAsia" w:ascii="仿宋_GB2312" w:hAnsi="仿宋_GB2312" w:eastAsia="仿宋_GB2312" w:cs="仿宋_GB2312"/>
                <w:color w:val="000000"/>
                <w:sz w:val="24"/>
                <w:szCs w:val="24"/>
                <w:highlight w:val="none"/>
                <w:lang w:val="en-US" w:eastAsia="zh-CN" w:bidi="ar"/>
              </w:rPr>
              <w:t>（0.1分）。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（六十七）落实《医疗纠纷预防和处理条例》，加强医疗风险管理，完善医疗风险的识别、评价，及时消除隐患（2分）。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2.4.67.1</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落实《医疗纠纷预防和处理条例》，加强医疗风险管理，有医疗风险管理方案并定期修订。</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1.有医疗风险管理方案（0.3分）；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9"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2.定期修订方案（0.2分）。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2.4.67.2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识别、评估医院内部存在的医疗风险点，根据负性事件发生的概率、严重性等指标对医疗风险进行分级。</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1.医疗风险管理方案能够识别、评估内部医疗风险点（0.3分）；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2.对医疗风险点进行分级管理（0.2分）。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2"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2.4.67.3</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员工知晓本部门及本岗位医疗风险，并有针对性的风险防控措施，包括但不限于医疗风险的知识培训、</w:t>
            </w:r>
            <w:r>
              <w:rPr>
                <w:rStyle w:val="28"/>
                <w:rFonts w:hint="eastAsia" w:ascii="仿宋_GB2312" w:hAnsi="仿宋_GB2312" w:eastAsia="仿宋_GB2312" w:cs="仿宋_GB2312"/>
                <w:color w:val="000000"/>
                <w:sz w:val="24"/>
                <w:szCs w:val="24"/>
                <w:highlight w:val="none"/>
                <w:lang w:val="en-US" w:eastAsia="zh-CN" w:bidi="ar"/>
              </w:rPr>
              <w:t>风险识别评估</w:t>
            </w:r>
            <w:r>
              <w:rPr>
                <w:rStyle w:val="29"/>
                <w:rFonts w:hint="eastAsia" w:ascii="仿宋_GB2312" w:hAnsi="仿宋_GB2312" w:eastAsia="仿宋_GB2312" w:cs="仿宋_GB2312"/>
                <w:color w:val="000000"/>
                <w:sz w:val="24"/>
                <w:szCs w:val="24"/>
                <w:highlight w:val="none"/>
                <w:lang w:val="en-US" w:eastAsia="zh-CN" w:bidi="ar"/>
              </w:rPr>
              <w:t>、预警、控制、避让和风险分担等措施。</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1.制定各部门各岗位医疗风险防控措施（0.2分）；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2.针对防控措施开展院内培训，培训资料齐全（0.1分）；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3.抽查员工知晓本部门本岗位的医疗风险及防范措施（0.2分）。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1"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2.4.67.4</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定期检查医疗风险的防控措施落实情况，及时消除隐患。</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1、科室至少每季度有自查、分析、整改措施并落实（0.2分）；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8"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left"/>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2、职能部门至少每季度有检查评价、分析、反馈，并督导整改措施的落实（0.2分）；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left"/>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3、评审周期内，医院有数据或案例体现持续改进（0.1分）。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4"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（六十八）落实《关于推进医院安全秩序管理工作的指导意见》，维护正常医疗秩序，保护医务人员人身安全，为医患双方营造良好诊疗环境（2分）。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7"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2.4.68.1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落实《关于推进医院安全秩序管理工作的指导意见》等有关规定要求，维护正常医疗秩序，保护医务人员人身安全。</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8"/>
                <w:rFonts w:hint="eastAsia" w:ascii="仿宋_GB2312" w:hAnsi="仿宋_GB2312" w:eastAsia="仿宋_GB2312" w:cs="仿宋_GB2312"/>
                <w:color w:val="000000"/>
                <w:sz w:val="24"/>
                <w:szCs w:val="24"/>
                <w:highlight w:val="none"/>
                <w:lang w:val="en-US" w:eastAsia="zh-CN" w:bidi="ar"/>
              </w:rPr>
              <w:t>1.</w:t>
            </w:r>
            <w:r>
              <w:rPr>
                <w:rStyle w:val="30"/>
                <w:rFonts w:hint="eastAsia" w:ascii="仿宋_GB2312" w:hAnsi="仿宋_GB2312" w:eastAsia="仿宋_GB2312" w:cs="仿宋_GB2312"/>
                <w:color w:val="000000"/>
                <w:sz w:val="24"/>
                <w:szCs w:val="24"/>
                <w:highlight w:val="none"/>
                <w:lang w:val="en-US" w:eastAsia="zh-CN" w:bidi="ar"/>
              </w:rPr>
              <w:t>根据意见要求，</w:t>
            </w:r>
            <w:r>
              <w:rPr>
                <w:rStyle w:val="28"/>
                <w:rFonts w:hint="eastAsia" w:ascii="仿宋_GB2312" w:hAnsi="仿宋_GB2312" w:eastAsia="仿宋_GB2312" w:cs="仿宋_GB2312"/>
                <w:color w:val="000000"/>
                <w:sz w:val="24"/>
                <w:szCs w:val="24"/>
                <w:highlight w:val="none"/>
                <w:lang w:val="en-US" w:eastAsia="zh-CN" w:bidi="ar"/>
              </w:rPr>
              <w:t>建立医院安全秩序管理工作制度，有明确的组织架构，医院主要负责人是第一责任人（0.2分）；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6"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2.医院领导班子至少每季度听取汇报，研究推进措施。并体现与医疗服务工作同谋划、同部署、同推进、同考核</w:t>
            </w:r>
            <w:r>
              <w:rPr>
                <w:rStyle w:val="28"/>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0"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2.4.68.2</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加强医院保卫队伍建设，根据人流量、地域面积等情况，配齐配强专职保卫人员，聘用足够的保安员。</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要根据人流量、地域面积、建筑布局以及所在地社会治安形势等实际情况，配齐配强专职保卫人员，聘用足够的保安员（医院保安员数量按照不低于在岗医务人员总数的3％或者20张病床1名保安或日均门诊量3‰的标准配备）（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1"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2.加强专职保卫人员和保安员相关法律知识和保卫业务、技能培训，经培训合格后持证上岗（0.1分）。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2.4.68.3</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加强医院物防设施建设，为在岗保卫人员和保安员配备必要的通讯设施和防护器械。医院供水、供电、易燃易爆物品存放等重点要害部位安装安全防护设施。</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1.在岗保卫人员和保安员配备必要的通讯设备和防护器械（0.1分）；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2.医院供水、供电、供气、供热、供氧、“毒、麻、精、放”药（物）品、易燃易爆物品存放库房等重点要害部位应当按照相关规定或者标准安装安全防护设施（0.1分）；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1"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3.医院周界要设置围墙或栅栏等实体防护设施，出入口、挂号处等人员密集处要设置隔离疏导设施（0.1分）。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0"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2.4.68.4</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加强医院技防系统建设，建立完善入侵报警系统、视频监控系统、出入口控制系统和电子巡查系统，设置安全监控中心，重点区域视频监控全覆盖。</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1.医院建立入侵报警系统、视频监控系统、出入口控制系统和电子巡查系统，并实现系统间互联互通（0.1分）；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5"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2.医院要设置安全监控中心，实现医院内公共区域、重点区域视频监控全覆盖（0.1分）；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3.医院门卫室、各科室、重点要害部位要安装一键式报警装置，并与医院安全监控中心联网，确保发生突发事件时能及时通知保卫机构和保安员，迅速现场先期处置（0.1分）；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8"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4.有处理各类突发事件的案例或记录（0.1分）。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2.4.68.5</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强化医院警务室建设，三级医院和有条件的二级医院设立警务室，配备必要警力；尚不具备条件的根据情况在周边设立治安岗亭（巡逻必到点）。</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1.按照警务室（站）建设标准，设立警务室（0.2分）；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2.警务室（站）民警定期组织医院开展安全检查、巡逻防控、突发事件处置等工作</w:t>
            </w:r>
            <w:r>
              <w:rPr>
                <w:rStyle w:val="28"/>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2.4.68.6</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有序开展安检工作，建立安全检查制度，配备金属探测门、微量X射线安全检查设备、手持式金属探测器等安检设备。</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1.医院建立安全检查制度，制定并公布医院禁止限制携带物名录（0.1分）；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2"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2.按照安检工作实际需求，配备通过式金属探测门、微剂量X射线安全检查设备、手持式金属探测器等相应安检设备。日均门诊量5000人次以上或者床位1000张以上的大型医院应当在主要出入口实施安检（0.1分）；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3.医院开展安检工作，应当兼顾患者就医体验，为急危重症患者设置安检绿色通道，不影响正常医疗秩序（0.1分）。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2"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（六十九）建立健全医患沟通机制和投诉管理制度。实行“首诉负责制”。投诉相关信息用于医疗质量管理的持续改进（2分）。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2.4.69.1</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建立健全医患沟通机制和投诉管理制度，有投诉处置流程。</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有医患沟通制度、投诉管理制度（0.2分）、投诉处置流程（0.2分）。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2.4.69.2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设置投诉管理部门，实施“首诉负责制”，并向社会公开。</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1.设置有专职部门负责接待投诉（0.2分）；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2.针对每例投诉均有及时回复（0.2分）；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3.投诉渠道向社会公开（0.2分）。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2.4.69.3</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对投诉处置有明确时限规定，告知患者投诉处置结果。</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患者访谈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1.投诉处置有明确时限规定</w:t>
            </w:r>
            <w:r>
              <w:rPr>
                <w:rStyle w:val="30"/>
                <w:rFonts w:hint="eastAsia" w:ascii="仿宋_GB2312" w:hAnsi="仿宋_GB2312" w:eastAsia="仿宋_GB2312" w:cs="仿宋_GB2312"/>
                <w:color w:val="000000"/>
                <w:sz w:val="24"/>
                <w:szCs w:val="24"/>
                <w:highlight w:val="none"/>
                <w:lang w:val="en-US" w:eastAsia="zh-CN" w:bidi="ar"/>
              </w:rPr>
              <w:t>（0.2分）；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2.每例投诉有回复患者处置结果的记录且未超时（0.2分）。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2.4.69.4</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定期分析相关投诉信息，以共性的投诉问题开展警示教育</w:t>
            </w:r>
            <w:r>
              <w:rPr>
                <w:rStyle w:val="28"/>
                <w:rFonts w:hint="eastAsia" w:ascii="仿宋_GB2312" w:hAnsi="仿宋_GB2312" w:eastAsia="仿宋_GB2312" w:cs="仿宋_GB2312"/>
                <w:color w:val="000000"/>
                <w:sz w:val="24"/>
                <w:szCs w:val="24"/>
                <w:highlight w:val="none"/>
                <w:lang w:val="en-US" w:eastAsia="zh-CN" w:bidi="ar"/>
              </w:rPr>
              <w:t>并制定防范措施</w:t>
            </w:r>
            <w:r>
              <w:rPr>
                <w:rStyle w:val="29"/>
                <w:rFonts w:hint="eastAsia" w:ascii="仿宋_GB2312" w:hAnsi="仿宋_GB2312" w:eastAsia="仿宋_GB2312" w:cs="仿宋_GB2312"/>
                <w:color w:val="000000"/>
                <w:sz w:val="24"/>
                <w:szCs w:val="24"/>
                <w:highlight w:val="none"/>
                <w:lang w:val="en-US" w:eastAsia="zh-CN" w:bidi="ar"/>
              </w:rPr>
              <w:t>，持续改进医疗质量安全。</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1.职能部门有定期</w:t>
            </w:r>
            <w:r>
              <w:rPr>
                <w:rStyle w:val="28"/>
                <w:rFonts w:hint="eastAsia" w:ascii="仿宋_GB2312" w:hAnsi="仿宋_GB2312" w:eastAsia="仿宋_GB2312" w:cs="仿宋_GB2312"/>
                <w:color w:val="000000"/>
                <w:sz w:val="24"/>
                <w:szCs w:val="24"/>
                <w:highlight w:val="none"/>
                <w:lang w:val="en-US" w:eastAsia="zh-CN" w:bidi="ar"/>
              </w:rPr>
              <w:t>（至少每季度）</w:t>
            </w:r>
            <w:r>
              <w:rPr>
                <w:rStyle w:val="29"/>
                <w:rFonts w:hint="eastAsia" w:ascii="仿宋_GB2312" w:hAnsi="仿宋_GB2312" w:eastAsia="仿宋_GB2312" w:cs="仿宋_GB2312"/>
                <w:color w:val="000000"/>
                <w:sz w:val="24"/>
                <w:szCs w:val="24"/>
                <w:highlight w:val="none"/>
                <w:lang w:val="en-US" w:eastAsia="zh-CN" w:bidi="ar"/>
              </w:rPr>
              <w:t>分析记录，寻找共性问题</w:t>
            </w:r>
            <w:r>
              <w:rPr>
                <w:rStyle w:val="28"/>
                <w:rFonts w:hint="eastAsia" w:ascii="仿宋_GB2312" w:hAnsi="仿宋_GB2312" w:eastAsia="仿宋_GB2312" w:cs="仿宋_GB2312"/>
                <w:color w:val="000000"/>
                <w:sz w:val="24"/>
                <w:szCs w:val="24"/>
                <w:highlight w:val="none"/>
                <w:lang w:val="en-US" w:eastAsia="zh-CN" w:bidi="ar"/>
              </w:rPr>
              <w:t>并制定防范措施</w:t>
            </w:r>
            <w:r>
              <w:rPr>
                <w:rStyle w:val="29"/>
                <w:rFonts w:hint="eastAsia" w:ascii="仿宋_GB2312" w:hAnsi="仿宋_GB2312" w:eastAsia="仿宋_GB2312" w:cs="仿宋_GB2312"/>
                <w:color w:val="000000"/>
                <w:sz w:val="24"/>
                <w:szCs w:val="24"/>
                <w:highlight w:val="none"/>
                <w:lang w:val="en-US" w:eastAsia="zh-CN" w:bidi="ar"/>
              </w:rPr>
              <w:t>（0.2分）；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7"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2.定期</w:t>
            </w:r>
            <w:r>
              <w:rPr>
                <w:rStyle w:val="28"/>
                <w:rFonts w:hint="eastAsia" w:ascii="仿宋_GB2312" w:hAnsi="仿宋_GB2312" w:eastAsia="仿宋_GB2312" w:cs="仿宋_GB2312"/>
                <w:color w:val="000000"/>
                <w:sz w:val="24"/>
                <w:szCs w:val="24"/>
                <w:highlight w:val="none"/>
                <w:lang w:val="en-US" w:eastAsia="zh-CN" w:bidi="ar"/>
              </w:rPr>
              <w:t>（至少每年一次）</w:t>
            </w:r>
            <w:r>
              <w:rPr>
                <w:rStyle w:val="29"/>
                <w:rFonts w:hint="eastAsia" w:ascii="仿宋_GB2312" w:hAnsi="仿宋_GB2312" w:eastAsia="仿宋_GB2312" w:cs="仿宋_GB2312"/>
                <w:color w:val="000000"/>
                <w:sz w:val="24"/>
                <w:szCs w:val="24"/>
                <w:highlight w:val="none"/>
                <w:lang w:val="en-US" w:eastAsia="zh-CN" w:bidi="ar"/>
              </w:rPr>
              <w:t>开展典型案例警示教育，有记录（0.2分）；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3"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3.有案例或数据体现医疗质量安全持续改进（0.2分）。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14693"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（七十）建立药品不良反应、药品损害事件和医疗器械不良事件监测报告制度，定期评估相关事件，及时反馈临床，按照国家有关规定向相关部门报告（1.5分）。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2.4.70.1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建立药品不良反应、药品损害事件和医疗器械不良事件监测报告制度，有报告流程并落实，</w:t>
            </w:r>
            <w:r>
              <w:rPr>
                <w:rStyle w:val="28"/>
                <w:rFonts w:hint="eastAsia" w:ascii="仿宋_GB2312" w:hAnsi="仿宋_GB2312" w:eastAsia="仿宋_GB2312" w:cs="仿宋_GB2312"/>
                <w:color w:val="000000"/>
                <w:sz w:val="24"/>
                <w:szCs w:val="24"/>
                <w:highlight w:val="none"/>
                <w:lang w:val="en-US" w:eastAsia="zh-CN" w:bidi="ar"/>
              </w:rPr>
              <w:t>涉及患者的内容记入病历。</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1.有药品、医疗器械不良事件监测报告制度及报告流程（0.3分）；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r>
              <w:rPr>
                <w:rStyle w:val="28"/>
                <w:rFonts w:hint="eastAsia" w:ascii="仿宋_GB2312" w:hAnsi="仿宋_GB2312" w:eastAsia="仿宋_GB2312" w:cs="仿宋_GB2312"/>
                <w:color w:val="000000"/>
                <w:sz w:val="24"/>
                <w:szCs w:val="24"/>
                <w:highlight w:val="none"/>
                <w:lang w:val="en-US" w:eastAsia="zh-CN" w:bidi="ar"/>
              </w:rPr>
              <w:t>各科室落实药品、医疗器械不良事件监测报告制度及流程，涉及患者的内容记入病历（0.2分）。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7"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2.4.70.2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定期评估相关事件并及时反馈临床。</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1.</w:t>
            </w:r>
            <w:r>
              <w:rPr>
                <w:rStyle w:val="30"/>
                <w:rFonts w:hint="eastAsia" w:ascii="仿宋_GB2312" w:hAnsi="仿宋_GB2312" w:eastAsia="仿宋_GB2312" w:cs="仿宋_GB2312"/>
                <w:color w:val="000000"/>
                <w:sz w:val="24"/>
                <w:szCs w:val="24"/>
                <w:highlight w:val="none"/>
                <w:lang w:val="en-US" w:eastAsia="zh-CN" w:bidi="ar"/>
              </w:rPr>
              <w:t>职能</w:t>
            </w:r>
            <w:r>
              <w:rPr>
                <w:rStyle w:val="29"/>
                <w:rFonts w:hint="eastAsia" w:ascii="仿宋_GB2312" w:hAnsi="仿宋_GB2312" w:eastAsia="仿宋_GB2312" w:cs="仿宋_GB2312"/>
                <w:color w:val="000000"/>
                <w:sz w:val="24"/>
                <w:szCs w:val="24"/>
                <w:highlight w:val="none"/>
                <w:lang w:val="en-US" w:eastAsia="zh-CN" w:bidi="ar"/>
              </w:rPr>
              <w:t>部门有定期（至少每半年一次）评估相关事件的总结报告（0.3分）；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6"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2.评估报告及时反馈给临床（0.2分）。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8"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2.4.70.3</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按照国家有关规定向相关部门报告，可追溯。</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数据核查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1.评审周期内，每年上报例数符合要求（0.3分）；</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2.可在上报系统追溯（0.2分）。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（七十一）有对深静脉血栓中高危患者评估、识别、预防、诊断和处置的制度和流程并开展全员培训（1分）。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1"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2.4.71.1</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制定深静脉血栓中高危患者评估、识别、预防、诊断和处置的制度和流程，纳入相关疾病诊疗规范并落实。</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查阅文件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1.制定有深静脉血栓中高危患者评估、识别、预防、诊断和处置的制度和流程（0.2分）；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4"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2.查阅高危患者病历相关疾病诊治过程有血栓风险评估表及根据评估风险等级落实防治处置（0.3分）。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2" w:hRule="atLeast"/>
        </w:trPr>
        <w:tc>
          <w:tcPr>
            <w:tcW w:w="119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2.4.71.2</w:t>
            </w:r>
          </w:p>
        </w:tc>
        <w:tc>
          <w:tcPr>
            <w:tcW w:w="498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开展全员相关培训，员工知晓。</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1.开展VTE防治培训，资料齐全包括但不限于签到、培训课件、照片、培训总结（0.3分）；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6" w:hRule="atLeast"/>
        </w:trPr>
        <w:tc>
          <w:tcPr>
            <w:tcW w:w="119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98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2.抽查临床科室医护人员知晓防治制度流程或相关操作（0.2分）。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2"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（七十二）关注院内安全，有针对心跳骤停、昏迷、跌倒等高风险意外事件的应急措施和应急救护机制保障全院任何区域内均能及时提供紧急救治和生命支持服务（1分）。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8" w:hRule="atLeast"/>
        </w:trPr>
        <w:tc>
          <w:tcPr>
            <w:tcW w:w="1192"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2.4.72.1</w:t>
            </w:r>
          </w:p>
        </w:tc>
        <w:tc>
          <w:tcPr>
            <w:tcW w:w="4988"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有针对心跳骤停、昏迷、跌倒等高风险意外事件的应急措施和救护机制。</w:t>
            </w:r>
          </w:p>
        </w:tc>
        <w:tc>
          <w:tcPr>
            <w:tcW w:w="1617"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有院内高风险意外事件的应急措施和救治机制、处置预案与流程（0.2分）</w:t>
            </w:r>
            <w:r>
              <w:rPr>
                <w:rStyle w:val="28"/>
                <w:rFonts w:hint="eastAsia" w:ascii="仿宋_GB2312" w:hAnsi="仿宋_GB2312" w:eastAsia="仿宋_GB2312" w:cs="仿宋_GB2312"/>
                <w:b w:val="0"/>
                <w:bCs w:val="0"/>
                <w:color w:val="000000"/>
                <w:sz w:val="24"/>
                <w:szCs w:val="24"/>
                <w:highlight w:val="none"/>
                <w:lang w:val="en-US" w:eastAsia="zh-CN" w:bidi="ar"/>
              </w:rPr>
              <w:t>。</w:t>
            </w:r>
          </w:p>
        </w:tc>
        <w:tc>
          <w:tcPr>
            <w:tcW w:w="760"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9" w:hRule="atLeast"/>
        </w:trPr>
        <w:tc>
          <w:tcPr>
            <w:tcW w:w="119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2.4.72.2</w:t>
            </w:r>
          </w:p>
        </w:tc>
        <w:tc>
          <w:tcPr>
            <w:tcW w:w="498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定期开展应对高风险意外事件的应急演练，确保员工掌握处置要求，对员工高风险意外事件的处置能力进行培训及考核。</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1.医院定期</w:t>
            </w:r>
            <w:r>
              <w:rPr>
                <w:rStyle w:val="28"/>
                <w:rFonts w:hint="eastAsia" w:ascii="仿宋_GB2312" w:hAnsi="仿宋_GB2312" w:eastAsia="仿宋_GB2312" w:cs="仿宋_GB2312"/>
                <w:color w:val="000000"/>
                <w:sz w:val="24"/>
                <w:szCs w:val="24"/>
                <w:highlight w:val="none"/>
                <w:lang w:val="en-US" w:eastAsia="zh-CN" w:bidi="ar"/>
              </w:rPr>
              <w:t>（至少每年一次）</w:t>
            </w:r>
            <w:r>
              <w:rPr>
                <w:rStyle w:val="29"/>
                <w:rFonts w:hint="eastAsia" w:ascii="仿宋_GB2312" w:hAnsi="仿宋_GB2312" w:eastAsia="仿宋_GB2312" w:cs="仿宋_GB2312"/>
                <w:color w:val="000000"/>
                <w:sz w:val="24"/>
                <w:szCs w:val="24"/>
                <w:highlight w:val="none"/>
                <w:lang w:val="en-US" w:eastAsia="zh-CN" w:bidi="ar"/>
              </w:rPr>
              <w:t>开展高风险意外事件应急演练，演练资料齐全包括但不限于签到、照片、演练脚本、总结等</w:t>
            </w:r>
            <w:r>
              <w:rPr>
                <w:rStyle w:val="30"/>
                <w:rFonts w:hint="eastAsia" w:ascii="仿宋_GB2312" w:hAnsi="仿宋_GB2312" w:eastAsia="仿宋_GB2312" w:cs="仿宋_GB2312"/>
                <w:color w:val="000000"/>
                <w:sz w:val="24"/>
                <w:szCs w:val="24"/>
                <w:highlight w:val="none"/>
                <w:lang w:val="en-US" w:eastAsia="zh-CN" w:bidi="ar"/>
              </w:rPr>
              <w:t>（0.2分）</w:t>
            </w:r>
            <w:r>
              <w:rPr>
                <w:rStyle w:val="29"/>
                <w:rFonts w:hint="eastAsia" w:ascii="仿宋_GB2312" w:hAnsi="仿宋_GB2312" w:eastAsia="仿宋_GB2312" w:cs="仿宋_GB2312"/>
                <w:color w:val="000000"/>
                <w:sz w:val="24"/>
                <w:szCs w:val="24"/>
                <w:highlight w:val="none"/>
                <w:lang w:val="en-US" w:eastAsia="zh-CN" w:bidi="ar"/>
              </w:rPr>
              <w:t>；</w:t>
            </w:r>
          </w:p>
        </w:tc>
        <w:tc>
          <w:tcPr>
            <w:tcW w:w="760"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5"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2.对员工高风险意外事件处置能力开展培训、考核有记录</w:t>
            </w:r>
            <w:r>
              <w:rPr>
                <w:rStyle w:val="30"/>
                <w:rFonts w:hint="eastAsia" w:ascii="仿宋_GB2312" w:hAnsi="仿宋_GB2312" w:eastAsia="仿宋_GB2312" w:cs="仿宋_GB2312"/>
                <w:color w:val="000000"/>
                <w:sz w:val="24"/>
                <w:szCs w:val="24"/>
                <w:highlight w:val="none"/>
                <w:lang w:val="en-US" w:eastAsia="zh-CN" w:bidi="ar"/>
              </w:rPr>
              <w:t>（0.2分）；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1" w:hRule="atLeast"/>
        </w:trPr>
        <w:tc>
          <w:tcPr>
            <w:tcW w:w="119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498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3.每名员工知晓高风险意外事件处置流程</w:t>
            </w:r>
            <w:r>
              <w:rPr>
                <w:rStyle w:val="30"/>
                <w:rFonts w:hint="eastAsia" w:ascii="仿宋_GB2312" w:hAnsi="仿宋_GB2312" w:eastAsia="仿宋_GB2312" w:cs="仿宋_GB2312"/>
                <w:color w:val="000000"/>
                <w:sz w:val="24"/>
                <w:szCs w:val="24"/>
                <w:highlight w:val="none"/>
                <w:lang w:val="en-US" w:eastAsia="zh-CN" w:bidi="ar"/>
              </w:rPr>
              <w:t>并掌握抢救技能，如：心肺复苏（0.2分）。</w:t>
            </w:r>
          </w:p>
        </w:tc>
        <w:tc>
          <w:tcPr>
            <w:tcW w:w="760"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1192"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2.4.72.3</w:t>
            </w:r>
          </w:p>
        </w:tc>
        <w:tc>
          <w:tcPr>
            <w:tcW w:w="4988"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保障全院任何区域内均能及时提供紧急救治和生命支持服务。</w:t>
            </w:r>
          </w:p>
        </w:tc>
        <w:tc>
          <w:tcPr>
            <w:tcW w:w="1617"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Style w:val="29"/>
                <w:rFonts w:hint="eastAsia" w:ascii="仿宋_GB2312" w:hAnsi="仿宋_GB2312" w:eastAsia="仿宋_GB2312" w:cs="仿宋_GB2312"/>
                <w:color w:val="000000"/>
                <w:sz w:val="24"/>
                <w:szCs w:val="24"/>
                <w:highlight w:val="none"/>
                <w:lang w:val="en-US" w:eastAsia="zh-CN" w:bidi="ar"/>
              </w:rPr>
              <w:t>现场</w:t>
            </w:r>
            <w:r>
              <w:rPr>
                <w:rStyle w:val="30"/>
                <w:rFonts w:hint="eastAsia" w:ascii="仿宋_GB2312" w:hAnsi="仿宋_GB2312" w:eastAsia="仿宋_GB2312" w:cs="仿宋_GB2312"/>
                <w:color w:val="000000"/>
                <w:sz w:val="24"/>
                <w:szCs w:val="24"/>
                <w:highlight w:val="none"/>
                <w:lang w:val="en-US" w:eastAsia="zh-CN" w:bidi="ar"/>
              </w:rPr>
              <w:t>检查</w:t>
            </w:r>
            <w:r>
              <w:rPr>
                <w:rStyle w:val="29"/>
                <w:rFonts w:hint="eastAsia" w:ascii="仿宋_GB2312" w:hAnsi="仿宋_GB2312" w:eastAsia="仿宋_GB2312" w:cs="仿宋_GB2312"/>
                <w:color w:val="000000"/>
                <w:sz w:val="24"/>
                <w:szCs w:val="24"/>
                <w:highlight w:val="none"/>
                <w:lang w:val="en-US" w:eastAsia="zh-CN" w:bidi="ar"/>
              </w:rPr>
              <w:t>紧急救治能力覆盖全院区域（0.2分）。</w:t>
            </w:r>
          </w:p>
        </w:tc>
        <w:tc>
          <w:tcPr>
            <w:tcW w:w="76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0.2</w:t>
            </w:r>
          </w:p>
        </w:tc>
      </w:tr>
    </w:tbl>
    <w:p>
      <w:pPr>
        <w:pStyle w:val="5"/>
        <w:bidi w:val="0"/>
        <w:rPr>
          <w:rFonts w:hint="eastAsia"/>
          <w:color w:val="000000"/>
          <w:lang w:val="en-US" w:eastAsia="zh-CN"/>
        </w:rPr>
      </w:pPr>
    </w:p>
    <w:p>
      <w:pPr>
        <w:pStyle w:val="5"/>
        <w:bidi w:val="0"/>
        <w:rPr>
          <w:rFonts w:hint="eastAsia"/>
          <w:color w:val="000000"/>
          <w:lang w:val="en-US" w:eastAsia="zh-CN"/>
        </w:rPr>
      </w:pPr>
      <w:bookmarkStart w:id="167" w:name="_Toc29961"/>
    </w:p>
    <w:p>
      <w:pPr>
        <w:pStyle w:val="5"/>
        <w:bidi w:val="0"/>
        <w:rPr>
          <w:rFonts w:hint="eastAsia"/>
          <w:color w:val="000000"/>
          <w:lang w:val="en-US" w:eastAsia="zh-CN"/>
        </w:rPr>
      </w:pPr>
      <w:bookmarkStart w:id="168" w:name="_Toc23634"/>
      <w:r>
        <w:rPr>
          <w:rFonts w:hint="eastAsia"/>
          <w:color w:val="000000"/>
          <w:lang w:val="en-US" w:eastAsia="zh-CN"/>
        </w:rPr>
        <w:br w:type="page"/>
      </w:r>
      <w:r>
        <w:rPr>
          <w:rFonts w:hint="eastAsia"/>
          <w:color w:val="000000"/>
          <w:lang w:val="en-US" w:eastAsia="zh-CN"/>
        </w:rPr>
        <w:t>五、</w:t>
      </w:r>
      <w:r>
        <w:rPr>
          <w:rFonts w:hint="eastAsia"/>
          <w:color w:val="000000"/>
        </w:rPr>
        <w:t>诊疗质量保障与持续改进</w:t>
      </w:r>
      <w:r>
        <w:rPr>
          <w:rFonts w:hint="eastAsia"/>
          <w:color w:val="000000"/>
          <w:lang w:eastAsia="zh-CN"/>
        </w:rPr>
        <w:t>（</w:t>
      </w:r>
      <w:r>
        <w:rPr>
          <w:rFonts w:hint="eastAsia"/>
          <w:color w:val="000000"/>
          <w:lang w:val="en-US" w:eastAsia="zh-CN"/>
        </w:rPr>
        <w:t>27分</w:t>
      </w:r>
      <w:r>
        <w:rPr>
          <w:rFonts w:hint="eastAsia"/>
          <w:color w:val="000000"/>
          <w:lang w:eastAsia="zh-CN"/>
        </w:rPr>
        <w:t>）</w:t>
      </w:r>
      <w:bookmarkEnd w:id="167"/>
      <w:bookmarkEnd w:id="168"/>
      <w:r>
        <w:rPr>
          <w:rFonts w:hint="eastAsia"/>
          <w:color w:val="000000"/>
          <w:lang w:val="en-US" w:eastAsia="zh-CN"/>
        </w:rPr>
        <w:t xml:space="preserve"> </w:t>
      </w:r>
    </w:p>
    <w:tbl>
      <w:tblPr>
        <w:tblStyle w:val="14"/>
        <w:tblW w:w="14684"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02"/>
        <w:gridCol w:w="4878"/>
        <w:gridCol w:w="1617"/>
        <w:gridCol w:w="6136"/>
        <w:gridCol w:w="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trPr>
        <w:tc>
          <w:tcPr>
            <w:tcW w:w="6180" w:type="dxa"/>
            <w:gridSpan w:val="2"/>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评审指标细则</w:t>
            </w:r>
          </w:p>
        </w:tc>
        <w:tc>
          <w:tcPr>
            <w:tcW w:w="1617"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评审方法</w:t>
            </w:r>
          </w:p>
        </w:tc>
        <w:tc>
          <w:tcPr>
            <w:tcW w:w="6136"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评分细则</w:t>
            </w:r>
          </w:p>
        </w:tc>
        <w:tc>
          <w:tcPr>
            <w:tcW w:w="751"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3"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（七十三）门诊布局符合相关规定，能满足临床管理工作。建立门诊管理制度和工作流程、突发应急事件处置预案并组织实施（3分）。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2.5.73.1</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门诊布局注重“以患者为中心”的宗旨，并符合相关规定，能满足临床管理工作。</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1.医院门诊平面图，门诊分区布局符合规定（0.3分）；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bookmarkStart w:id="169" w:name="OLE_LINK2"/>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门诊</w:t>
            </w:r>
            <w:bookmarkEnd w:id="169"/>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药房、收费、辅助检查等功能区分布合理（0.3分）；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1"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3.门诊就诊发热病人设置在独立区域（0.3分）。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3"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2.5.73.2</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门诊入口应当通畅，有醒目的路标和标识，并设有救护车通道和专用停靠处。</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1.门诊诊室标识、指引路标清晰醒目（0.2分）；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2.有救护车通道和专用停车位（0.2分）；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3.有专人巡查，保持门诊入口和救护车通道通畅，专用车位不被其他车辆占用（0.2分）。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1"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2.5.73.3</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建立门诊管理制度和工作流程，并落实。</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1.制定有门诊管理制度和工作流程，并培训（0.2分）；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1"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2.员工知晓门诊管理制度和工作流程（0.2分）；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3.对制度流程执行情况，有职能部门监管记录（0.2分）。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2.5.73.4</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制定门诊突发应急事件处置预案并组织实施。</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1.制定门诊突发应急事件处置预案（0.3分）；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4"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2.有培训和演练记录（0.2分）；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9"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w:t>
            </w:r>
            <w:r>
              <w:rPr>
                <w:rStyle w:val="30"/>
                <w:rFonts w:hint="eastAsia" w:ascii="仿宋_GB2312" w:hAnsi="仿宋_GB2312" w:eastAsia="仿宋_GB2312" w:cs="仿宋_GB2312"/>
                <w:b w:val="0"/>
                <w:bCs w:val="0"/>
                <w:color w:val="000000"/>
                <w:sz w:val="24"/>
                <w:szCs w:val="24"/>
                <w:highlight w:val="none"/>
                <w:lang w:val="en-US" w:eastAsia="zh-CN" w:bidi="ar"/>
              </w:rPr>
              <w:t>员工知晓门诊突发应急事件处置预案内容</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7"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4.</w:t>
            </w:r>
            <w:r>
              <w:rPr>
                <w:rStyle w:val="30"/>
                <w:rFonts w:hint="eastAsia" w:ascii="仿宋_GB2312" w:hAnsi="仿宋_GB2312" w:eastAsia="仿宋_GB2312" w:cs="仿宋_GB2312"/>
                <w:b w:val="0"/>
                <w:bCs w:val="0"/>
                <w:color w:val="000000"/>
                <w:sz w:val="24"/>
                <w:szCs w:val="24"/>
                <w:highlight w:val="none"/>
                <w:lang w:val="en-US" w:eastAsia="zh-CN" w:bidi="ar"/>
              </w:rPr>
              <w:t>有预案规定的</w:t>
            </w:r>
            <w:r>
              <w:rPr>
                <w:rStyle w:val="29"/>
                <w:rFonts w:hint="eastAsia" w:ascii="仿宋_GB2312" w:hAnsi="仿宋_GB2312" w:eastAsia="仿宋_GB2312" w:cs="仿宋_GB2312"/>
                <w:b w:val="0"/>
                <w:bCs w:val="0"/>
                <w:color w:val="000000"/>
                <w:sz w:val="24"/>
                <w:szCs w:val="24"/>
                <w:highlight w:val="none"/>
                <w:lang w:val="en-US" w:eastAsia="zh-CN" w:bidi="ar"/>
              </w:rPr>
              <w:t>突发应急事件处置的记录（0.2分）。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4"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（七十四）加强门诊专业人员和技术力量配备，根据门诊就诊患者流量和突发事件调配医疗资源，做好资源调配。对门诊医务人员开展技术和技能专业培训（2分）。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2"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2.5.74.1</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根据门诊就诊患者流量配备适宜数量的门诊专业人员和技术力量，满足门诊患者医疗需求。</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w:t>
            </w:r>
            <w:r>
              <w:rPr>
                <w:rStyle w:val="30"/>
                <w:rFonts w:hint="eastAsia" w:ascii="仿宋_GB2312" w:hAnsi="仿宋_GB2312" w:eastAsia="仿宋_GB2312" w:cs="仿宋_GB2312"/>
                <w:b w:val="0"/>
                <w:bCs w:val="0"/>
                <w:color w:val="000000"/>
                <w:sz w:val="24"/>
                <w:szCs w:val="24"/>
                <w:highlight w:val="none"/>
                <w:lang w:val="en-US" w:eastAsia="zh-CN" w:bidi="ar"/>
              </w:rPr>
              <w:t>门诊岗位设置和固定岗位人员安排配备适宜（0.2分）；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2.患者等候时间在合理范围（0.2分）。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4"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2.5.74.2</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对门诊医务人员开展技术和技能专业培训。</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1.制定门诊人员技术和技能专业培训计划（0.2分）；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2.有门诊人员技术和技能专业培训记录（0.2分）；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6"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3.现场访谈和抽查员工操作熟悉相关技术和技能</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2"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2.5.74.3</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有针对门诊就诊患者流量变化及突发事件的人员、设备等医疗资源的调配机制及应急预案。</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1.制定调配相应机制和预案（0.2分）；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2.排班表上体现紧急调配人员的安排（</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3.实施紧急调配预案的记录完整（0.2分）。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2.5.74.4</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定期分析门诊流量和突发事件情况，及时调整门诊医疗资源配备。</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1.定期</w:t>
            </w:r>
            <w:r>
              <w:rPr>
                <w:rStyle w:val="28"/>
                <w:rFonts w:hint="eastAsia" w:ascii="仿宋_GB2312" w:hAnsi="仿宋_GB2312" w:eastAsia="仿宋_GB2312" w:cs="仿宋_GB2312"/>
                <w:b w:val="0"/>
                <w:bCs w:val="0"/>
                <w:color w:val="000000"/>
                <w:sz w:val="24"/>
                <w:szCs w:val="24"/>
                <w:highlight w:val="none"/>
                <w:lang w:val="en-US" w:eastAsia="zh-CN" w:bidi="ar"/>
              </w:rPr>
              <w:t>（至少每季度）</w:t>
            </w:r>
            <w:r>
              <w:rPr>
                <w:rStyle w:val="29"/>
                <w:rFonts w:hint="eastAsia" w:ascii="仿宋_GB2312" w:hAnsi="仿宋_GB2312" w:eastAsia="仿宋_GB2312" w:cs="仿宋_GB2312"/>
                <w:b w:val="0"/>
                <w:bCs w:val="0"/>
                <w:color w:val="000000"/>
                <w:sz w:val="24"/>
                <w:szCs w:val="24"/>
                <w:highlight w:val="none"/>
                <w:lang w:val="en-US" w:eastAsia="zh-CN" w:bidi="ar"/>
              </w:rPr>
              <w:t>分析门诊流量和突发事件情况（0.2分）；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4"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r>
              <w:rPr>
                <w:rStyle w:val="30"/>
                <w:rFonts w:hint="eastAsia" w:ascii="仿宋_GB2312" w:hAnsi="仿宋_GB2312" w:eastAsia="仿宋_GB2312" w:cs="仿宋_GB2312"/>
                <w:b w:val="0"/>
                <w:bCs w:val="0"/>
                <w:color w:val="000000"/>
                <w:sz w:val="24"/>
                <w:szCs w:val="24"/>
                <w:highlight w:val="none"/>
                <w:lang w:val="en-US" w:eastAsia="zh-CN" w:bidi="ar"/>
              </w:rPr>
              <w:t>有数据或案例体现根据流量和突发事件及时调整门诊医疗资源配备</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3"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（七十五）实行预检分诊制度，门诊规范设置预检分诊场所，完善预检分诊流程（2.1分）。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2.5.75.1</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制定预检分诊制度，完善预检分诊流程，对急症患者进行分级管理，实施分类救治。</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1.制定预检分诊制度和流程，并培训（0.2分）；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2.急症患者实施分级管理（0.2分）；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9"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3.预检分诊人员熟悉制度和流程（0.2分）。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2.5.75.2</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通过预检，有效分诊疑似传染病、发热等患者。</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1.有传染病、发热患者预检分诊流程（0.2分）；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2.设置预检分诊点，严格实施传染病、发热患者预检分诊（0.2分）；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8"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3.现场查看，发现传染病、发热患者未经预检分诊直接到专科就诊的，本项不得分（0.2分）。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2.5.75.3</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规范设置预检分诊场所，通风良好，相对独立，标识导向醒目易懂。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1.预检分诊点位置相对独立，通风良好（0.1分）；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2.预检分诊点设在门诊患者必经道路，标识导向醒目易懂（0.2分）。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5"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2.5.75.4</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分诊台有消毒隔离条件和必要的防护用品，工作人员采取必要的防护措施，有快速鉴别病情的相关医疗设备。</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1.分诊台有消毒隔离和个人防护用品清单（0.2分）；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0"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2.消毒隔离物品和个人防护用品配备齐全（0.2分）；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3.有快速鉴别病情的相关医疗设备（0.2分）。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（七十六）把门诊工作质量纳入临床各科室质量管理范围，作为考核科室和医务人员的重要内容（1分）。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4"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2.5.76.1</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把门诊工作质量纳入临床各科室质量管理范围。</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1.设立门诊质量指标，并纳入临床各科室质量管理指标（0.3分）；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2.职能部门有督导、总结、分析、反馈（0.2分）。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6"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2.5.76.2</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把门诊工作质量作为考核科室和医务人员的重要内容。</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1.科室对门诊工作质量有自查、分析、整改措施并落实；（0.3分）；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2.门诊工作质量与科室、个人绩效考核成绩挂钩（0.2分）。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1"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（七十七）有急危重症患者“绿色通道”。建立院内急救与住院或转诊的连贯性医疗服务流程，并定期进行评价和持续改进。（2.3分）。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2.5.77.1</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建立针对急危重患者的住院（含处置）和转诊的绿色通道机制，提供院内急救与住院或转诊的连贯性医疗服务，包括但不限于涉及病种、流程、财务和标识等内容。</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1.制定急危重症患者绿色通道相关制度和流程（0.2分）；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2.制度、流程涵盖院内急救与住院或转诊等全过程。涉及病种、流程、财务和标识等内容</w:t>
            </w:r>
            <w:r>
              <w:rPr>
                <w:rStyle w:val="28"/>
                <w:rFonts w:hint="eastAsia" w:ascii="仿宋_GB2312" w:hAnsi="仿宋_GB2312" w:eastAsia="仿宋_GB2312" w:cs="仿宋_GB2312"/>
                <w:b w:val="0"/>
                <w:bCs w:val="0"/>
                <w:color w:val="000000"/>
                <w:sz w:val="24"/>
                <w:szCs w:val="24"/>
                <w:highlight w:val="none"/>
                <w:lang w:val="en-US" w:eastAsia="zh-CN" w:bidi="ar"/>
              </w:rPr>
              <w:t>（0.3分）；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3.绿色通道符合设置要求</w:t>
            </w:r>
            <w:r>
              <w:rPr>
                <w:rStyle w:val="28"/>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9"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2.5.77.2</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员工知晓绿色通道的实施范围及流程，并落实。</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1.开展急救绿色通道相关制度和流程培训（</w:t>
            </w:r>
            <w:r>
              <w:rPr>
                <w:rStyle w:val="30"/>
                <w:rFonts w:hint="eastAsia" w:ascii="仿宋_GB2312" w:hAnsi="仿宋_GB2312" w:eastAsia="仿宋_GB2312" w:cs="仿宋_GB2312"/>
                <w:b w:val="0"/>
                <w:bCs w:val="0"/>
                <w:color w:val="000000"/>
                <w:sz w:val="24"/>
                <w:szCs w:val="24"/>
                <w:highlight w:val="none"/>
                <w:lang w:val="en-US" w:eastAsia="zh-CN" w:bidi="ar"/>
              </w:rPr>
              <w:t>0.1分）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2.员工知晓相关制度和流程内容</w:t>
            </w:r>
            <w:r>
              <w:rPr>
                <w:rStyle w:val="28"/>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3.有妥善处理特殊人员（如“三无”人员）的诊疗流程（0.1分）。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5"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2.5.77.3</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有为急危重症患者住院备床、备手术室的机制，定期调整备床数量，满足急危重症患者住院及手术需求。</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r>
              <w:rPr>
                <w:rStyle w:val="30"/>
                <w:rFonts w:hint="eastAsia" w:ascii="仿宋_GB2312" w:hAnsi="仿宋_GB2312" w:eastAsia="仿宋_GB2312" w:cs="仿宋_GB2312"/>
                <w:b w:val="0"/>
                <w:bCs w:val="0"/>
                <w:color w:val="000000"/>
                <w:sz w:val="24"/>
                <w:szCs w:val="24"/>
                <w:highlight w:val="none"/>
                <w:lang w:val="en-US" w:eastAsia="zh-CN" w:bidi="ar"/>
              </w:rPr>
              <w:t>有为</w:t>
            </w:r>
            <w:r>
              <w:rPr>
                <w:rStyle w:val="29"/>
                <w:rFonts w:hint="eastAsia" w:ascii="仿宋_GB2312" w:hAnsi="仿宋_GB2312" w:eastAsia="仿宋_GB2312" w:cs="仿宋_GB2312"/>
                <w:b w:val="0"/>
                <w:bCs w:val="0"/>
                <w:color w:val="000000"/>
                <w:sz w:val="24"/>
                <w:szCs w:val="24"/>
                <w:highlight w:val="none"/>
                <w:lang w:val="en-US" w:eastAsia="zh-CN" w:bidi="ar"/>
              </w:rPr>
              <w:t>急危重症患者住院备床、备手术室</w:t>
            </w:r>
            <w:r>
              <w:rPr>
                <w:rStyle w:val="30"/>
                <w:rFonts w:hint="eastAsia" w:ascii="仿宋_GB2312" w:hAnsi="仿宋_GB2312" w:eastAsia="仿宋_GB2312" w:cs="仿宋_GB2312"/>
                <w:b w:val="0"/>
                <w:bCs w:val="0"/>
                <w:color w:val="000000"/>
                <w:sz w:val="24"/>
                <w:szCs w:val="24"/>
                <w:highlight w:val="none"/>
                <w:lang w:val="en-US" w:eastAsia="zh-CN" w:bidi="ar"/>
              </w:rPr>
              <w:t>的机制</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2.皮肤科急危重症病房每日病床使用率不超过100%（0.2分）；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4"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3.手术间每日使用率不超过100%（0.2分）。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2.5.77.4</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定期对“绿色通道”和医疗服务流程的连贯性、时效性进行汇总、分析，反馈并持续改进。</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1.设立皮肤科急危重症病房，并配置相应急救设备和抢救药品（0.2分）；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302"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4878" w:type="dxa"/>
            <w:vMerge w:val="continue"/>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2.绿色通道的登记管理资料完整（0.1分）；</w:t>
            </w:r>
          </w:p>
        </w:tc>
        <w:tc>
          <w:tcPr>
            <w:tcW w:w="751"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tcPr>
            <w:tcW w:w="1302"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4878" w:type="dxa"/>
            <w:vMerge w:val="continue"/>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3.科室有自查、分析、整改措施并落实（0.2分）；</w:t>
            </w:r>
          </w:p>
        </w:tc>
        <w:tc>
          <w:tcPr>
            <w:tcW w:w="751"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1302"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4878" w:type="dxa"/>
            <w:vMerge w:val="continue"/>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4.职能部门有督导、总结、分析、反馈（0.2分）；</w:t>
            </w:r>
          </w:p>
        </w:tc>
        <w:tc>
          <w:tcPr>
            <w:tcW w:w="751"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trPr>
        <w:tc>
          <w:tcPr>
            <w:tcW w:w="1302"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4878" w:type="dxa"/>
            <w:vMerge w:val="continue"/>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5.有数据或案例体现持续改进绿色通道（0.1分）。</w:t>
            </w:r>
          </w:p>
        </w:tc>
        <w:tc>
          <w:tcPr>
            <w:tcW w:w="751"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8"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（七十八）优化门诊服务，实施多种形式的预约诊疗服务，逐步提高患者预约就诊比例。及时公开出诊信息。开展多学科诊疗，方便患者就医（1.5分）。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4"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2.5.78.1</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实施多种形式的预约诊疗服务，逐步提高患者预约就诊比例。</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记录查看</w:t>
            </w:r>
          </w:p>
          <w:p>
            <w:pPr>
              <w:keepNext w:val="0"/>
              <w:keepLines w:val="0"/>
              <w:widowControl/>
              <w:suppressLineNumbers w:val="0"/>
              <w:jc w:val="center"/>
              <w:textAlignment w:val="center"/>
              <w:rPr>
                <w:rStyle w:val="32"/>
                <w:rFonts w:hint="eastAsia" w:ascii="仿宋_GB2312" w:hAnsi="仿宋_GB2312" w:eastAsia="仿宋_GB2312" w:cs="仿宋_GB2312"/>
                <w:b w:val="0"/>
                <w:bCs w:val="0"/>
                <w:color w:val="000000"/>
                <w:sz w:val="24"/>
                <w:szCs w:val="24"/>
                <w:highlight w:val="none"/>
                <w:lang w:val="en-US" w:eastAsia="zh-CN" w:bidi="ar"/>
              </w:rPr>
            </w:pPr>
            <w:r>
              <w:rPr>
                <w:rStyle w:val="32"/>
                <w:rFonts w:hint="eastAsia" w:ascii="仿宋_GB2312" w:hAnsi="仿宋_GB2312" w:eastAsia="仿宋_GB2312" w:cs="仿宋_GB2312"/>
                <w:b w:val="0"/>
                <w:bCs w:val="0"/>
                <w:color w:val="000000"/>
                <w:sz w:val="24"/>
                <w:szCs w:val="24"/>
                <w:highlight w:val="none"/>
                <w:lang w:val="en-US" w:eastAsia="zh-CN" w:bidi="ar"/>
              </w:rPr>
              <w:t>访谈患者</w:t>
            </w:r>
          </w:p>
          <w:p>
            <w:pPr>
              <w:keepNext w:val="0"/>
              <w:keepLines w:val="0"/>
              <w:widowControl/>
              <w:suppressLineNumbers w:val="0"/>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1.提供电话、网络、现场、诊间等至少两种形式的预约诊疗服务（0.2分）；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0"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2.进行定期统计分析，体现患者预约就诊比例逐步提高（0.2分）；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3.访谈患者及其家属知晓多种预约诊疗服务途径（0.2分）。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9"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2.5.78.2</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及时公开出诊信息。</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r>
              <w:rPr>
                <w:rStyle w:val="38"/>
                <w:rFonts w:hint="eastAsia" w:ascii="仿宋_GB2312" w:hAnsi="仿宋_GB2312" w:eastAsia="仿宋_GB2312" w:cs="仿宋_GB2312"/>
                <w:b w:val="0"/>
                <w:bCs w:val="0"/>
                <w:color w:val="000000"/>
                <w:sz w:val="24"/>
                <w:szCs w:val="24"/>
                <w:highlight w:val="none"/>
                <w:lang w:val="en-US" w:eastAsia="zh-CN" w:bidi="ar"/>
              </w:rPr>
              <w:t>医院有在线上线下及时公开</w:t>
            </w:r>
            <w:r>
              <w:rPr>
                <w:rStyle w:val="39"/>
                <w:rFonts w:hint="eastAsia" w:ascii="仿宋_GB2312" w:hAnsi="仿宋_GB2312" w:eastAsia="仿宋_GB2312" w:cs="仿宋_GB2312"/>
                <w:b w:val="0"/>
                <w:bCs w:val="0"/>
                <w:color w:val="000000"/>
                <w:sz w:val="24"/>
                <w:szCs w:val="24"/>
                <w:highlight w:val="none"/>
                <w:lang w:val="en-US" w:eastAsia="zh-CN" w:bidi="ar"/>
              </w:rPr>
              <w:t>出诊信息（包括出诊时间、医师信息等）</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8"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r>
              <w:rPr>
                <w:rStyle w:val="28"/>
                <w:rFonts w:hint="eastAsia" w:ascii="仿宋_GB2312" w:hAnsi="仿宋_GB2312" w:eastAsia="仿宋_GB2312" w:cs="仿宋_GB2312"/>
                <w:b w:val="0"/>
                <w:bCs w:val="0"/>
                <w:color w:val="000000"/>
                <w:sz w:val="24"/>
                <w:szCs w:val="24"/>
                <w:highlight w:val="none"/>
                <w:lang w:val="en-US" w:eastAsia="zh-CN" w:bidi="ar"/>
              </w:rPr>
              <w:t>及时</w:t>
            </w:r>
            <w:r>
              <w:rPr>
                <w:rStyle w:val="29"/>
                <w:rFonts w:hint="eastAsia" w:ascii="仿宋_GB2312" w:hAnsi="仿宋_GB2312" w:eastAsia="仿宋_GB2312" w:cs="仿宋_GB2312"/>
                <w:b w:val="0"/>
                <w:bCs w:val="0"/>
                <w:color w:val="000000"/>
                <w:sz w:val="24"/>
                <w:szCs w:val="24"/>
                <w:highlight w:val="none"/>
                <w:lang w:val="en-US" w:eastAsia="zh-CN" w:bidi="ar"/>
              </w:rPr>
              <w:t>更新出诊人员的基本信息（0.1分）。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2.5.78.3</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开展多学科诊疗，有多学科诊疗的规范流程，提高患者就医质量。</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1.制定多学科诊疗的制度、流程（0.1分）；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2.有实施多学科会诊的案例（0.1分）。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2.5.78.4</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优化门诊服务，有明确的服务流程、质量指标，定期分析，持续改进。</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1.有门诊服务流程（0.1分）；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1"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2.制定门诊服务质量指标（0.1分）；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3.定期</w:t>
            </w:r>
            <w:r>
              <w:rPr>
                <w:rStyle w:val="28"/>
                <w:rFonts w:hint="eastAsia" w:ascii="仿宋_GB2312" w:hAnsi="仿宋_GB2312" w:eastAsia="仿宋_GB2312" w:cs="仿宋_GB2312"/>
                <w:b w:val="0"/>
                <w:bCs w:val="0"/>
                <w:color w:val="000000"/>
                <w:sz w:val="24"/>
                <w:szCs w:val="24"/>
                <w:highlight w:val="none"/>
                <w:lang w:val="en-US" w:eastAsia="zh-CN" w:bidi="ar"/>
              </w:rPr>
              <w:t>（每月）</w:t>
            </w:r>
            <w:r>
              <w:rPr>
                <w:rStyle w:val="29"/>
                <w:rFonts w:hint="eastAsia" w:ascii="仿宋_GB2312" w:hAnsi="仿宋_GB2312" w:eastAsia="仿宋_GB2312" w:cs="仿宋_GB2312"/>
                <w:b w:val="0"/>
                <w:bCs w:val="0"/>
                <w:color w:val="000000"/>
                <w:sz w:val="24"/>
                <w:szCs w:val="24"/>
                <w:highlight w:val="none"/>
                <w:lang w:val="en-US" w:eastAsia="zh-CN" w:bidi="ar"/>
              </w:rPr>
              <w:t>分析质量指标完成情况（0.1分）；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4.体现持续改进（0.1分）。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（七十九）优化就诊环境。就诊环境清洁、舒适、安全。为患者提供就诊接待、引导、咨询服务。门诊候诊区、医技部门等均有清晰、规范、醒目、易懂的标识（1分）。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4"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2.5.79.1</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优化就诊环境，就诊环境清洁、舒适、安全，定期检查，及时维护。</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1.制定有</w:t>
            </w:r>
            <w:r>
              <w:rPr>
                <w:rStyle w:val="38"/>
                <w:rFonts w:hint="eastAsia" w:ascii="仿宋_GB2312" w:hAnsi="仿宋_GB2312" w:eastAsia="仿宋_GB2312" w:cs="仿宋_GB2312"/>
                <w:b w:val="0"/>
                <w:bCs w:val="0"/>
                <w:color w:val="000000"/>
                <w:sz w:val="24"/>
                <w:szCs w:val="24"/>
                <w:highlight w:val="none"/>
                <w:lang w:val="en-US" w:eastAsia="zh-CN" w:bidi="ar"/>
              </w:rPr>
              <w:t>医院就诊环境管理规定</w:t>
            </w:r>
            <w:r>
              <w:rPr>
                <w:rStyle w:val="29"/>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2.科室有自查、分析、整改措施并落实</w:t>
            </w:r>
            <w:r>
              <w:rPr>
                <w:rStyle w:val="28"/>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3.职能部门有定期进行检查、分析、反馈，并督导整改措施的落实</w:t>
            </w:r>
            <w:r>
              <w:rPr>
                <w:rStyle w:val="28"/>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6"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2.5.79.2</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有就诊环境质量的量化标准，统一落实，提升环境舒适性。</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w:t>
            </w:r>
            <w:r>
              <w:rPr>
                <w:rStyle w:val="38"/>
                <w:rFonts w:hint="eastAsia" w:ascii="仿宋_GB2312" w:hAnsi="仿宋_GB2312" w:eastAsia="仿宋_GB2312" w:cs="仿宋_GB2312"/>
                <w:b w:val="0"/>
                <w:bCs w:val="0"/>
                <w:color w:val="000000"/>
                <w:sz w:val="24"/>
                <w:szCs w:val="24"/>
                <w:highlight w:val="none"/>
                <w:lang w:val="en-US" w:eastAsia="zh-CN" w:bidi="ar"/>
              </w:rPr>
              <w:t>有</w:t>
            </w:r>
            <w:r>
              <w:rPr>
                <w:rStyle w:val="29"/>
                <w:rFonts w:hint="eastAsia" w:ascii="仿宋_GB2312" w:hAnsi="仿宋_GB2312" w:eastAsia="仿宋_GB2312" w:cs="仿宋_GB2312"/>
                <w:b w:val="0"/>
                <w:bCs w:val="0"/>
                <w:color w:val="000000"/>
                <w:sz w:val="24"/>
                <w:szCs w:val="24"/>
                <w:highlight w:val="none"/>
                <w:lang w:val="en-US" w:eastAsia="zh-CN" w:bidi="ar"/>
              </w:rPr>
              <w:t>就诊环境质量的量化</w:t>
            </w:r>
            <w:r>
              <w:rPr>
                <w:rStyle w:val="38"/>
                <w:rFonts w:hint="eastAsia" w:ascii="仿宋_GB2312" w:hAnsi="仿宋_GB2312" w:eastAsia="仿宋_GB2312" w:cs="仿宋_GB2312"/>
                <w:b w:val="0"/>
                <w:bCs w:val="0"/>
                <w:color w:val="000000"/>
                <w:sz w:val="24"/>
                <w:szCs w:val="24"/>
                <w:highlight w:val="none"/>
                <w:lang w:val="en-US" w:eastAsia="zh-CN" w:bidi="ar"/>
              </w:rPr>
              <w:t>指标</w:t>
            </w:r>
            <w:r>
              <w:rPr>
                <w:rStyle w:val="29"/>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2.严格按照环境质量标准进行分析评价，记录完整（0.1分）；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7"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3.员工知晓环境质量标准（0.1分）。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13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2.5.79.3</w:t>
            </w:r>
          </w:p>
        </w:tc>
        <w:tc>
          <w:tcPr>
            <w:tcW w:w="48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为患者提供就诊接待、引导、咨询服务。</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1.设置服务台，提供就诊接待、引导、咨询服务（0.1分）；</w:t>
            </w:r>
          </w:p>
        </w:tc>
        <w:tc>
          <w:tcPr>
            <w:tcW w:w="75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7" w:hRule="atLeast"/>
        </w:trPr>
        <w:tc>
          <w:tcPr>
            <w:tcW w:w="13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2.服务台工作人员主动</w:t>
            </w:r>
            <w:r>
              <w:rPr>
                <w:rStyle w:val="38"/>
                <w:rFonts w:hint="eastAsia" w:ascii="仿宋_GB2312" w:hAnsi="仿宋_GB2312" w:eastAsia="仿宋_GB2312" w:cs="仿宋_GB2312"/>
                <w:b w:val="0"/>
                <w:bCs w:val="0"/>
                <w:color w:val="000000"/>
                <w:sz w:val="24"/>
                <w:szCs w:val="24"/>
                <w:highlight w:val="none"/>
                <w:lang w:val="en-US" w:eastAsia="zh-CN" w:bidi="ar"/>
              </w:rPr>
              <w:t>提供</w:t>
            </w:r>
            <w:r>
              <w:rPr>
                <w:rStyle w:val="29"/>
                <w:rFonts w:hint="eastAsia" w:ascii="仿宋_GB2312" w:hAnsi="仿宋_GB2312" w:eastAsia="仿宋_GB2312" w:cs="仿宋_GB2312"/>
                <w:b w:val="0"/>
                <w:bCs w:val="0"/>
                <w:color w:val="000000"/>
                <w:sz w:val="24"/>
                <w:szCs w:val="24"/>
                <w:highlight w:val="none"/>
                <w:lang w:val="en-US" w:eastAsia="zh-CN" w:bidi="ar"/>
              </w:rPr>
              <w:t>服务（0.1分）。</w:t>
            </w:r>
          </w:p>
        </w:tc>
        <w:tc>
          <w:tcPr>
            <w:tcW w:w="75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0"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2.5.79.4</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门诊候诊区、医技部门等均有清晰、规范、醒目、易懂的标识。</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1.门诊候诊区、医技部门设有规范的标识（0.1分）；</w:t>
            </w:r>
          </w:p>
        </w:tc>
        <w:tc>
          <w:tcPr>
            <w:tcW w:w="7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1" w:hRule="atLeast"/>
        </w:trPr>
        <w:tc>
          <w:tcPr>
            <w:tcW w:w="130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2.标识醒目、易懂、指向清晰（0.1分）。</w:t>
            </w:r>
          </w:p>
        </w:tc>
        <w:tc>
          <w:tcPr>
            <w:tcW w:w="7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trPr>
        <w:tc>
          <w:tcPr>
            <w:tcW w:w="14684" w:type="dxa"/>
            <w:gridSpan w:val="5"/>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（八十）完善患者入院、出院、转科、转院服务管理工作制度和标准，为患者入院制定合理、便捷的相关制度与流程。加强转科、转院患者的交接管理（1.5分）。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2.5.80.1</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有患者入院、出院、转科、转院服务管理工作制度及流程。</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1.有患者入院、出院、转科、转院服务管理工作制度及流程（0.2分）；</w:t>
            </w:r>
          </w:p>
        </w:tc>
        <w:tc>
          <w:tcPr>
            <w:tcW w:w="7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30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8"/>
                <w:rFonts w:hint="eastAsia" w:ascii="仿宋_GB2312" w:hAnsi="仿宋_GB2312" w:eastAsia="仿宋_GB2312" w:cs="仿宋_GB2312"/>
                <w:b w:val="0"/>
                <w:bCs w:val="0"/>
                <w:color w:val="000000"/>
                <w:sz w:val="24"/>
                <w:szCs w:val="24"/>
                <w:highlight w:val="none"/>
                <w:lang w:val="en-US" w:eastAsia="zh-CN" w:bidi="ar"/>
              </w:rPr>
              <w:t>员工</w:t>
            </w:r>
            <w:r>
              <w:rPr>
                <w:rStyle w:val="29"/>
                <w:rFonts w:hint="eastAsia" w:ascii="仿宋_GB2312" w:hAnsi="仿宋_GB2312" w:eastAsia="仿宋_GB2312" w:cs="仿宋_GB2312"/>
                <w:b w:val="0"/>
                <w:bCs w:val="0"/>
                <w:color w:val="000000"/>
                <w:sz w:val="24"/>
                <w:szCs w:val="24"/>
                <w:highlight w:val="none"/>
                <w:lang w:val="en-US" w:eastAsia="zh-CN" w:bidi="ar"/>
              </w:rPr>
              <w:t>知晓入院、出院、转科、转院流程（0.1分）。</w:t>
            </w:r>
          </w:p>
        </w:tc>
        <w:tc>
          <w:tcPr>
            <w:tcW w:w="7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trPr>
        <w:tc>
          <w:tcPr>
            <w:tcW w:w="13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2.5.80.2</w:t>
            </w:r>
          </w:p>
        </w:tc>
        <w:tc>
          <w:tcPr>
            <w:tcW w:w="48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患者转运前，有医护人员根据病情、转运时间、方式等因素，完成转运风险评估，对在转运中可能出现的风险进行防范；对生命体征不稳定或可能出现不稳定的患者，有医护人员陪同转运，有生命体征监护或维持的设备帮助患者转运。</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病案检查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38"/>
                <w:rFonts w:hint="eastAsia" w:ascii="仿宋_GB2312" w:hAnsi="仿宋_GB2312" w:eastAsia="仿宋_GB2312" w:cs="仿宋_GB2312"/>
                <w:b w:val="0"/>
                <w:bCs w:val="0"/>
                <w:color w:val="000000"/>
                <w:sz w:val="24"/>
                <w:szCs w:val="24"/>
                <w:highlight w:val="none"/>
                <w:lang w:val="en-US" w:eastAsia="zh-CN" w:bidi="ar"/>
              </w:rPr>
              <w:t>现场检查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1.查看患者转运风险评估内容完整，评估到位（0.2分）；</w:t>
            </w:r>
          </w:p>
        </w:tc>
        <w:tc>
          <w:tcPr>
            <w:tcW w:w="75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 w:hRule="atLeast"/>
        </w:trPr>
        <w:tc>
          <w:tcPr>
            <w:tcW w:w="13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2.对生命体征不稳定或可能出现不稳定的患者，有医护人员陪同转运，有生命体征监护或维持的设备帮助患者转运</w:t>
            </w:r>
            <w:r>
              <w:rPr>
                <w:rStyle w:val="40"/>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2.5.80.3</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有定期的流程检查评估，确保流程通畅和连贯，保障患者安全。</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w:t>
            </w:r>
            <w:r>
              <w:rPr>
                <w:rStyle w:val="30"/>
                <w:rFonts w:hint="eastAsia" w:ascii="仿宋_GB2312" w:hAnsi="仿宋_GB2312" w:eastAsia="仿宋_GB2312" w:cs="仿宋_GB2312"/>
                <w:b w:val="0"/>
                <w:bCs w:val="0"/>
                <w:color w:val="000000"/>
                <w:sz w:val="24"/>
                <w:szCs w:val="24"/>
                <w:highlight w:val="none"/>
                <w:lang w:val="en-US" w:eastAsia="zh-CN" w:bidi="ar"/>
              </w:rPr>
              <w:t>职能部门至少</w:t>
            </w:r>
            <w:r>
              <w:rPr>
                <w:rStyle w:val="40"/>
                <w:rFonts w:hint="eastAsia" w:ascii="仿宋_GB2312" w:hAnsi="仿宋_GB2312" w:eastAsia="仿宋_GB2312" w:cs="仿宋_GB2312"/>
                <w:b w:val="0"/>
                <w:bCs w:val="0"/>
                <w:color w:val="000000"/>
                <w:sz w:val="24"/>
                <w:szCs w:val="24"/>
                <w:highlight w:val="none"/>
                <w:lang w:val="en-US" w:eastAsia="zh-CN" w:bidi="ar"/>
              </w:rPr>
              <w:t>每年一次</w:t>
            </w:r>
            <w:r>
              <w:rPr>
                <w:rStyle w:val="29"/>
                <w:rFonts w:hint="eastAsia" w:ascii="仿宋_GB2312" w:hAnsi="仿宋_GB2312" w:eastAsia="仿宋_GB2312" w:cs="仿宋_GB2312"/>
                <w:b w:val="0"/>
                <w:bCs w:val="0"/>
                <w:color w:val="000000"/>
                <w:sz w:val="24"/>
                <w:szCs w:val="24"/>
                <w:highlight w:val="none"/>
                <w:lang w:val="en-US" w:eastAsia="zh-CN" w:bidi="ar"/>
              </w:rPr>
              <w:t>对转运流程进行检查、评估（0.2分）；</w:t>
            </w:r>
          </w:p>
        </w:tc>
        <w:tc>
          <w:tcPr>
            <w:tcW w:w="7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130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2.针对存在问题有整改措施并落实，体现持续改进（0.1分）。</w:t>
            </w:r>
          </w:p>
        </w:tc>
        <w:tc>
          <w:tcPr>
            <w:tcW w:w="7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7"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2.5.80.4</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为急症患者入院制订合理、便捷的制度与流程。</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1.有急症患者入院</w:t>
            </w:r>
            <w:r>
              <w:rPr>
                <w:rStyle w:val="35"/>
                <w:rFonts w:hint="eastAsia" w:ascii="仿宋_GB2312" w:hAnsi="仿宋_GB2312" w:eastAsia="仿宋_GB2312" w:cs="仿宋_GB2312"/>
                <w:b w:val="0"/>
                <w:bCs w:val="0"/>
                <w:color w:val="000000"/>
                <w:sz w:val="24"/>
                <w:szCs w:val="24"/>
                <w:highlight w:val="none"/>
                <w:lang w:val="en-US" w:eastAsia="zh-CN" w:bidi="ar"/>
              </w:rPr>
              <w:t>制度和流程</w:t>
            </w:r>
            <w:r>
              <w:rPr>
                <w:rStyle w:val="29"/>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8" w:hRule="atLeast"/>
        </w:trPr>
        <w:tc>
          <w:tcPr>
            <w:tcW w:w="130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5"/>
                <w:rFonts w:hint="eastAsia" w:ascii="仿宋_GB2312" w:hAnsi="仿宋_GB2312" w:eastAsia="仿宋_GB2312" w:cs="仿宋_GB2312"/>
                <w:b w:val="0"/>
                <w:bCs w:val="0"/>
                <w:color w:val="000000"/>
                <w:sz w:val="24"/>
                <w:szCs w:val="24"/>
                <w:highlight w:val="none"/>
                <w:lang w:val="en-US" w:eastAsia="zh-CN" w:bidi="ar"/>
              </w:rPr>
              <w:t>员工</w:t>
            </w:r>
            <w:r>
              <w:rPr>
                <w:rStyle w:val="29"/>
                <w:rFonts w:hint="eastAsia" w:ascii="仿宋_GB2312" w:hAnsi="仿宋_GB2312" w:eastAsia="仿宋_GB2312" w:cs="仿宋_GB2312"/>
                <w:b w:val="0"/>
                <w:bCs w:val="0"/>
                <w:color w:val="000000"/>
                <w:sz w:val="24"/>
                <w:szCs w:val="24"/>
                <w:highlight w:val="none"/>
                <w:lang w:val="en-US" w:eastAsia="zh-CN" w:bidi="ar"/>
              </w:rPr>
              <w:t>知晓相</w:t>
            </w:r>
            <w:r>
              <w:rPr>
                <w:rStyle w:val="30"/>
                <w:rFonts w:hint="eastAsia" w:ascii="仿宋_GB2312" w:hAnsi="仿宋_GB2312" w:eastAsia="仿宋_GB2312" w:cs="仿宋_GB2312"/>
                <w:b w:val="0"/>
                <w:bCs w:val="0"/>
                <w:color w:val="000000"/>
                <w:sz w:val="24"/>
                <w:szCs w:val="24"/>
                <w:highlight w:val="none"/>
                <w:lang w:val="en-US" w:eastAsia="zh-CN" w:bidi="ar"/>
              </w:rPr>
              <w:t>关制度和流程</w:t>
            </w:r>
            <w:r>
              <w:rPr>
                <w:rStyle w:val="29"/>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6"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2.5.80.5</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加强转科、转院患者的交接管理，有交接流程和交接清单，过程有记录，可追溯。</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1.有转科、转院患者的交接管理、交接流程规定（0.2分）；</w:t>
            </w:r>
          </w:p>
        </w:tc>
        <w:tc>
          <w:tcPr>
            <w:tcW w:w="7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6" w:hRule="atLeast"/>
        </w:trPr>
        <w:tc>
          <w:tcPr>
            <w:tcW w:w="130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2.交接清单记录完整，过程有记录，可追溯（0.1分）；</w:t>
            </w:r>
          </w:p>
        </w:tc>
        <w:tc>
          <w:tcPr>
            <w:tcW w:w="7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trPr>
        <w:tc>
          <w:tcPr>
            <w:tcW w:w="130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3.员工知晓交接流程及需记录的内容（0.1分）。</w:t>
            </w:r>
          </w:p>
        </w:tc>
        <w:tc>
          <w:tcPr>
            <w:tcW w:w="7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8" w:hRule="atLeast"/>
        </w:trPr>
        <w:tc>
          <w:tcPr>
            <w:tcW w:w="14684"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35"/>
                <w:rFonts w:hint="eastAsia" w:ascii="仿宋_GB2312" w:hAnsi="仿宋_GB2312" w:eastAsia="仿宋_GB2312" w:cs="仿宋_GB2312"/>
                <w:b w:val="0"/>
                <w:bCs w:val="0"/>
                <w:color w:val="000000"/>
                <w:sz w:val="24"/>
                <w:szCs w:val="24"/>
                <w:highlight w:val="none"/>
                <w:lang w:val="en-US" w:eastAsia="zh-CN" w:bidi="ar"/>
              </w:rPr>
              <w:t>（八十一）</w:t>
            </w:r>
            <w:r>
              <w:rPr>
                <w:rStyle w:val="28"/>
                <w:rFonts w:hint="eastAsia" w:ascii="仿宋_GB2312" w:hAnsi="仿宋_GB2312" w:eastAsia="仿宋_GB2312" w:cs="仿宋_GB2312"/>
                <w:b w:val="0"/>
                <w:bCs w:val="0"/>
                <w:color w:val="000000"/>
                <w:sz w:val="24"/>
                <w:szCs w:val="24"/>
                <w:highlight w:val="none"/>
                <w:lang w:val="en-US" w:eastAsia="zh-CN" w:bidi="ar"/>
              </w:rPr>
              <w:t>有为老年人就医提供方便，对老年人就医予以优先的举措</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（1分）</w:t>
            </w:r>
            <w:r>
              <w:rPr>
                <w:rStyle w:val="28"/>
                <w:rFonts w:hint="eastAsia" w:ascii="仿宋_GB2312" w:hAnsi="仿宋_GB2312" w:eastAsia="仿宋_GB2312" w:cs="仿宋_GB2312"/>
                <w:b w:val="0"/>
                <w:bCs w:val="0"/>
                <w:color w:val="000000"/>
                <w:sz w:val="24"/>
                <w:szCs w:val="24"/>
                <w:highlight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5"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2.5.81.1</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有构建适老化就医环境的举措，优化老年人进入医疗机构的预检流程。</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pStyle w:val="2"/>
              <w:rPr>
                <w:rFonts w:hint="default"/>
                <w:color w:val="000000"/>
                <w:sz w:val="24"/>
                <w:szCs w:val="24"/>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8"/>
                <w:rFonts w:hint="eastAsia" w:ascii="仿宋_GB2312" w:hAnsi="仿宋_GB2312" w:eastAsia="仿宋_GB2312" w:cs="仿宋_GB2312"/>
                <w:b w:val="0"/>
                <w:bCs w:val="0"/>
                <w:color w:val="000000"/>
                <w:sz w:val="24"/>
                <w:szCs w:val="24"/>
                <w:highlight w:val="none"/>
                <w:lang w:val="en-US" w:eastAsia="zh-CN" w:bidi="ar"/>
              </w:rPr>
              <w:t>1.制定有为老年人就医提供方便的</w:t>
            </w:r>
            <w:r>
              <w:rPr>
                <w:rStyle w:val="35"/>
                <w:rFonts w:hint="eastAsia" w:ascii="仿宋_GB2312" w:hAnsi="仿宋_GB2312" w:eastAsia="仿宋_GB2312" w:cs="仿宋_GB2312"/>
                <w:b w:val="0"/>
                <w:bCs w:val="0"/>
                <w:color w:val="000000"/>
                <w:sz w:val="24"/>
                <w:szCs w:val="24"/>
                <w:highlight w:val="none"/>
                <w:lang w:val="en-US" w:eastAsia="zh-CN" w:bidi="ar"/>
              </w:rPr>
              <w:t>相关规定</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9"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2.有构建适老化就医环境的举措，包括不限于：设置老年人快速就诊通道、人工查验通道、老年患者优先服务窗口等</w:t>
            </w:r>
            <w:r>
              <w:rPr>
                <w:rStyle w:val="35"/>
                <w:rFonts w:hint="eastAsia" w:ascii="仿宋_GB2312" w:hAnsi="仿宋_GB2312" w:eastAsia="仿宋_GB2312" w:cs="仿宋_GB2312"/>
                <w:b w:val="0"/>
                <w:bCs w:val="0"/>
                <w:color w:val="000000"/>
                <w:sz w:val="24"/>
                <w:szCs w:val="24"/>
                <w:highlight w:val="none"/>
                <w:lang w:val="en-US" w:eastAsia="zh-CN" w:bidi="ar"/>
              </w:rPr>
              <w:t>设备设施</w:t>
            </w:r>
            <w:r>
              <w:rPr>
                <w:rStyle w:val="28"/>
                <w:rFonts w:hint="eastAsia" w:ascii="仿宋_GB2312" w:hAnsi="仿宋_GB2312" w:eastAsia="仿宋_GB2312" w:cs="仿宋_GB2312"/>
                <w:b w:val="0"/>
                <w:bCs w:val="0"/>
                <w:color w:val="000000"/>
                <w:sz w:val="24"/>
                <w:szCs w:val="24"/>
                <w:highlight w:val="none"/>
                <w:lang w:val="en-US" w:eastAsia="zh-CN" w:bidi="ar"/>
              </w:rPr>
              <w:t>（0.3分）。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2.5.81.2</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有提供多渠道预约挂号服务，提供方便老年人预约挂号的方式，优化线上线下服务流程。</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1.提供多渠道挂号，有方便老年人预约挂号的方式，实现了诊室、电话、网络、自助机、现场等多种预约挂号方式（0.2分）；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2.安排志愿者为老年患者提供咨询、引导、导诊、挂号等服务，有效引导老年人挂号、就诊或达指定区域（0.3分）。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35"/>
                <w:rFonts w:hint="eastAsia" w:ascii="仿宋_GB2312" w:hAnsi="仿宋_GB2312" w:eastAsia="仿宋_GB2312" w:cs="仿宋_GB2312"/>
                <w:b w:val="0"/>
                <w:bCs w:val="0"/>
                <w:color w:val="000000"/>
                <w:sz w:val="24"/>
                <w:szCs w:val="24"/>
                <w:highlight w:val="none"/>
                <w:lang w:val="en-US" w:eastAsia="zh-CN" w:bidi="ar"/>
              </w:rPr>
              <w:t>（八十二）</w:t>
            </w:r>
            <w:r>
              <w:rPr>
                <w:rStyle w:val="29"/>
                <w:rFonts w:hint="eastAsia" w:ascii="仿宋_GB2312" w:hAnsi="仿宋_GB2312" w:eastAsia="仿宋_GB2312" w:cs="仿宋_GB2312"/>
                <w:b w:val="0"/>
                <w:bCs w:val="0"/>
                <w:color w:val="000000"/>
                <w:sz w:val="24"/>
                <w:szCs w:val="24"/>
                <w:highlight w:val="none"/>
                <w:lang w:val="en-US" w:eastAsia="zh-CN" w:bidi="ar"/>
              </w:rPr>
              <w:t>加强出院患者健康教育，为出院患者提供规范的出院医嘱和康复指导意见，建立出院患者随访制度并组织实施</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r>
              <w:rPr>
                <w:rFonts w:hint="default" w:ascii="仿宋_GB2312" w:hAnsi="仿宋_GB2312" w:eastAsia="仿宋_GB2312" w:cs="仿宋_GB2312"/>
                <w:b w:val="0"/>
                <w:bCs w:val="0"/>
                <w:i w:val="0"/>
                <w:iCs w:val="0"/>
                <w:color w:val="000000"/>
                <w:kern w:val="0"/>
                <w:sz w:val="24"/>
                <w:szCs w:val="24"/>
                <w:highlight w:val="none"/>
                <w:u w:val="none"/>
                <w:lang w:eastAsia="zh-CN" w:bidi="ar"/>
              </w:rPr>
              <w:t>6</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分）</w:t>
            </w:r>
            <w:r>
              <w:rPr>
                <w:rStyle w:val="29"/>
                <w:rFonts w:hint="eastAsia" w:ascii="仿宋_GB2312" w:hAnsi="仿宋_GB2312" w:eastAsia="仿宋_GB2312" w:cs="仿宋_GB2312"/>
                <w:b w:val="0"/>
                <w:bCs w:val="0"/>
                <w:color w:val="000000"/>
                <w:sz w:val="24"/>
                <w:szCs w:val="24"/>
                <w:highlight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2.5.82.1</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加强出院患者健康教育，普及相关健康知识。</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1.制定科室常见疾病健康教育规范（0.3分）；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9"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2.为出院患者进行健康教育（0.2分）。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2"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2.5.82.2</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为出院患者提供规范的出院医嘱和康复指导意见，在出院记录中体现。</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1.根据不同疾病制定规范的出院医嘱和康复指导意见（0.3分）；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w:t>
            </w:r>
            <w:r>
              <w:rPr>
                <w:rFonts w:hint="default" w:ascii="仿宋_GB2312" w:hAnsi="仿宋_GB2312" w:eastAsia="仿宋_GB2312" w:cs="仿宋_GB2312"/>
                <w:b w:val="0"/>
                <w:bCs w:val="0"/>
                <w:i w:val="0"/>
                <w:iCs w:val="0"/>
                <w:color w:val="000000"/>
                <w:kern w:val="0"/>
                <w:sz w:val="24"/>
                <w:szCs w:val="24"/>
                <w:highlight w:val="none"/>
                <w:u w:val="none"/>
                <w:lang w:eastAsia="zh-CN"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2.出院记录中有出院医嘱或康复指导意见（0.2分）。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1"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2.5.82.3</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建立出院患者随访制度并组织实施，有患者随访记录，便于医务人员医疗服务流程和医疗措施的持续改进。</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1.有出院患者随访制度（0.2分）；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8"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2.按时进行出院患者随访、有完整记录（0.2分）；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4"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30"/>
                <w:rFonts w:hint="eastAsia" w:ascii="仿宋_GB2312" w:hAnsi="仿宋_GB2312" w:eastAsia="仿宋_GB2312" w:cs="仿宋_GB2312"/>
                <w:b w:val="0"/>
                <w:bCs w:val="0"/>
                <w:color w:val="000000"/>
                <w:sz w:val="24"/>
                <w:szCs w:val="24"/>
                <w:highlight w:val="none"/>
                <w:lang w:val="en-US" w:eastAsia="zh-CN" w:bidi="ar"/>
              </w:rPr>
              <w:t>3.定期对患者反馈的意见进行总结分析，持续改进医疗服务流程和医疗措施</w:t>
            </w:r>
            <w:r>
              <w:rPr>
                <w:rStyle w:val="28"/>
                <w:rFonts w:hint="eastAsia" w:ascii="仿宋_GB2312" w:hAnsi="仿宋_GB2312" w:eastAsia="仿宋_GB2312" w:cs="仿宋_GB2312"/>
                <w:b w:val="0"/>
                <w:bCs w:val="0"/>
                <w:color w:val="000000"/>
                <w:sz w:val="24"/>
                <w:szCs w:val="24"/>
                <w:highlight w:val="none"/>
                <w:lang w:val="en-US" w:eastAsia="zh-CN" w:bidi="ar"/>
              </w:rPr>
              <w:t>（至少每半年一次）</w:t>
            </w:r>
            <w:r>
              <w:rPr>
                <w:rStyle w:val="30"/>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5"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八十三）建立各专科常见疾病的临床诊疗规范和技术操作流程，由具有法定资质的医务人员按照制度、程序、规范和流程对患者进行疾病诊断、评估并制定诊疗计划。对疑难危重患者、恶性肿瘤患者，实施必要的多学科评估和综合诊疗（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3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2.5.83.1</w:t>
            </w:r>
          </w:p>
        </w:tc>
        <w:tc>
          <w:tcPr>
            <w:tcW w:w="48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根据</w:t>
            </w:r>
            <w:r>
              <w:rPr>
                <w:rStyle w:val="28"/>
                <w:rFonts w:hint="eastAsia" w:ascii="仿宋_GB2312" w:hAnsi="仿宋_GB2312" w:eastAsia="仿宋_GB2312" w:cs="仿宋_GB2312"/>
                <w:b w:val="0"/>
                <w:bCs w:val="0"/>
                <w:color w:val="000000"/>
                <w:sz w:val="24"/>
                <w:szCs w:val="24"/>
                <w:highlight w:val="none"/>
                <w:lang w:val="en-US" w:eastAsia="zh-CN" w:bidi="ar"/>
              </w:rPr>
              <w:t>法律法规</w:t>
            </w:r>
            <w:r>
              <w:rPr>
                <w:rStyle w:val="29"/>
                <w:rFonts w:hint="eastAsia" w:ascii="仿宋_GB2312" w:hAnsi="仿宋_GB2312" w:eastAsia="仿宋_GB2312" w:cs="仿宋_GB2312"/>
                <w:b w:val="0"/>
                <w:bCs w:val="0"/>
                <w:color w:val="000000"/>
                <w:sz w:val="24"/>
                <w:szCs w:val="24"/>
                <w:highlight w:val="none"/>
                <w:lang w:val="en-US" w:eastAsia="zh-CN" w:bidi="ar"/>
              </w:rPr>
              <w:t>和行业指南，建立临床各科室常见疾病的诊疗规范和技术操作流程，员工知晓并落实。</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1.制定各科室常见疾病的诊疗规范和技术操作流程（0.2分）；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3" w:hRule="atLeast"/>
        </w:trPr>
        <w:tc>
          <w:tcPr>
            <w:tcW w:w="13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2.培训记录完整（0.2分）；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13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3.员工</w:t>
            </w:r>
            <w:r>
              <w:rPr>
                <w:rStyle w:val="28"/>
                <w:rFonts w:hint="eastAsia" w:ascii="仿宋_GB2312" w:hAnsi="仿宋_GB2312" w:eastAsia="仿宋_GB2312" w:cs="仿宋_GB2312"/>
                <w:b w:val="0"/>
                <w:bCs w:val="0"/>
                <w:color w:val="000000"/>
                <w:sz w:val="24"/>
                <w:szCs w:val="24"/>
                <w:highlight w:val="none"/>
                <w:lang w:val="en-US" w:eastAsia="zh-CN" w:bidi="ar"/>
              </w:rPr>
              <w:t>知晓</w:t>
            </w:r>
            <w:r>
              <w:rPr>
                <w:rStyle w:val="29"/>
                <w:rFonts w:hint="eastAsia" w:ascii="仿宋_GB2312" w:hAnsi="仿宋_GB2312" w:eastAsia="仿宋_GB2312" w:cs="仿宋_GB2312"/>
                <w:b w:val="0"/>
                <w:bCs w:val="0"/>
                <w:color w:val="000000"/>
                <w:sz w:val="24"/>
                <w:szCs w:val="24"/>
                <w:highlight w:val="none"/>
                <w:lang w:val="en-US" w:eastAsia="zh-CN" w:bidi="ar"/>
              </w:rPr>
              <w:t>专科的诊疗规范和技术操作流程</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3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2.5.83.2</w:t>
            </w:r>
          </w:p>
        </w:tc>
        <w:tc>
          <w:tcPr>
            <w:tcW w:w="48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诊疗规范和操作流程包含必要的患者评估内容。</w:t>
            </w:r>
          </w:p>
        </w:tc>
        <w:tc>
          <w:tcPr>
            <w:tcW w:w="161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查阅</w:t>
            </w:r>
            <w:r>
              <w:rPr>
                <w:rStyle w:val="32"/>
                <w:rFonts w:hint="eastAsia" w:ascii="仿宋_GB2312" w:hAnsi="仿宋_GB2312" w:eastAsia="仿宋_GB2312" w:cs="仿宋_GB2312"/>
                <w:b w:val="0"/>
                <w:bCs w:val="0"/>
                <w:color w:val="000000"/>
                <w:sz w:val="24"/>
                <w:szCs w:val="24"/>
                <w:highlight w:val="none"/>
                <w:lang w:val="en-US" w:eastAsia="zh-CN" w:bidi="ar"/>
              </w:rPr>
              <w:t>病例，在</w:t>
            </w:r>
            <w:r>
              <w:rPr>
                <w:rStyle w:val="29"/>
                <w:rFonts w:hint="eastAsia" w:ascii="仿宋_GB2312" w:hAnsi="仿宋_GB2312" w:eastAsia="仿宋_GB2312" w:cs="仿宋_GB2312"/>
                <w:b w:val="0"/>
                <w:bCs w:val="0"/>
                <w:color w:val="000000"/>
                <w:sz w:val="24"/>
                <w:szCs w:val="24"/>
                <w:highlight w:val="none"/>
                <w:lang w:val="en-US" w:eastAsia="zh-CN" w:bidi="ar"/>
              </w:rPr>
              <w:t>手术、麻醉、有创操作等</w:t>
            </w:r>
            <w:r>
              <w:rPr>
                <w:rStyle w:val="32"/>
                <w:rFonts w:hint="eastAsia" w:ascii="仿宋_GB2312" w:hAnsi="仿宋_GB2312" w:eastAsia="仿宋_GB2312" w:cs="仿宋_GB2312"/>
                <w:b w:val="0"/>
                <w:bCs w:val="0"/>
                <w:color w:val="000000"/>
                <w:sz w:val="24"/>
                <w:szCs w:val="24"/>
                <w:highlight w:val="none"/>
                <w:lang w:val="en-US" w:eastAsia="zh-CN" w:bidi="ar"/>
              </w:rPr>
              <w:t>诊疗规范和操作前，有对</w:t>
            </w:r>
            <w:r>
              <w:rPr>
                <w:rStyle w:val="29"/>
                <w:rFonts w:hint="eastAsia" w:ascii="仿宋_GB2312" w:hAnsi="仿宋_GB2312" w:eastAsia="仿宋_GB2312" w:cs="仿宋_GB2312"/>
                <w:b w:val="0"/>
                <w:bCs w:val="0"/>
                <w:color w:val="000000"/>
                <w:sz w:val="24"/>
                <w:szCs w:val="24"/>
                <w:highlight w:val="none"/>
                <w:lang w:val="en-US" w:eastAsia="zh-CN" w:bidi="ar"/>
              </w:rPr>
              <w:t>患者实</w:t>
            </w:r>
            <w:r>
              <w:rPr>
                <w:rStyle w:val="32"/>
                <w:rFonts w:hint="eastAsia" w:ascii="仿宋_GB2312" w:hAnsi="仿宋_GB2312" w:eastAsia="仿宋_GB2312" w:cs="仿宋_GB2312"/>
                <w:b w:val="0"/>
                <w:bCs w:val="0"/>
                <w:color w:val="000000"/>
                <w:sz w:val="24"/>
                <w:szCs w:val="24"/>
                <w:highlight w:val="none"/>
                <w:lang w:val="en-US" w:eastAsia="zh-CN" w:bidi="ar"/>
              </w:rPr>
              <w:t>施病情、风险、预后等必要的评</w:t>
            </w:r>
            <w:r>
              <w:rPr>
                <w:rStyle w:val="29"/>
                <w:rFonts w:hint="eastAsia" w:ascii="仿宋_GB2312" w:hAnsi="仿宋_GB2312" w:eastAsia="仿宋_GB2312" w:cs="仿宋_GB2312"/>
                <w:b w:val="0"/>
                <w:bCs w:val="0"/>
                <w:color w:val="000000"/>
                <w:sz w:val="24"/>
                <w:szCs w:val="24"/>
                <w:highlight w:val="none"/>
                <w:lang w:val="en-US" w:eastAsia="zh-CN" w:bidi="ar"/>
              </w:rPr>
              <w:t>估（</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51"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2.5.83.3</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根据法律法规和行业指南的变化，及时更新各科室的诊疗规范和技术操作流程</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1.科室有根据法律法规和行业指南的变化，定期对现行的各科室的诊疗规范和技术操作流程进行评估（0.1分）；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2.及时更新各科室的诊疗规范和技术操作流程（0.1分）。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trPr>
        <w:tc>
          <w:tcPr>
            <w:tcW w:w="13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2.5.83.4</w:t>
            </w:r>
          </w:p>
        </w:tc>
        <w:tc>
          <w:tcPr>
            <w:tcW w:w="48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由具有法定资质的医务人员按照制度、程序、规范和流程对患者进行疾病诊断、评估并制定诊疗计划。</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1.抽查病历中诊疗计划与制定的规范相符</w:t>
            </w:r>
            <w:r>
              <w:rPr>
                <w:rStyle w:val="40"/>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trPr>
        <w:tc>
          <w:tcPr>
            <w:tcW w:w="13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2.对患者进行疾病诊断、评估和制定诊疗计划的医务人员具有法定资质</w:t>
            </w:r>
            <w:r>
              <w:rPr>
                <w:rStyle w:val="40"/>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3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2.5.83.5</w:t>
            </w:r>
          </w:p>
        </w:tc>
        <w:tc>
          <w:tcPr>
            <w:tcW w:w="48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对疑难危重患者、恶性肿瘤患者实施必要的多学科评估和综合诊疗。</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1.有实施多学科会诊的制度，明确实施的病种范围（0.1分）；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6" w:hRule="atLeast"/>
        </w:trPr>
        <w:tc>
          <w:tcPr>
            <w:tcW w:w="1302"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2.职能部门对多学科会诊有监管记录（0.1分）；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302"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3.病历中体现</w:t>
            </w:r>
            <w:r>
              <w:rPr>
                <w:rStyle w:val="38"/>
                <w:rFonts w:hint="eastAsia" w:ascii="仿宋_GB2312" w:hAnsi="仿宋_GB2312" w:eastAsia="仿宋_GB2312" w:cs="仿宋_GB2312"/>
                <w:b w:val="0"/>
                <w:bCs w:val="0"/>
                <w:color w:val="000000"/>
                <w:sz w:val="24"/>
                <w:szCs w:val="24"/>
                <w:highlight w:val="none"/>
                <w:lang w:val="en-US" w:eastAsia="zh-CN" w:bidi="ar"/>
              </w:rPr>
              <w:t>对疑难危重患者、恶性肿瘤患者</w:t>
            </w:r>
            <w:r>
              <w:rPr>
                <w:rStyle w:val="29"/>
                <w:rFonts w:hint="eastAsia" w:ascii="仿宋_GB2312" w:hAnsi="仿宋_GB2312" w:eastAsia="仿宋_GB2312" w:cs="仿宋_GB2312"/>
                <w:b w:val="0"/>
                <w:bCs w:val="0"/>
                <w:color w:val="000000"/>
                <w:sz w:val="24"/>
                <w:szCs w:val="24"/>
                <w:highlight w:val="none"/>
                <w:lang w:val="en-US" w:eastAsia="zh-CN" w:bidi="ar"/>
              </w:rPr>
              <w:t>实施多学科诊疗（0.1分）。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8" w:hRule="atLeast"/>
        </w:trPr>
        <w:tc>
          <w:tcPr>
            <w:tcW w:w="14684" w:type="dxa"/>
            <w:gridSpan w:val="5"/>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（八十四）对住院患者实施饮食营养指导，提供营养配餐和治疗饮食指导服务，满足患者治疗需要（0.5分）。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2.5.84.1</w:t>
            </w:r>
          </w:p>
        </w:tc>
        <w:tc>
          <w:tcPr>
            <w:tcW w:w="48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开展住院患者饮食营养指导工作，了解患者营养状况。依据皮肤病饮食特点对住院患者进行饮食营养指导，并定期对其效果开展评价。提供营养配餐和治疗饮食指导服务，满足患者治疗需要。</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2"/>
                <w:sz w:val="24"/>
                <w:szCs w:val="24"/>
                <w:highlight w:val="none"/>
                <w:u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1.制定有住院患者实施饮食营养指导制度（0.2分）；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sz w:val="24"/>
                <w:szCs w:val="24"/>
                <w:highlight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sz w:val="24"/>
                <w:szCs w:val="24"/>
                <w:highlight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sz w:val="24"/>
                <w:szCs w:val="24"/>
                <w:highlight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2"/>
                <w:sz w:val="24"/>
                <w:szCs w:val="24"/>
                <w:highlight w:val="none"/>
                <w:u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2.明确住院患者实施饮食营养指导责任人（0.1分）；</w:t>
            </w:r>
          </w:p>
        </w:tc>
        <w:tc>
          <w:tcPr>
            <w:tcW w:w="751" w:type="dxa"/>
            <w:vMerge w:val="continue"/>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2"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2"/>
                <w:sz w:val="24"/>
                <w:szCs w:val="24"/>
                <w:highlight w:val="none"/>
                <w:u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3.落实饮食营养指导至少包括营养风险筛查、诊疗活动对机体营养状态的影响，机体营养状态对诊疗活动的耐受力（0.1分）；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2"/>
                <w:sz w:val="24"/>
                <w:szCs w:val="24"/>
                <w:highlight w:val="none"/>
                <w:u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4.定期对住院患者进行饮食营养指导工作的总结分析（0.1分）。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9" w:hRule="atLeast"/>
        </w:trPr>
        <w:tc>
          <w:tcPr>
            <w:tcW w:w="14684" w:type="dxa"/>
            <w:gridSpan w:val="5"/>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（八十五）实施手术患者评估制度，合理制订诊疗和手术方案。建立重大手术报告审批制度，有手术管理措施，保障手术安全（1分）。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7"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2.5.85.1</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建立手术患者评估制度，在患者评估的基础上，完成手术患者的术前讨论，合理制定手术方案。</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r>
              <w:rPr>
                <w:rStyle w:val="30"/>
                <w:rFonts w:hint="eastAsia" w:ascii="仿宋_GB2312" w:hAnsi="仿宋_GB2312" w:eastAsia="仿宋_GB2312" w:cs="仿宋_GB2312"/>
                <w:b w:val="0"/>
                <w:bCs w:val="0"/>
                <w:color w:val="000000"/>
                <w:sz w:val="24"/>
                <w:szCs w:val="24"/>
                <w:highlight w:val="none"/>
                <w:lang w:val="en-US" w:eastAsia="zh-CN" w:bidi="ar"/>
              </w:rPr>
              <w:t>.建立和实施</w:t>
            </w:r>
            <w:r>
              <w:rPr>
                <w:rStyle w:val="29"/>
                <w:rFonts w:hint="eastAsia" w:ascii="仿宋_GB2312" w:hAnsi="仿宋_GB2312" w:eastAsia="仿宋_GB2312" w:cs="仿宋_GB2312"/>
                <w:b w:val="0"/>
                <w:bCs w:val="0"/>
                <w:color w:val="000000"/>
                <w:sz w:val="24"/>
                <w:szCs w:val="24"/>
                <w:highlight w:val="none"/>
                <w:lang w:val="en-US" w:eastAsia="zh-CN" w:bidi="ar"/>
              </w:rPr>
              <w:t>手术患者评估制度（0.1分）；</w:t>
            </w:r>
          </w:p>
        </w:tc>
        <w:tc>
          <w:tcPr>
            <w:tcW w:w="7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3"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2.每例手术（急诊手术、病理手术除外）均实行术前讨论，记录存入病历中（0.1分）；</w:t>
            </w:r>
          </w:p>
        </w:tc>
        <w:tc>
          <w:tcPr>
            <w:tcW w:w="7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4"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3.手术讨论时制定明确手术方案（0.1分）。</w:t>
            </w:r>
          </w:p>
        </w:tc>
        <w:tc>
          <w:tcPr>
            <w:tcW w:w="7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2.5.85.2</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患者评估内容包括但不限于疾病、重要脏器功能和患者心理、经济、社会因素等。</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1.评估内容包括但不限于疾病、重要脏器功能和患者心理、经济、社会因素等（0.1分）；</w:t>
            </w:r>
          </w:p>
        </w:tc>
        <w:tc>
          <w:tcPr>
            <w:tcW w:w="7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2.病案检查体现每份病历手术患者评估内容完整（0.1分）。</w:t>
            </w:r>
          </w:p>
        </w:tc>
        <w:tc>
          <w:tcPr>
            <w:tcW w:w="7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8" w:hRule="atLeast"/>
        </w:trPr>
        <w:tc>
          <w:tcPr>
            <w:tcW w:w="130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2.5.85.3</w:t>
            </w:r>
          </w:p>
        </w:tc>
        <w:tc>
          <w:tcPr>
            <w:tcW w:w="487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建立并严格落实重大手术报告审批制度和流程，明确重大手术的范围，员工知晓。</w:t>
            </w:r>
          </w:p>
        </w:tc>
        <w:tc>
          <w:tcPr>
            <w:tcW w:w="161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1.建立并严格落实重大手术报告审批制度和流程（0.1分）；</w:t>
            </w:r>
          </w:p>
        </w:tc>
        <w:tc>
          <w:tcPr>
            <w:tcW w:w="7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2.明确规定重大手术的范围，并有重大手术的目录（0.1分）；</w:t>
            </w:r>
          </w:p>
        </w:tc>
        <w:tc>
          <w:tcPr>
            <w:tcW w:w="7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9"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3.外科医师知晓重大手术的范围和审批流程（0.1分）；</w:t>
            </w:r>
          </w:p>
        </w:tc>
        <w:tc>
          <w:tcPr>
            <w:tcW w:w="7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4.审批资料完整，无违规案例（0.1分）；</w:t>
            </w:r>
          </w:p>
        </w:tc>
        <w:tc>
          <w:tcPr>
            <w:tcW w:w="7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130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5.职能部门至少每季度开展督查，分析，发现的问题及时反馈（0.1分）。</w:t>
            </w:r>
          </w:p>
        </w:tc>
        <w:tc>
          <w:tcPr>
            <w:tcW w:w="7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14684"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(八十六)手术的全过程情况，术后注意事项，手术后治疗、观察与护理情况及时、准确地记入病历；住院患者手术的离体组织必须做病理学检查，明确术后诊断（1.5分）。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4" w:hRule="atLeast"/>
        </w:trPr>
        <w:tc>
          <w:tcPr>
            <w:tcW w:w="13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2.5.86.1</w:t>
            </w:r>
          </w:p>
        </w:tc>
        <w:tc>
          <w:tcPr>
            <w:tcW w:w="48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手术的全过程情况准确地记入病历，手术记录由手术主刀医师完成。明确规定何种特殊情况下可由一助完成手术记录，由一助完成手术记录的，手术主刀医生有审核签名。</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1.手术主刀医师在术后24小时内完成手术记录（0.1分）；</w:t>
            </w:r>
          </w:p>
        </w:tc>
        <w:tc>
          <w:tcPr>
            <w:tcW w:w="75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3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2.有明确规定在何种特殊情况下手术记录可由一助完成，但必须经过手术主刀医生有审核签名（0.1分）；</w:t>
            </w:r>
          </w:p>
        </w:tc>
        <w:tc>
          <w:tcPr>
            <w:tcW w:w="75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13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3.职能部门至少每季度督查、分析、反馈并落实整改</w:t>
            </w:r>
            <w:r>
              <w:rPr>
                <w:rStyle w:val="28"/>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1" w:hRule="atLeast"/>
        </w:trPr>
        <w:tc>
          <w:tcPr>
            <w:tcW w:w="13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4.现</w:t>
            </w:r>
            <w:r>
              <w:rPr>
                <w:rStyle w:val="30"/>
                <w:rFonts w:hint="eastAsia" w:ascii="仿宋_GB2312" w:hAnsi="仿宋_GB2312" w:eastAsia="仿宋_GB2312" w:cs="仿宋_GB2312"/>
                <w:b w:val="0"/>
                <w:bCs w:val="0"/>
                <w:color w:val="000000"/>
                <w:sz w:val="24"/>
                <w:szCs w:val="24"/>
                <w:highlight w:val="none"/>
                <w:lang w:val="en-US" w:eastAsia="zh-CN" w:bidi="ar"/>
              </w:rPr>
              <w:t>场病案检查</w:t>
            </w:r>
            <w:r>
              <w:rPr>
                <w:rStyle w:val="29"/>
                <w:rFonts w:hint="eastAsia" w:ascii="仿宋_GB2312" w:hAnsi="仿宋_GB2312" w:eastAsia="仿宋_GB2312" w:cs="仿宋_GB2312"/>
                <w:b w:val="0"/>
                <w:bCs w:val="0"/>
                <w:color w:val="000000"/>
                <w:sz w:val="24"/>
                <w:szCs w:val="24"/>
                <w:highlight w:val="none"/>
                <w:lang w:val="en-US" w:eastAsia="zh-CN" w:bidi="ar"/>
              </w:rPr>
              <w:t>手术记录及时、完整，合格率100%（0.05分）。</w:t>
            </w:r>
          </w:p>
        </w:tc>
        <w:tc>
          <w:tcPr>
            <w:tcW w:w="75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2.5.86.2</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术后首次病程记录中注明术后治疗计划、注意事项，并落实。</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1.按《病历书写基本规范》要求及时书写术后首次病程记录（0.1分）；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2.术后首次病程记录中注明术后治疗计划、注意事项（0.1分）；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3.职能部门至少每季度督查、分析、反馈并落实整改</w:t>
            </w:r>
            <w:r>
              <w:rPr>
                <w:rStyle w:val="28"/>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3"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w:t>
            </w:r>
            <w:r>
              <w:rPr>
                <w:rStyle w:val="30"/>
                <w:rFonts w:hint="eastAsia" w:ascii="仿宋_GB2312" w:hAnsi="仿宋_GB2312" w:eastAsia="仿宋_GB2312" w:cs="仿宋_GB2312"/>
                <w:b w:val="0"/>
                <w:bCs w:val="0"/>
                <w:color w:val="000000"/>
                <w:sz w:val="24"/>
                <w:szCs w:val="24"/>
                <w:highlight w:val="none"/>
                <w:lang w:val="en-US" w:eastAsia="zh-CN" w:bidi="ar"/>
              </w:rPr>
              <w:t>现场病案检查</w:t>
            </w:r>
            <w:r>
              <w:rPr>
                <w:rStyle w:val="29"/>
                <w:rFonts w:hint="eastAsia" w:ascii="仿宋_GB2312" w:hAnsi="仿宋_GB2312" w:eastAsia="仿宋_GB2312" w:cs="仿宋_GB2312"/>
                <w:b w:val="0"/>
                <w:bCs w:val="0"/>
                <w:color w:val="000000"/>
                <w:sz w:val="24"/>
                <w:szCs w:val="24"/>
                <w:highlight w:val="none"/>
                <w:lang w:val="en-US" w:eastAsia="zh-CN" w:bidi="ar"/>
              </w:rPr>
              <w:t>术后首次病程记录合格率100%（0.05分）。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1"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2.5.86.3</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术后及时、规范记录手术后治疗、观察病情变化、手术效果、护理过程等情况。</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1.制定患者术后医疗、护理和其他服务计划（0.1分）；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2.由手术医师或由手术者授权委托的医师开具手术后医嘱（0.1分）；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3.术后密切观察患者病情，及时评估手术效果，观察手术并发症（0.1分）；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4.每位患者手术后的术后治疗措施、病情变化、手术效果、护理过程等情况均记录在病历中（0.1分）。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3"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2.5.86.4</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住院患者手术的离体组织必须做病理学检查，明确术后诊断。</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1.对住院患者手术后标本的病理学检查有明确的规定与流程（0.1分）；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2"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2.住院患者手术后标本病理诊断报告应及时记录在病历中，当病理检查及术后诊断不一致时，应进行讨论（0.1分）；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3.职能部门至少每季度督查、分析、反馈并落实整改0.1分）；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4"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4.住院患者手术离体组织送检率100%（0.1分）。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4"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八十七)完善日间手术质量安全管理制度和评估工作机制。制定并向社会公开本院日间手术病种和技术目录，明确手术适应证范围、麻醉方式、主要风险。加强日间手术病历管理，重视日间手术患者宣教和随访（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2.5.87.1</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完善日间手术质量安全管理制度和评估工作机制，指定部门负责日间手术管理。</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1.有日间手术质量安全管理制度和评估工作机制（0.2分）；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2.指定部门负责日间手术管理（0.1分）；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3.职能部门至少每季度督查、分析总结、反馈、落实整改</w:t>
            </w:r>
            <w:r>
              <w:rPr>
                <w:rStyle w:val="28"/>
                <w:rFonts w:hint="eastAsia" w:ascii="仿宋_GB2312" w:hAnsi="仿宋_GB2312" w:eastAsia="仿宋_GB2312" w:cs="仿宋_GB2312"/>
                <w:b w:val="0"/>
                <w:bCs w:val="0"/>
                <w:color w:val="000000"/>
                <w:sz w:val="24"/>
                <w:szCs w:val="24"/>
                <w:highlight w:val="none"/>
                <w:lang w:val="en-US" w:eastAsia="zh-CN" w:bidi="ar"/>
              </w:rPr>
              <w:t>（0.1分）</w:t>
            </w:r>
            <w:r>
              <w:rPr>
                <w:rStyle w:val="30"/>
                <w:rFonts w:hint="eastAsia" w:ascii="仿宋_GB2312" w:hAnsi="仿宋_GB2312" w:eastAsia="仿宋_GB2312" w:cs="仿宋_GB2312"/>
                <w:b w:val="0"/>
                <w:bCs w:val="0"/>
                <w:color w:val="000000"/>
                <w:sz w:val="24"/>
                <w:szCs w:val="24"/>
                <w:highlight w:val="none"/>
                <w:lang w:val="en-US" w:eastAsia="zh-CN" w:bidi="ar"/>
              </w:rPr>
              <w:t>。</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9"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2.5.87.2</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制定并向社会公开本院日间手术病种和技术目录。</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1.根据国家日间手术目录和医院实际情况制定本院日间手术病种和技术目录（0.1分）；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2.日间手术病种目录向社会公示 （0.1分）。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4"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2.5.87.3</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制定日间手术操作规范，明确日间手术的适应证范围、麻醉方式。</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1.制定日间手术操作规范，明确日间手术的适应证范围、麻醉方式，对外科医师进行培训（0.1分）；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8"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2.外科医师知晓日间手术操作规范、适应证、麻醉方式等（0.1分）；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5"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3.无违规开展日间手术（0.1分）。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9"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2.5.87.4</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加强日间手术病历管理，重视日间手术患者宣教和随访，有随访记录，可追溯。</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1.制定日间手术病历书写规范并培训（0.1分）；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2.按照书写规范认真书写日间手术病历（0.1分）；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6"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3.实施日间手术患者宣教和随访，有随访记录（0.1分）。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2.5.87.5</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制订相应的日间手术质控指标，定期评估日间手术病种和技术的风险。</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1.制订日间手术质控指标（0.1分）；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4"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2.定期</w:t>
            </w:r>
            <w:r>
              <w:rPr>
                <w:rStyle w:val="28"/>
                <w:rFonts w:hint="eastAsia" w:ascii="仿宋_GB2312" w:hAnsi="仿宋_GB2312" w:eastAsia="仿宋_GB2312" w:cs="仿宋_GB2312"/>
                <w:b w:val="0"/>
                <w:bCs w:val="0"/>
                <w:color w:val="000000"/>
                <w:sz w:val="24"/>
                <w:szCs w:val="24"/>
                <w:highlight w:val="none"/>
                <w:lang w:val="en-US" w:eastAsia="zh-CN" w:bidi="ar"/>
              </w:rPr>
              <w:t>（至少每季度）</w:t>
            </w:r>
            <w:r>
              <w:rPr>
                <w:rStyle w:val="29"/>
                <w:rFonts w:hint="eastAsia" w:ascii="仿宋_GB2312" w:hAnsi="仿宋_GB2312" w:eastAsia="仿宋_GB2312" w:cs="仿宋_GB2312"/>
                <w:b w:val="0"/>
                <w:bCs w:val="0"/>
                <w:color w:val="000000"/>
                <w:sz w:val="24"/>
                <w:szCs w:val="24"/>
                <w:highlight w:val="none"/>
                <w:lang w:val="en-US" w:eastAsia="zh-CN" w:bidi="ar"/>
              </w:rPr>
              <w:t>分析、总结日间手术质量情况，评估日间手术的风险（0.1分）；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8"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3.根据日间手术风险评估情况及时制定干预措施（0.1分）。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14684"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（八十八）制定手术局部麻醉管理规范和流程并严格执行，手术医师熟练掌握手术局部麻醉操作规范，并按要求规范开展手术患者局部麻醉操作（1分）。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2.5.88.1</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手术局部麻醉操作规范。</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1.制定手术局部麻醉操作规范、流程、制度（0.1分）；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1"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2.手术医师能按照操作规范开展局部麻醉操作（0.1分）；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3.定期开展局部麻醉质量评估，有改进措施（0.1分）。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2.5.88.2</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建立局部麻醉并发症的预防措施，开展局部麻醉并发症监测、分析与反馈，并持续改进。</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1.建立有局部麻醉并发症的预防措施（0.1分）；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7"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2.科室开展局部麻醉并发症监测、有总结分析与整改记录（0.1分）；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r>
              <w:rPr>
                <w:rStyle w:val="38"/>
                <w:rFonts w:hint="eastAsia" w:ascii="仿宋_GB2312" w:hAnsi="仿宋_GB2312" w:eastAsia="仿宋_GB2312" w:cs="仿宋_GB2312"/>
                <w:b w:val="0"/>
                <w:bCs w:val="0"/>
                <w:color w:val="000000"/>
                <w:sz w:val="24"/>
                <w:szCs w:val="24"/>
                <w:highlight w:val="none"/>
                <w:lang w:val="en-US" w:eastAsia="zh-CN" w:bidi="ar"/>
              </w:rPr>
              <w:t>职能部门</w:t>
            </w:r>
            <w:r>
              <w:rPr>
                <w:rStyle w:val="32"/>
                <w:rFonts w:hint="eastAsia" w:ascii="仿宋_GB2312" w:hAnsi="仿宋_GB2312" w:eastAsia="仿宋_GB2312" w:cs="仿宋_GB2312"/>
                <w:b w:val="0"/>
                <w:bCs w:val="0"/>
                <w:color w:val="000000"/>
                <w:sz w:val="24"/>
                <w:szCs w:val="24"/>
                <w:highlight w:val="none"/>
                <w:lang w:val="en-US" w:eastAsia="zh-CN" w:bidi="ar"/>
              </w:rPr>
              <w:t>有定期（至少每季度）督查、分析、反馈记录，落实整改（0.1分）；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4.有数据或案例体现局部麻醉并发症预防措施到位，持续改进（0.1分）。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2.5.88.3</w:t>
            </w:r>
          </w:p>
        </w:tc>
        <w:tc>
          <w:tcPr>
            <w:tcW w:w="4878"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制定术后镇痛治疗管理规范和流程并严格执行。</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1.制定术后镇痛治疗管理规范和流程（0.1分）；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2.医师掌握术后镇痛治疗管理规范和流程（0.1分）；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3.术后镇痛效果有评价、有记录并在病历中体现（0.1分）。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9"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（八十九）根据《传染病防治法》等相关法律、法规要求设置发热诊室、传染病预检分诊室，其建筑规范、医疗设备和设施、人员符合规定。按计划对工作人员进行相关培训（1.5分）。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3"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2.5.89.1</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设置有</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发热诊室，根据医院规模和职能</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规范配备相应措施和人员。</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发热诊室</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应当根据相关要求，在医院内相对独立的区域，与普通门诊相对隔离。</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1.设置</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发热诊室</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发热诊室</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内部结构布局合理，分区清楚，符合医院感染预防与控制要求（0.1分）；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3.配备有必要的消毒设施（0.1分）；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3"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4.发热诊室配备值班医师，有排班表（0.1分）；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8"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5.发热门诊应当在医院内相对独立的区域，与普通门诊相对隔离（0.1分）。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2.5.89.2</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设置有</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传染病预检分诊室，根据医院规模和职能</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规范配备相应措施和人员。</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传染病预检分诊室</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应当根据相关要求，在医院内相对独立的区域，与普通门诊相对隔离。</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1.设置</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传染病预检分诊室</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8" w:hRule="atLeast"/>
        </w:trPr>
        <w:tc>
          <w:tcPr>
            <w:tcW w:w="1302"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4878" w:type="dxa"/>
            <w:vMerge w:val="continue"/>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传染病预检分诊室</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内部结构布局合理，分区清楚，符合医院感染预防与控制要求（0.1分）；</w:t>
            </w:r>
          </w:p>
        </w:tc>
        <w:tc>
          <w:tcPr>
            <w:tcW w:w="751"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302"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4878" w:type="dxa"/>
            <w:vMerge w:val="continue"/>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3.配备有必要的消毒设施（0.1分）；</w:t>
            </w:r>
          </w:p>
        </w:tc>
        <w:tc>
          <w:tcPr>
            <w:tcW w:w="751"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1302"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4878" w:type="dxa"/>
            <w:vMerge w:val="continue"/>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1617"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传染病预检分诊室</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配备值班医师，有排班表（0.1分）；</w:t>
            </w:r>
          </w:p>
        </w:tc>
        <w:tc>
          <w:tcPr>
            <w:tcW w:w="751" w:type="dxa"/>
            <w:vMerge w:val="continue"/>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传染病预检分诊室</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应当在医院内相对独立的区域，与普通门诊相对隔离（0.1分）。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130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2.5.89.3</w:t>
            </w:r>
          </w:p>
        </w:tc>
        <w:tc>
          <w:tcPr>
            <w:tcW w:w="4878"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制定传染病防治相关培训和考核制度并落实，可追溯。</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color w:val="000000"/>
                <w:sz w:val="24"/>
                <w:szCs w:val="24"/>
                <w:highlight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1.制定传染病防治相关培训和考核制度（0.1分）；</w:t>
            </w:r>
          </w:p>
        </w:tc>
        <w:tc>
          <w:tcPr>
            <w:tcW w:w="751"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r>
              <w:rPr>
                <w:rStyle w:val="41"/>
                <w:rFonts w:hint="eastAsia" w:ascii="仿宋_GB2312" w:hAnsi="仿宋_GB2312" w:eastAsia="仿宋_GB2312" w:cs="仿宋_GB2312"/>
                <w:b w:val="0"/>
                <w:bCs w:val="0"/>
                <w:color w:val="000000"/>
                <w:sz w:val="24"/>
                <w:szCs w:val="24"/>
                <w:highlight w:val="none"/>
                <w:lang w:val="en-US" w:eastAsia="zh-CN" w:bidi="ar"/>
              </w:rPr>
              <w:t>定期开展传染病防治相关培训和考核，</w:t>
            </w:r>
            <w:r>
              <w:rPr>
                <w:rStyle w:val="34"/>
                <w:rFonts w:hint="eastAsia" w:ascii="仿宋_GB2312" w:hAnsi="仿宋_GB2312" w:eastAsia="仿宋_GB2312" w:cs="仿宋_GB2312"/>
                <w:b w:val="0"/>
                <w:bCs w:val="0"/>
                <w:color w:val="000000"/>
                <w:sz w:val="24"/>
                <w:szCs w:val="24"/>
                <w:highlight w:val="none"/>
                <w:lang w:val="en-US" w:eastAsia="zh-CN" w:bidi="ar"/>
              </w:rPr>
              <w:t>培训内容至少包括：传染病防治相关法律、法规、工作制度；传染病的流行病学、预防、诊断、治疗、职业暴露处理和防护等内容（0.1分）；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 w:hRule="atLeast"/>
        </w:trPr>
        <w:tc>
          <w:tcPr>
            <w:tcW w:w="130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3.有完整培训记录可追溯(0.1分)；</w:t>
            </w:r>
          </w:p>
        </w:tc>
        <w:tc>
          <w:tcPr>
            <w:tcW w:w="751"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9"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4.访谈员工知晓紧急情况处理预案与流程（0.1分）。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9" w:hRule="atLeast"/>
        </w:trPr>
        <w:tc>
          <w:tcPr>
            <w:tcW w:w="14684" w:type="dxa"/>
            <w:gridSpan w:val="5"/>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（九十）特殊检查室设计及空间区域划分应符合特殊检查需求。能将有害射线限制在检查患者所需的范围，避免医务人员及其他人员接触有害物质。有突发意外事故管理规范与应急预案并严格执行（1.5分）。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7"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2.5.90.1</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特殊检查室设计及空间区域划分应符合特殊检查需求。</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1.放射机房设计、建设及设施符合安全、环保、职业病防护等规范要求并验收合格（0.2分）；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2.空间区域严格划分患者、检查人员、其他人员区域（0.2分）；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3.机房显著位置有规范的警示标识。实时监测环境剂量（0.2分）。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2.5.90.2</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将有害射线限制在检查患者所需的范围，避免医务人员及其他人员接触有害物质。</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1.有完整的设备、环境、人员防护制度（0.1分）；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2.防护用具齐全、有效（0.1分）；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3.科室与主管部门对落实防护制度有自查、分析、反馈、整改记录（0.1分）。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8" w:hRule="atLeast"/>
        </w:trPr>
        <w:tc>
          <w:tcPr>
            <w:tcW w:w="1302"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2.5.90.3</w:t>
            </w:r>
          </w:p>
        </w:tc>
        <w:tc>
          <w:tcPr>
            <w:tcW w:w="4878" w:type="dxa"/>
            <w:vMerge w:val="restart"/>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有突发意外事故管理规范与应急预案并严格执行。</w:t>
            </w:r>
          </w:p>
        </w:tc>
        <w:tc>
          <w:tcPr>
            <w:tcW w:w="1617"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1.有突发意外事故管理制度、流程及应急预案，放射性操作区有简明的应急救援流程（0.1分）；</w:t>
            </w:r>
          </w:p>
        </w:tc>
        <w:tc>
          <w:tcPr>
            <w:tcW w:w="751" w:type="dxa"/>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3"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2.应急预案有培训，培训资料齐全（0.1分）；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3.定期完成应急演练</w:t>
            </w:r>
            <w:r>
              <w:rPr>
                <w:rStyle w:val="28"/>
                <w:rFonts w:hint="eastAsia" w:ascii="仿宋_GB2312" w:hAnsi="仿宋_GB2312" w:eastAsia="仿宋_GB2312" w:cs="仿宋_GB2312"/>
                <w:b w:val="0"/>
                <w:bCs w:val="0"/>
                <w:color w:val="000000"/>
                <w:sz w:val="24"/>
                <w:szCs w:val="24"/>
                <w:highlight w:val="none"/>
                <w:lang w:val="en-US" w:eastAsia="zh-CN" w:bidi="ar"/>
              </w:rPr>
              <w:t>（至少每年一次）</w:t>
            </w:r>
            <w:r>
              <w:rPr>
                <w:rStyle w:val="29"/>
                <w:rFonts w:hint="eastAsia" w:ascii="仿宋_GB2312" w:hAnsi="仿宋_GB2312" w:eastAsia="仿宋_GB2312" w:cs="仿宋_GB2312"/>
                <w:b w:val="0"/>
                <w:bCs w:val="0"/>
                <w:color w:val="000000"/>
                <w:sz w:val="24"/>
                <w:szCs w:val="24"/>
                <w:highlight w:val="none"/>
                <w:lang w:val="en-US" w:eastAsia="zh-CN" w:bidi="ar"/>
              </w:rPr>
              <w:t>（0.1分）；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4.每名员工知晓应急预案、流程（0.1分）；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6"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5.职能部门定期督查、分析反馈，落实整改（0.1分）；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302"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878" w:type="dxa"/>
            <w:vMerge w:val="continue"/>
            <w:tcBorders>
              <w:tl2br w:val="nil"/>
              <w:tr2bl w:val="nil"/>
            </w:tcBorders>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6.有案例或数据体现持续改进工作有成效（0.1分）。</w:t>
            </w:r>
          </w:p>
        </w:tc>
        <w:tc>
          <w:tcPr>
            <w:tcW w:w="75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bl>
    <w:p>
      <w:pPr>
        <w:pStyle w:val="5"/>
        <w:bidi w:val="0"/>
        <w:rPr>
          <w:rFonts w:hint="eastAsia"/>
          <w:color w:val="000000"/>
          <w:lang w:eastAsia="zh-CN"/>
        </w:rPr>
      </w:pPr>
    </w:p>
    <w:p>
      <w:pPr>
        <w:pStyle w:val="5"/>
        <w:bidi w:val="0"/>
        <w:rPr>
          <w:rFonts w:hint="eastAsia"/>
          <w:color w:val="000000"/>
          <w:lang w:eastAsia="zh-CN"/>
        </w:rPr>
      </w:pPr>
      <w:bookmarkStart w:id="170" w:name="_Toc13721"/>
    </w:p>
    <w:p>
      <w:pPr>
        <w:pStyle w:val="5"/>
        <w:bidi w:val="0"/>
        <w:rPr>
          <w:rFonts w:hint="eastAsia"/>
          <w:color w:val="000000"/>
          <w:lang w:eastAsia="zh-CN"/>
        </w:rPr>
      </w:pPr>
    </w:p>
    <w:p>
      <w:pPr>
        <w:pStyle w:val="5"/>
        <w:bidi w:val="0"/>
        <w:rPr>
          <w:rFonts w:hint="eastAsia"/>
          <w:color w:val="000000"/>
        </w:rPr>
      </w:pPr>
      <w:bookmarkStart w:id="171" w:name="_Toc11275"/>
      <w:r>
        <w:rPr>
          <w:rFonts w:hint="eastAsia"/>
          <w:color w:val="000000"/>
          <w:lang w:val="en-US" w:eastAsia="zh-CN"/>
        </w:rPr>
        <w:br w:type="page"/>
      </w:r>
      <w:r>
        <w:rPr>
          <w:rFonts w:hint="eastAsia"/>
          <w:color w:val="000000"/>
          <w:lang w:val="en-US" w:eastAsia="zh-CN"/>
        </w:rPr>
        <w:t>六、皮肤内科</w:t>
      </w:r>
      <w:r>
        <w:rPr>
          <w:rFonts w:hint="eastAsia"/>
          <w:color w:val="000000"/>
        </w:rPr>
        <w:t>诊疗质量保障及持续改进（</w:t>
      </w:r>
      <w:r>
        <w:rPr>
          <w:rFonts w:hint="eastAsia"/>
          <w:color w:val="000000"/>
          <w:lang w:val="en-US" w:eastAsia="zh-CN"/>
        </w:rPr>
        <w:t>17</w:t>
      </w:r>
      <w:r>
        <w:rPr>
          <w:rFonts w:hint="eastAsia"/>
          <w:color w:val="000000"/>
        </w:rPr>
        <w:t>分）</w:t>
      </w:r>
      <w:bookmarkEnd w:id="171"/>
    </w:p>
    <w:tbl>
      <w:tblPr>
        <w:tblStyle w:val="14"/>
        <w:tblW w:w="147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4666"/>
        <w:gridCol w:w="1710"/>
        <w:gridCol w:w="6113"/>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blHeader/>
        </w:trPr>
        <w:tc>
          <w:tcPr>
            <w:tcW w:w="6191" w:type="dxa"/>
            <w:gridSpan w:val="2"/>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评审指标细则</w:t>
            </w:r>
          </w:p>
        </w:tc>
        <w:tc>
          <w:tcPr>
            <w:tcW w:w="1710" w:type="dxa"/>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评审方法</w:t>
            </w:r>
          </w:p>
        </w:tc>
        <w:tc>
          <w:tcPr>
            <w:tcW w:w="6113" w:type="dxa"/>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评分细则</w:t>
            </w:r>
          </w:p>
        </w:tc>
        <w:tc>
          <w:tcPr>
            <w:tcW w:w="758" w:type="dxa"/>
            <w:tcBorders>
              <w:tl2br w:val="nil"/>
              <w:tr2bl w:val="nil"/>
            </w:tcBorders>
            <w:shd w:val="clear" w:color="auto" w:fill="FEF2CC"/>
            <w:noWrap w:val="0"/>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4772" w:type="dxa"/>
            <w:gridSpan w:val="5"/>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九十一</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spacing w:val="16"/>
                <w:sz w:val="24"/>
                <w:szCs w:val="24"/>
              </w:rPr>
              <w:t>规范设置</w:t>
            </w:r>
            <w:r>
              <w:rPr>
                <w:rFonts w:hint="eastAsia" w:ascii="仿宋_GB2312" w:hAnsi="仿宋_GB2312" w:eastAsia="仿宋_GB2312" w:cs="仿宋_GB2312"/>
                <w:color w:val="000000"/>
                <w:spacing w:val="16"/>
                <w:sz w:val="24"/>
                <w:szCs w:val="24"/>
                <w:lang w:val="en-US" w:eastAsia="zh-CN"/>
              </w:rPr>
              <w:t>皮肤内</w:t>
            </w:r>
            <w:r>
              <w:rPr>
                <w:rFonts w:hint="eastAsia" w:ascii="仿宋_GB2312" w:hAnsi="仿宋_GB2312" w:eastAsia="仿宋_GB2312" w:cs="仿宋_GB2312"/>
                <w:color w:val="000000"/>
                <w:spacing w:val="16"/>
                <w:sz w:val="24"/>
                <w:szCs w:val="24"/>
              </w:rPr>
              <w:t>科，</w:t>
            </w:r>
            <w:r>
              <w:rPr>
                <w:rFonts w:hint="eastAsia" w:ascii="仿宋_GB2312" w:hAnsi="仿宋_GB2312" w:eastAsia="仿宋_GB2312" w:cs="仿宋_GB2312"/>
                <w:color w:val="000000"/>
                <w:spacing w:val="16"/>
                <w:sz w:val="24"/>
                <w:szCs w:val="24"/>
                <w:lang w:val="en-US" w:eastAsia="zh-CN"/>
              </w:rPr>
              <w:t>人员资质满足诊疗发展需要，</w:t>
            </w:r>
            <w:r>
              <w:rPr>
                <w:rFonts w:hint="eastAsia" w:ascii="仿宋_GB2312" w:hAnsi="仿宋_GB2312" w:eastAsia="仿宋_GB2312" w:cs="仿宋_GB2312"/>
                <w:color w:val="000000"/>
                <w:spacing w:val="16"/>
                <w:sz w:val="24"/>
                <w:szCs w:val="24"/>
              </w:rPr>
              <w:t>加</w:t>
            </w:r>
            <w:r>
              <w:rPr>
                <w:rFonts w:hint="eastAsia" w:ascii="仿宋_GB2312" w:hAnsi="仿宋_GB2312" w:eastAsia="仿宋_GB2312" w:cs="仿宋_GB2312"/>
                <w:color w:val="000000"/>
                <w:spacing w:val="15"/>
                <w:sz w:val="24"/>
                <w:szCs w:val="24"/>
              </w:rPr>
              <w:t>强</w:t>
            </w:r>
            <w:r>
              <w:rPr>
                <w:rFonts w:hint="eastAsia" w:ascii="仿宋_GB2312" w:hAnsi="仿宋_GB2312" w:eastAsia="仿宋_GB2312" w:cs="仿宋_GB2312"/>
                <w:color w:val="000000"/>
                <w:spacing w:val="15"/>
                <w:sz w:val="24"/>
                <w:szCs w:val="24"/>
                <w:lang w:val="en-US" w:eastAsia="zh-CN"/>
              </w:rPr>
              <w:t>科室管理、科室建设、人员培训、病患宣教</w:t>
            </w:r>
            <w:r>
              <w:rPr>
                <w:rFonts w:hint="eastAsia" w:ascii="仿宋_GB2312" w:hAnsi="仿宋_GB2312" w:eastAsia="仿宋_GB2312" w:cs="仿宋_GB2312"/>
                <w:color w:val="000000"/>
                <w:spacing w:val="16"/>
                <w:sz w:val="24"/>
                <w:szCs w:val="24"/>
              </w:rPr>
              <w:t>，</w:t>
            </w:r>
            <w:r>
              <w:rPr>
                <w:rFonts w:hint="eastAsia" w:ascii="仿宋_GB2312" w:hAnsi="仿宋_GB2312" w:eastAsia="仿宋_GB2312" w:cs="仿宋_GB2312"/>
                <w:color w:val="000000"/>
                <w:spacing w:val="16"/>
                <w:sz w:val="24"/>
                <w:szCs w:val="24"/>
                <w:lang w:val="en-US" w:eastAsia="zh-CN"/>
              </w:rPr>
              <w:t>保障皮肤内科医疗服务能力和持续提升服务质量</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6.5</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525"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val="en-US" w:eastAsia="zh-CN" w:bidi="ar-SA"/>
              </w:rPr>
              <w:t>2.6.91.1</w:t>
            </w:r>
          </w:p>
        </w:tc>
        <w:tc>
          <w:tcPr>
            <w:tcW w:w="4666"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皮肤内科</w:t>
            </w:r>
            <w:r>
              <w:rPr>
                <w:rFonts w:hint="eastAsia" w:ascii="仿宋_GB2312" w:hAnsi="仿宋_GB2312" w:eastAsia="仿宋_GB2312" w:cs="仿宋_GB2312"/>
                <w:color w:val="000000"/>
                <w:kern w:val="0"/>
                <w:sz w:val="24"/>
                <w:szCs w:val="24"/>
                <w:lang w:val="en-US" w:eastAsia="zh-CN" w:bidi="ar"/>
              </w:rPr>
              <w:t>负责人、护士长具有一定学术水平，培养重点专科人才梯队</w:t>
            </w:r>
            <w:r>
              <w:rPr>
                <w:rFonts w:hint="eastAsia" w:ascii="仿宋_GB2312" w:hAnsi="仿宋_GB2312" w:eastAsia="仿宋_GB2312" w:cs="仿宋_GB2312"/>
                <w:color w:val="000000"/>
                <w:kern w:val="0"/>
                <w:sz w:val="24"/>
                <w:szCs w:val="24"/>
                <w:lang w:bidi="ar"/>
              </w:rPr>
              <w:t>。</w:t>
            </w:r>
          </w:p>
        </w:tc>
        <w:tc>
          <w:tcPr>
            <w:tcW w:w="1710"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记录查看</w:t>
            </w:r>
          </w:p>
          <w:p>
            <w:pPr>
              <w:widowControl/>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现场检查</w:t>
            </w:r>
          </w:p>
          <w:p>
            <w:pPr>
              <w:widowControl/>
              <w:spacing w:line="320" w:lineRule="exact"/>
              <w:jc w:val="center"/>
              <w:textAlignment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科室</w:t>
            </w:r>
            <w:r>
              <w:rPr>
                <w:rFonts w:hint="eastAsia" w:ascii="仿宋_GB2312" w:hAnsi="仿宋_GB2312" w:eastAsia="仿宋_GB2312" w:cs="仿宋_GB2312"/>
                <w:color w:val="000000"/>
                <w:kern w:val="0"/>
                <w:sz w:val="24"/>
                <w:szCs w:val="24"/>
                <w:lang w:bidi="ar"/>
              </w:rPr>
              <w:t>负责人应当由具有高级技术职称、从事</w:t>
            </w:r>
            <w:r>
              <w:rPr>
                <w:rFonts w:hint="eastAsia" w:ascii="仿宋_GB2312" w:hAnsi="仿宋_GB2312" w:eastAsia="仿宋_GB2312" w:cs="仿宋_GB2312"/>
                <w:color w:val="000000"/>
                <w:kern w:val="0"/>
                <w:sz w:val="24"/>
                <w:szCs w:val="24"/>
                <w:lang w:eastAsia="zh-CN" w:bidi="ar"/>
              </w:rPr>
              <w:t>皮肤科诊疗</w:t>
            </w:r>
            <w:r>
              <w:rPr>
                <w:rFonts w:hint="eastAsia" w:ascii="仿宋_GB2312" w:hAnsi="仿宋_GB2312" w:eastAsia="仿宋_GB2312" w:cs="仿宋_GB2312"/>
                <w:color w:val="000000"/>
                <w:kern w:val="0"/>
                <w:sz w:val="24"/>
                <w:szCs w:val="24"/>
                <w:lang w:bidi="ar"/>
              </w:rPr>
              <w:t>技术工作</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年以上的人员担任（0.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758" w:type="dxa"/>
            <w:vMerge w:val="restart"/>
            <w:tcBorders>
              <w:tl2br w:val="nil"/>
              <w:tr2bl w:val="nil"/>
            </w:tcBorders>
            <w:noWrap w:val="0"/>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525"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2.科室护士长</w:t>
            </w:r>
            <w:r>
              <w:rPr>
                <w:rFonts w:hint="eastAsia" w:ascii="仿宋_GB2312" w:hAnsi="仿宋_GB2312" w:eastAsia="仿宋_GB2312" w:cs="仿宋_GB2312"/>
                <w:color w:val="000000"/>
                <w:kern w:val="0"/>
                <w:sz w:val="24"/>
                <w:szCs w:val="24"/>
                <w:lang w:bidi="ar"/>
              </w:rPr>
              <w:t>应当</w:t>
            </w:r>
            <w:r>
              <w:rPr>
                <w:rFonts w:hint="eastAsia" w:ascii="仿宋_GB2312" w:hAnsi="仿宋_GB2312" w:eastAsia="仿宋_GB2312" w:cs="仿宋_GB2312"/>
                <w:color w:val="000000"/>
                <w:kern w:val="0"/>
                <w:sz w:val="24"/>
                <w:szCs w:val="24"/>
                <w:lang w:val="en-US" w:eastAsia="zh-CN" w:bidi="ar"/>
              </w:rPr>
              <w:t>具有高级技术职称或取得5年以上中级技术职称，能够指导护理人员开展皮肤科临床护理技术</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c>
          <w:tcPr>
            <w:tcW w:w="758" w:type="dxa"/>
            <w:vMerge w:val="continue"/>
            <w:tcBorders>
              <w:tl2br w:val="nil"/>
              <w:tr2bl w:val="nil"/>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3.有培训科室人才计划，有到外省进修或参加国家级的学习培训记录（0.5分）。</w:t>
            </w:r>
          </w:p>
        </w:tc>
        <w:tc>
          <w:tcPr>
            <w:tcW w:w="758" w:type="dxa"/>
            <w:vMerge w:val="continue"/>
            <w:tcBorders>
              <w:tl2br w:val="nil"/>
              <w:tr2bl w:val="nil"/>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restart"/>
            <w:tcBorders>
              <w:tl2br w:val="nil"/>
              <w:tr2bl w:val="nil"/>
            </w:tcBorders>
            <w:noWrap w:val="0"/>
            <w:vAlign w:val="center"/>
          </w:tcPr>
          <w:p>
            <w:pPr>
              <w:widowControl/>
              <w:spacing w:line="320" w:lineRule="exact"/>
              <w:jc w:val="center"/>
              <w:textAlignment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SA"/>
              </w:rPr>
              <w:t>2.6.91.2</w:t>
            </w:r>
          </w:p>
        </w:tc>
        <w:tc>
          <w:tcPr>
            <w:tcW w:w="4666" w:type="dxa"/>
            <w:vMerge w:val="restart"/>
            <w:tcBorders>
              <w:tl2br w:val="nil"/>
              <w:tr2bl w:val="nil"/>
            </w:tcBorders>
            <w:noWrap w:val="0"/>
            <w:vAlign w:val="center"/>
          </w:tcPr>
          <w:p>
            <w:pPr>
              <w:spacing w:line="320" w:lineRule="exact"/>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有科室各项管理和工作制度与发展规划</w:t>
            </w:r>
          </w:p>
        </w:tc>
        <w:tc>
          <w:tcPr>
            <w:tcW w:w="1710"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记录查看</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现场检查</w:t>
            </w: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.制定</w:t>
            </w:r>
            <w:r>
              <w:rPr>
                <w:rFonts w:hint="eastAsia" w:ascii="仿宋_GB2312" w:hAnsi="仿宋_GB2312" w:eastAsia="仿宋_GB2312" w:cs="仿宋_GB2312"/>
                <w:color w:val="000000"/>
                <w:kern w:val="0"/>
                <w:sz w:val="24"/>
                <w:szCs w:val="24"/>
                <w:lang w:eastAsia="zh-CN" w:bidi="ar"/>
              </w:rPr>
              <w:t>皮肤</w:t>
            </w:r>
            <w:r>
              <w:rPr>
                <w:rFonts w:hint="eastAsia" w:ascii="仿宋_GB2312" w:hAnsi="仿宋_GB2312" w:eastAsia="仿宋_GB2312" w:cs="仿宋_GB2312"/>
                <w:color w:val="000000"/>
                <w:kern w:val="0"/>
                <w:sz w:val="24"/>
                <w:szCs w:val="24"/>
                <w:lang w:val="en-US" w:eastAsia="zh-CN" w:bidi="ar"/>
              </w:rPr>
              <w:t>诊疗各项管理和工作制度（0.3分）</w:t>
            </w:r>
            <w:r>
              <w:rPr>
                <w:rFonts w:hint="eastAsia" w:ascii="仿宋_GB2312" w:hAnsi="仿宋_GB2312" w:eastAsia="仿宋_GB2312" w:cs="仿宋_GB2312"/>
                <w:color w:val="000000"/>
                <w:kern w:val="0"/>
                <w:sz w:val="24"/>
                <w:szCs w:val="24"/>
                <w:lang w:bidi="ar"/>
              </w:rPr>
              <w:t>和</w:t>
            </w:r>
            <w:r>
              <w:rPr>
                <w:rFonts w:hint="eastAsia" w:ascii="仿宋_GB2312" w:hAnsi="仿宋_GB2312" w:eastAsia="仿宋_GB2312" w:cs="仿宋_GB2312"/>
                <w:color w:val="000000"/>
                <w:kern w:val="0"/>
                <w:sz w:val="24"/>
                <w:szCs w:val="24"/>
                <w:lang w:val="en-US" w:eastAsia="zh-CN" w:bidi="ar"/>
              </w:rPr>
              <w:t>科室发展规划</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758" w:type="dxa"/>
            <w:vMerge w:val="restart"/>
            <w:tcBorders>
              <w:tl2br w:val="nil"/>
              <w:tr2bl w:val="nil"/>
            </w:tcBorders>
            <w:noWrap w:val="0"/>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.岗位设置</w:t>
            </w:r>
            <w:r>
              <w:rPr>
                <w:rFonts w:hint="eastAsia" w:ascii="仿宋_GB2312" w:hAnsi="仿宋_GB2312" w:eastAsia="仿宋_GB2312" w:cs="仿宋_GB2312"/>
                <w:color w:val="000000"/>
                <w:kern w:val="0"/>
                <w:sz w:val="24"/>
                <w:szCs w:val="24"/>
                <w:lang w:val="en-US" w:eastAsia="zh-CN" w:bidi="ar"/>
              </w:rPr>
              <w:t>符合要求（0.2分）</w:t>
            </w:r>
            <w:r>
              <w:rPr>
                <w:rFonts w:hint="eastAsia" w:ascii="仿宋_GB2312" w:hAnsi="仿宋_GB2312" w:eastAsia="仿宋_GB2312" w:cs="仿宋_GB2312"/>
                <w:color w:val="000000"/>
                <w:kern w:val="0"/>
                <w:sz w:val="24"/>
                <w:szCs w:val="24"/>
                <w:lang w:bidi="ar"/>
              </w:rPr>
              <w:t>、岗位职责</w:t>
            </w:r>
            <w:r>
              <w:rPr>
                <w:rFonts w:hint="eastAsia" w:ascii="仿宋_GB2312" w:hAnsi="仿宋_GB2312" w:eastAsia="仿宋_GB2312" w:cs="仿宋_GB2312"/>
                <w:color w:val="000000"/>
                <w:kern w:val="0"/>
                <w:sz w:val="24"/>
                <w:szCs w:val="24"/>
                <w:lang w:val="en-US" w:eastAsia="zh-CN" w:bidi="ar"/>
              </w:rPr>
              <w:t>明确</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758" w:type="dxa"/>
            <w:vMerge w:val="continue"/>
            <w:tcBorders>
              <w:tl2br w:val="nil"/>
              <w:tr2bl w:val="nil"/>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人员资质（0.2分）和</w:t>
            </w:r>
            <w:r>
              <w:rPr>
                <w:rFonts w:hint="eastAsia" w:ascii="仿宋_GB2312" w:hAnsi="仿宋_GB2312" w:eastAsia="仿宋_GB2312" w:cs="仿宋_GB2312"/>
                <w:color w:val="000000"/>
                <w:kern w:val="0"/>
                <w:sz w:val="24"/>
                <w:szCs w:val="24"/>
                <w:lang w:bidi="ar"/>
              </w:rPr>
              <w:t>技术能力</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0.3分</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能满足科室发展需</w:t>
            </w:r>
            <w:r>
              <w:rPr>
                <w:rFonts w:hint="eastAsia" w:ascii="仿宋_GB2312" w:hAnsi="仿宋_GB2312" w:eastAsia="仿宋_GB2312" w:cs="仿宋_GB2312"/>
                <w:color w:val="000000"/>
                <w:kern w:val="0"/>
                <w:sz w:val="24"/>
                <w:szCs w:val="24"/>
                <w:lang w:bidi="ar"/>
              </w:rPr>
              <w:t>求。</w:t>
            </w:r>
          </w:p>
        </w:tc>
        <w:tc>
          <w:tcPr>
            <w:tcW w:w="758" w:type="dxa"/>
            <w:vMerge w:val="continue"/>
            <w:tcBorders>
              <w:tl2br w:val="nil"/>
              <w:tr2bl w:val="nil"/>
            </w:tcBorders>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restart"/>
            <w:tcBorders>
              <w:tl2br w:val="nil"/>
              <w:tr2bl w:val="nil"/>
            </w:tcBorders>
            <w:noWrap w:val="0"/>
            <w:vAlign w:val="center"/>
          </w:tcPr>
          <w:p>
            <w:pPr>
              <w:widowControl/>
              <w:spacing w:line="320" w:lineRule="exact"/>
              <w:jc w:val="center"/>
              <w:textAlignment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SA"/>
              </w:rPr>
              <w:t>2.6.91.3</w:t>
            </w:r>
          </w:p>
        </w:tc>
        <w:tc>
          <w:tcPr>
            <w:tcW w:w="4666" w:type="dxa"/>
            <w:vMerge w:val="restart"/>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开展业务学习培训，提高科室医务人员专业知识、法律意识和理论水平，保障医疗安全。</w:t>
            </w:r>
          </w:p>
        </w:tc>
        <w:tc>
          <w:tcPr>
            <w:tcW w:w="1710"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查看记录</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员工访谈</w:t>
            </w: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1.有科室业务学习计划（0.5分）；</w:t>
            </w:r>
          </w:p>
        </w:tc>
        <w:tc>
          <w:tcPr>
            <w:tcW w:w="758" w:type="dxa"/>
            <w:vMerge w:val="restart"/>
            <w:tcBorders>
              <w:tl2br w:val="nil"/>
              <w:tr2bl w:val="nil"/>
            </w:tcBorders>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2.定期开展业务和依法执业相关法律法规学习（0.5分）；</w:t>
            </w:r>
          </w:p>
        </w:tc>
        <w:tc>
          <w:tcPr>
            <w:tcW w:w="758" w:type="dxa"/>
            <w:vMerge w:val="continue"/>
            <w:tcBorders>
              <w:tl2br w:val="nil"/>
              <w:tr2bl w:val="nil"/>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3.访谈员工对依法执业等相关法律法规的知晓率达80%以上（0.5分）；</w:t>
            </w:r>
          </w:p>
        </w:tc>
        <w:tc>
          <w:tcPr>
            <w:tcW w:w="758" w:type="dxa"/>
            <w:vMerge w:val="continue"/>
            <w:tcBorders>
              <w:tl2br w:val="nil"/>
              <w:tr2bl w:val="nil"/>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4.每年对培训、学习效果进行总结分析，有持续改进措施（0.5分）。</w:t>
            </w:r>
          </w:p>
        </w:tc>
        <w:tc>
          <w:tcPr>
            <w:tcW w:w="758" w:type="dxa"/>
            <w:vMerge w:val="continue"/>
            <w:tcBorders>
              <w:tl2br w:val="nil"/>
              <w:tr2bl w:val="nil"/>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restart"/>
            <w:tcBorders>
              <w:tl2br w:val="nil"/>
              <w:tr2bl w:val="nil"/>
            </w:tcBorders>
            <w:noWrap w:val="0"/>
            <w:vAlign w:val="center"/>
          </w:tcPr>
          <w:p>
            <w:pPr>
              <w:widowControl/>
              <w:spacing w:line="320" w:lineRule="exact"/>
              <w:jc w:val="center"/>
              <w:textAlignment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SA"/>
              </w:rPr>
              <w:t>2.6.91.4</w:t>
            </w:r>
          </w:p>
        </w:tc>
        <w:tc>
          <w:tcPr>
            <w:tcW w:w="4666" w:type="dxa"/>
            <w:vMerge w:val="restart"/>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对住院患者</w:t>
            </w:r>
            <w:r>
              <w:rPr>
                <w:rFonts w:hint="eastAsia" w:ascii="仿宋_GB2312" w:hAnsi="仿宋_GB2312" w:eastAsia="仿宋_GB2312" w:cs="仿宋_GB2312"/>
                <w:color w:val="000000"/>
                <w:kern w:val="0"/>
                <w:sz w:val="24"/>
                <w:szCs w:val="24"/>
                <w:lang w:bidi="ar"/>
              </w:rPr>
              <w:t>开展多种形式</w:t>
            </w:r>
            <w:r>
              <w:rPr>
                <w:rFonts w:hint="eastAsia" w:ascii="仿宋_GB2312" w:hAnsi="仿宋_GB2312" w:eastAsia="仿宋_GB2312" w:cs="仿宋_GB2312"/>
                <w:color w:val="000000"/>
                <w:kern w:val="0"/>
                <w:sz w:val="24"/>
                <w:szCs w:val="24"/>
                <w:lang w:val="en-US" w:eastAsia="zh-CN" w:bidi="ar"/>
              </w:rPr>
              <w:t>健康</w:t>
            </w:r>
            <w:r>
              <w:rPr>
                <w:rFonts w:hint="eastAsia" w:ascii="仿宋_GB2312" w:hAnsi="仿宋_GB2312" w:eastAsia="仿宋_GB2312" w:cs="仿宋_GB2312"/>
                <w:color w:val="000000"/>
                <w:kern w:val="0"/>
                <w:sz w:val="24"/>
                <w:szCs w:val="24"/>
                <w:lang w:bidi="ar"/>
              </w:rPr>
              <w:t>宣教</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促进患者早日康复</w:t>
            </w:r>
            <w:r>
              <w:rPr>
                <w:rFonts w:hint="eastAsia" w:ascii="仿宋_GB2312" w:hAnsi="仿宋_GB2312" w:eastAsia="仿宋_GB2312" w:cs="仿宋_GB2312"/>
                <w:color w:val="000000"/>
                <w:kern w:val="0"/>
                <w:sz w:val="24"/>
                <w:szCs w:val="24"/>
                <w:lang w:bidi="ar"/>
              </w:rPr>
              <w:t>。</w:t>
            </w:r>
          </w:p>
        </w:tc>
        <w:tc>
          <w:tcPr>
            <w:tcW w:w="1710"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记录查看</w:t>
            </w:r>
          </w:p>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现场查看</w:t>
            </w:r>
          </w:p>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有</w:t>
            </w:r>
            <w:r>
              <w:rPr>
                <w:rFonts w:hint="eastAsia" w:ascii="仿宋_GB2312" w:hAnsi="仿宋_GB2312" w:eastAsia="仿宋_GB2312" w:cs="仿宋_GB2312"/>
                <w:color w:val="000000"/>
                <w:kern w:val="0"/>
                <w:sz w:val="24"/>
                <w:szCs w:val="24"/>
                <w:lang w:bidi="ar"/>
              </w:rPr>
              <w:t>健康宣教</w:t>
            </w:r>
            <w:r>
              <w:rPr>
                <w:rFonts w:hint="eastAsia" w:ascii="仿宋_GB2312" w:hAnsi="仿宋_GB2312" w:eastAsia="仿宋_GB2312" w:cs="仿宋_GB2312"/>
                <w:color w:val="000000"/>
                <w:kern w:val="0"/>
                <w:sz w:val="24"/>
                <w:szCs w:val="24"/>
                <w:lang w:val="en-US" w:eastAsia="zh-CN" w:bidi="ar"/>
              </w:rPr>
              <w:t>计划</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758" w:type="dxa"/>
            <w:vMerge w:val="restart"/>
            <w:tcBorders>
              <w:tl2br w:val="nil"/>
              <w:tr2bl w:val="nil"/>
            </w:tcBorders>
            <w:noWrap w:val="0"/>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2.通过现场、发放手册、公众号等多种方式进行健康宣教（0.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758" w:type="dxa"/>
            <w:vMerge w:val="continue"/>
            <w:tcBorders>
              <w:tl2br w:val="nil"/>
              <w:tr2bl w:val="nil"/>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5"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3.宣教资料有更新，有宣教内容和记录（0.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758" w:type="dxa"/>
            <w:vMerge w:val="continue"/>
            <w:tcBorders>
              <w:tl2br w:val="nil"/>
              <w:tr2bl w:val="nil"/>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4772" w:type="dxa"/>
            <w:gridSpan w:val="5"/>
            <w:tcBorders>
              <w:tl2br w:val="nil"/>
              <w:tr2bl w:val="nil"/>
            </w:tcBorders>
            <w:shd w:val="clear" w:color="auto" w:fill="FFFFFF"/>
            <w:noWrap w:val="0"/>
            <w:vAlign w:val="center"/>
          </w:tcPr>
          <w:p>
            <w:pPr>
              <w:spacing w:line="32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九十二</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按相关诊疗指南/规范，建立糖皮质激素冲击治疗评估机制，为激素冲击治疗的患者制定治疗计划和治疗评估，</w:t>
            </w:r>
            <w:r>
              <w:rPr>
                <w:rFonts w:hint="eastAsia" w:ascii="仿宋_GB2312" w:hAnsi="仿宋_GB2312" w:eastAsia="仿宋_GB2312" w:cs="仿宋_GB2312"/>
                <w:color w:val="000000"/>
                <w:kern w:val="0"/>
                <w:sz w:val="24"/>
                <w:szCs w:val="24"/>
                <w:lang w:bidi="ar"/>
              </w:rPr>
              <w:t>并</w:t>
            </w:r>
            <w:r>
              <w:rPr>
                <w:rFonts w:hint="eastAsia" w:ascii="仿宋_GB2312" w:hAnsi="仿宋_GB2312" w:eastAsia="仿宋_GB2312" w:cs="仿宋_GB2312"/>
                <w:color w:val="000000"/>
                <w:kern w:val="0"/>
                <w:sz w:val="24"/>
                <w:szCs w:val="24"/>
                <w:lang w:val="en-US" w:eastAsia="zh-CN" w:bidi="ar"/>
              </w:rPr>
              <w:t>保证治疗安全</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4.5</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525"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val="en-US" w:eastAsia="zh-CN" w:bidi="ar-SA"/>
              </w:rPr>
              <w:t>2.6.92.1</w:t>
            </w:r>
          </w:p>
        </w:tc>
        <w:tc>
          <w:tcPr>
            <w:tcW w:w="4666" w:type="dxa"/>
            <w:vMerge w:val="restart"/>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规范开展激素冲击治疗效果评估。</w:t>
            </w:r>
          </w:p>
        </w:tc>
        <w:tc>
          <w:tcPr>
            <w:tcW w:w="1710" w:type="dxa"/>
            <w:vMerge w:val="restart"/>
            <w:tcBorders>
              <w:tl2br w:val="nil"/>
              <w:tr2bl w:val="nil"/>
            </w:tcBorders>
            <w:shd w:val="clear" w:color="auto" w:fill="auto"/>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记录查看</w:t>
            </w:r>
          </w:p>
          <w:p>
            <w:pPr>
              <w:widowControl/>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病案检查</w:t>
            </w: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1.制定</w:t>
            </w:r>
            <w:r>
              <w:rPr>
                <w:rFonts w:hint="eastAsia" w:ascii="仿宋_GB2312" w:hAnsi="仿宋_GB2312" w:eastAsia="仿宋_GB2312" w:cs="仿宋_GB2312"/>
                <w:color w:val="000000"/>
                <w:kern w:val="0"/>
                <w:sz w:val="24"/>
                <w:szCs w:val="24"/>
                <w:lang w:val="en-US" w:eastAsia="zh-CN" w:bidi="ar"/>
              </w:rPr>
              <w:t>糖皮质激素冲击治疗效果评估制度</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758" w:type="dxa"/>
            <w:vMerge w:val="restart"/>
            <w:tcBorders>
              <w:tl2br w:val="nil"/>
              <w:tr2bl w:val="nil"/>
            </w:tcBorders>
            <w:shd w:val="clear" w:color="auto" w:fill="FFFFFF"/>
            <w:noWrap w:val="0"/>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525" w:type="dxa"/>
            <w:vMerge w:val="continue"/>
            <w:tcBorders>
              <w:tl2br w:val="nil"/>
              <w:tr2bl w:val="nil"/>
            </w:tcBorders>
            <w:shd w:val="clear" w:color="auto" w:fill="FFFFFF"/>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shd w:val="clear" w:color="auto" w:fill="auto"/>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shd w:val="clear" w:color="auto" w:fill="auto"/>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.制定糖皮质激素冲击治疗评估标准和流程（0.5分）</w:t>
            </w:r>
            <w:r>
              <w:rPr>
                <w:rFonts w:hint="eastAsia" w:ascii="仿宋_GB2312" w:hAnsi="仿宋_GB2312" w:eastAsia="仿宋_GB2312" w:cs="仿宋_GB2312"/>
                <w:color w:val="000000"/>
                <w:kern w:val="0"/>
                <w:sz w:val="24"/>
                <w:szCs w:val="24"/>
                <w:lang w:bidi="ar"/>
              </w:rPr>
              <w:t>；</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525" w:type="dxa"/>
            <w:vMerge w:val="continue"/>
            <w:tcBorders>
              <w:tl2br w:val="nil"/>
              <w:tr2bl w:val="nil"/>
            </w:tcBorders>
            <w:shd w:val="clear" w:color="auto" w:fill="FFFFFF"/>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shd w:val="clear" w:color="auto" w:fill="auto"/>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shd w:val="clear" w:color="auto" w:fill="auto"/>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落实</w:t>
            </w:r>
            <w:r>
              <w:rPr>
                <w:rFonts w:hint="eastAsia" w:ascii="仿宋_GB2312" w:hAnsi="仿宋_GB2312" w:eastAsia="仿宋_GB2312" w:cs="仿宋_GB2312"/>
                <w:color w:val="000000"/>
                <w:sz w:val="24"/>
                <w:szCs w:val="24"/>
                <w:lang w:val="en-US" w:eastAsia="zh-CN"/>
              </w:rPr>
              <w:t>住院患者糖皮质激素冲击治疗前、后效果评估</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525" w:type="dxa"/>
            <w:vMerge w:val="continue"/>
            <w:tcBorders>
              <w:tl2br w:val="nil"/>
              <w:tr2bl w:val="nil"/>
            </w:tcBorders>
            <w:shd w:val="clear" w:color="auto" w:fill="FFFFFF"/>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shd w:val="clear" w:color="auto" w:fill="auto"/>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shd w:val="clear" w:color="auto" w:fill="auto"/>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相关医疗文书书写规范（0.3分），患者签署有知情同意书</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1525" w:type="dxa"/>
            <w:vMerge w:val="restart"/>
            <w:tcBorders>
              <w:tl2br w:val="nil"/>
              <w:tr2bl w:val="nil"/>
            </w:tcBorders>
            <w:shd w:val="clear" w:color="auto" w:fill="FFFFFF"/>
            <w:noWrap w:val="0"/>
            <w:vAlign w:val="center"/>
          </w:tcPr>
          <w:p>
            <w:pPr>
              <w:spacing w:line="320" w:lineRule="exact"/>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kern w:val="2"/>
                <w:sz w:val="24"/>
                <w:szCs w:val="24"/>
                <w:lang w:val="en-US" w:eastAsia="zh-CN" w:bidi="ar-SA"/>
              </w:rPr>
              <w:t>6.92.</w:t>
            </w:r>
            <w:r>
              <w:rPr>
                <w:rFonts w:hint="eastAsia" w:ascii="仿宋_GB2312" w:hAnsi="仿宋_GB2312" w:eastAsia="仿宋_GB2312" w:cs="仿宋_GB2312"/>
                <w:color w:val="000000"/>
                <w:sz w:val="24"/>
                <w:szCs w:val="24"/>
                <w:lang w:val="en-US" w:eastAsia="zh-CN"/>
              </w:rPr>
              <w:t>2</w:t>
            </w:r>
          </w:p>
        </w:tc>
        <w:tc>
          <w:tcPr>
            <w:tcW w:w="4666" w:type="dxa"/>
            <w:vMerge w:val="restart"/>
            <w:tcBorders>
              <w:tl2br w:val="nil"/>
              <w:tr2bl w:val="nil"/>
            </w:tcBorders>
            <w:shd w:val="clear" w:color="auto" w:fill="auto"/>
            <w:noWrap w:val="0"/>
            <w:vAlign w:val="center"/>
          </w:tcPr>
          <w:p>
            <w:pPr>
              <w:spacing w:line="320" w:lineRule="exact"/>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对糖皮质激素冲击治疗的住院患者进行质量管理，提高疗效，减少冲击治疗不良反应发生。</w:t>
            </w:r>
          </w:p>
        </w:tc>
        <w:tc>
          <w:tcPr>
            <w:tcW w:w="1710" w:type="dxa"/>
            <w:vMerge w:val="restart"/>
            <w:tcBorders>
              <w:tl2br w:val="nil"/>
              <w:tr2bl w:val="nil"/>
            </w:tcBorders>
            <w:shd w:val="clear" w:color="auto" w:fill="auto"/>
            <w:noWrap w:val="0"/>
            <w:vAlign w:val="center"/>
          </w:tcPr>
          <w:p>
            <w:pPr>
              <w:widowControl/>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widowControl/>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p>
            <w:pPr>
              <w:pStyle w:val="2"/>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访谈员工</w:t>
            </w: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1.按糖皮质类药物临床应用指导原则合理制定</w:t>
            </w:r>
            <w:r>
              <w:rPr>
                <w:rFonts w:hint="eastAsia" w:ascii="仿宋_GB2312" w:hAnsi="仿宋_GB2312" w:eastAsia="仿宋_GB2312" w:cs="仿宋_GB2312"/>
                <w:color w:val="000000"/>
                <w:sz w:val="24"/>
                <w:szCs w:val="24"/>
                <w:lang w:val="en-US" w:eastAsia="zh-CN"/>
              </w:rPr>
              <w:t>住院患者糖皮质激素冲击治疗方案（0.5分）；</w:t>
            </w:r>
          </w:p>
        </w:tc>
        <w:tc>
          <w:tcPr>
            <w:tcW w:w="758" w:type="dxa"/>
            <w:vMerge w:val="restart"/>
            <w:tcBorders>
              <w:tl2br w:val="nil"/>
              <w:tr2bl w:val="nil"/>
            </w:tcBorders>
            <w:shd w:val="clear" w:color="auto" w:fill="FFFFFF"/>
            <w:noWrap w:val="0"/>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525" w:type="dxa"/>
            <w:vMerge w:val="continue"/>
            <w:tcBorders>
              <w:tl2br w:val="nil"/>
              <w:tr2bl w:val="nil"/>
            </w:tcBorders>
            <w:shd w:val="clear" w:color="auto" w:fill="FFFFFF"/>
            <w:noWrap w:val="0"/>
            <w:vAlign w:val="center"/>
          </w:tcPr>
          <w:p>
            <w:pPr>
              <w:spacing w:line="320" w:lineRule="exact"/>
              <w:jc w:val="left"/>
              <w:rPr>
                <w:rFonts w:hint="eastAsia" w:ascii="仿宋_GB2312" w:hAnsi="仿宋_GB2312" w:eastAsia="仿宋_GB2312" w:cs="仿宋_GB2312"/>
                <w:color w:val="000000"/>
                <w:sz w:val="24"/>
                <w:szCs w:val="24"/>
                <w:lang w:val="en-US" w:eastAsia="zh-CN"/>
              </w:rPr>
            </w:pPr>
          </w:p>
        </w:tc>
        <w:tc>
          <w:tcPr>
            <w:tcW w:w="4666" w:type="dxa"/>
            <w:vMerge w:val="continue"/>
            <w:tcBorders>
              <w:tl2br w:val="nil"/>
              <w:tr2bl w:val="nil"/>
            </w:tcBorders>
            <w:shd w:val="clear" w:color="auto" w:fill="auto"/>
            <w:noWrap w:val="0"/>
            <w:vAlign w:val="center"/>
          </w:tcPr>
          <w:p>
            <w:pPr>
              <w:spacing w:line="320" w:lineRule="exact"/>
              <w:jc w:val="left"/>
              <w:rPr>
                <w:rFonts w:hint="eastAsia" w:ascii="仿宋_GB2312" w:hAnsi="仿宋_GB2312" w:eastAsia="仿宋_GB2312" w:cs="仿宋_GB2312"/>
                <w:color w:val="000000"/>
                <w:sz w:val="24"/>
                <w:szCs w:val="24"/>
                <w:lang w:val="en-US" w:eastAsia="zh-CN"/>
              </w:rPr>
            </w:pPr>
          </w:p>
        </w:tc>
        <w:tc>
          <w:tcPr>
            <w:tcW w:w="1710" w:type="dxa"/>
            <w:vMerge w:val="continue"/>
            <w:tcBorders>
              <w:tl2br w:val="nil"/>
              <w:tr2bl w:val="nil"/>
            </w:tcBorders>
            <w:shd w:val="clear" w:color="auto" w:fill="auto"/>
            <w:noWrap w:val="0"/>
            <w:vAlign w:val="center"/>
          </w:tcPr>
          <w:p>
            <w:pPr>
              <w:pStyle w:val="2"/>
              <w:rPr>
                <w:rFonts w:hint="eastAsia" w:ascii="仿宋_GB2312" w:hAnsi="仿宋_GB2312" w:eastAsia="仿宋_GB2312" w:cs="仿宋_GB2312"/>
                <w:color w:val="000000"/>
                <w:kern w:val="0"/>
                <w:sz w:val="24"/>
                <w:szCs w:val="24"/>
                <w:lang w:val="en-US" w:eastAsia="zh-CN" w:bidi="ar"/>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sz w:val="24"/>
                <w:szCs w:val="24"/>
                <w:lang w:val="en-US" w:eastAsia="zh-CN"/>
              </w:rPr>
              <w:t>住院患者糖皮质激素冲击治疗方案由主治医师以上专业技术职务任职资格医师审核制定（0.5分）；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525" w:type="dxa"/>
            <w:vMerge w:val="continue"/>
            <w:tcBorders>
              <w:tl2br w:val="nil"/>
              <w:tr2bl w:val="nil"/>
            </w:tcBorders>
            <w:shd w:val="clear" w:color="auto" w:fill="FFFFFF"/>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shd w:val="clear" w:color="auto" w:fill="auto"/>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shd w:val="clear" w:color="auto" w:fill="auto"/>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3.医师严格准确掌握</w:t>
            </w:r>
            <w:r>
              <w:rPr>
                <w:rFonts w:hint="eastAsia" w:ascii="仿宋_GB2312" w:hAnsi="仿宋_GB2312" w:eastAsia="仿宋_GB2312" w:cs="仿宋_GB2312"/>
                <w:color w:val="000000"/>
                <w:sz w:val="24"/>
                <w:szCs w:val="24"/>
                <w:lang w:val="en-US" w:eastAsia="zh-CN"/>
              </w:rPr>
              <w:t>糖皮质激素冲击治疗适应征和禁忌证，给药方案正确合理（0.5分）；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525" w:type="dxa"/>
            <w:vMerge w:val="continue"/>
            <w:tcBorders>
              <w:tl2br w:val="nil"/>
              <w:tr2bl w:val="nil"/>
            </w:tcBorders>
            <w:shd w:val="clear" w:color="auto" w:fill="FFFFFF"/>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shd w:val="clear" w:color="auto" w:fill="auto"/>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shd w:val="clear" w:color="auto" w:fill="auto"/>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spacing w:val="7"/>
                <w:sz w:val="24"/>
                <w:szCs w:val="24"/>
              </w:rPr>
              <w:t>访谈员工知晓</w:t>
            </w:r>
            <w:r>
              <w:rPr>
                <w:rFonts w:hint="eastAsia" w:ascii="仿宋_GB2312" w:hAnsi="仿宋_GB2312" w:eastAsia="仿宋_GB2312" w:cs="仿宋_GB2312"/>
                <w:color w:val="000000"/>
                <w:spacing w:val="7"/>
                <w:sz w:val="24"/>
                <w:szCs w:val="24"/>
                <w:lang w:val="en-US" w:eastAsia="zh-CN"/>
              </w:rPr>
              <w:t>糖皮质激素冲击治疗</w:t>
            </w:r>
            <w:r>
              <w:rPr>
                <w:rFonts w:hint="eastAsia" w:ascii="仿宋_GB2312" w:hAnsi="仿宋_GB2312" w:eastAsia="仿宋_GB2312" w:cs="仿宋_GB2312"/>
                <w:color w:val="000000"/>
                <w:spacing w:val="7"/>
                <w:sz w:val="24"/>
                <w:szCs w:val="24"/>
              </w:rPr>
              <w:t>相关内容</w:t>
            </w:r>
            <w:r>
              <w:rPr>
                <w:rFonts w:hint="eastAsia" w:ascii="仿宋_GB2312" w:hAnsi="仿宋_GB2312" w:eastAsia="仿宋_GB2312" w:cs="仿宋_GB2312"/>
                <w:color w:val="000000"/>
                <w:sz w:val="24"/>
                <w:szCs w:val="24"/>
                <w:lang w:val="en-US" w:eastAsia="zh-CN"/>
              </w:rPr>
              <w:t>（0.5分）；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1525" w:type="dxa"/>
            <w:vMerge w:val="continue"/>
            <w:tcBorders>
              <w:tl2br w:val="nil"/>
              <w:tr2bl w:val="nil"/>
            </w:tcBorders>
            <w:shd w:val="clear" w:color="auto" w:fill="FFFFFF"/>
            <w:noWrap w:val="0"/>
            <w:vAlign w:val="center"/>
          </w:tcPr>
          <w:p>
            <w:pPr>
              <w:spacing w:line="320" w:lineRule="exact"/>
              <w:jc w:val="left"/>
              <w:rPr>
                <w:rFonts w:hint="eastAsia" w:ascii="仿宋_GB2312" w:hAnsi="仿宋_GB2312" w:eastAsia="仿宋_GB2312" w:cs="仿宋_GB2312"/>
                <w:color w:val="000000"/>
                <w:sz w:val="24"/>
                <w:szCs w:val="24"/>
              </w:rPr>
            </w:pPr>
          </w:p>
        </w:tc>
        <w:tc>
          <w:tcPr>
            <w:tcW w:w="4666" w:type="dxa"/>
            <w:vMerge w:val="continue"/>
            <w:tcBorders>
              <w:tl2br w:val="nil"/>
              <w:tr2bl w:val="nil"/>
            </w:tcBorders>
            <w:shd w:val="clear" w:color="auto" w:fill="auto"/>
            <w:noWrap w:val="0"/>
            <w:vAlign w:val="center"/>
          </w:tcPr>
          <w:p>
            <w:pPr>
              <w:spacing w:line="320" w:lineRule="exact"/>
              <w:jc w:val="left"/>
              <w:rPr>
                <w:rFonts w:hint="eastAsia" w:ascii="仿宋_GB2312" w:hAnsi="仿宋_GB2312" w:eastAsia="仿宋_GB2312" w:cs="仿宋_GB2312"/>
                <w:color w:val="000000"/>
                <w:sz w:val="24"/>
                <w:szCs w:val="24"/>
              </w:rPr>
            </w:pPr>
          </w:p>
        </w:tc>
        <w:tc>
          <w:tcPr>
            <w:tcW w:w="1710" w:type="dxa"/>
            <w:vMerge w:val="continue"/>
            <w:tcBorders>
              <w:tl2br w:val="nil"/>
              <w:tr2bl w:val="nil"/>
            </w:tcBorders>
            <w:shd w:val="clear" w:color="auto" w:fill="auto"/>
            <w:noWrap w:val="0"/>
            <w:vAlign w:val="center"/>
          </w:tcPr>
          <w:p>
            <w:pPr>
              <w:spacing w:line="320" w:lineRule="exact"/>
              <w:jc w:val="center"/>
              <w:rPr>
                <w:rFonts w:hint="eastAsia" w:ascii="仿宋_GB2312" w:hAnsi="仿宋_GB2312" w:eastAsia="仿宋_GB2312" w:cs="仿宋_GB2312"/>
                <w:color w:val="000000"/>
                <w:sz w:val="24"/>
                <w:szCs w:val="24"/>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5.定期对</w:t>
            </w:r>
            <w:r>
              <w:rPr>
                <w:rFonts w:hint="eastAsia" w:ascii="仿宋_GB2312" w:hAnsi="仿宋_GB2312" w:eastAsia="仿宋_GB2312" w:cs="仿宋_GB2312"/>
                <w:color w:val="000000"/>
                <w:sz w:val="24"/>
                <w:szCs w:val="24"/>
                <w:lang w:val="en-US" w:eastAsia="zh-CN"/>
              </w:rPr>
              <w:t>住院患者糖皮质激素冲击治疗质量工作开展分析总结（0.5分）。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4014" w:type="dxa"/>
            <w:gridSpan w:val="4"/>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九十三</w:t>
            </w:r>
            <w:r>
              <w:rPr>
                <w:rFonts w:hint="eastAsia" w:ascii="仿宋_GB2312" w:hAnsi="仿宋_GB2312" w:eastAsia="仿宋_GB2312" w:cs="仿宋_GB2312"/>
                <w:color w:val="000000"/>
                <w:kern w:val="0"/>
                <w:sz w:val="24"/>
                <w:szCs w:val="24"/>
                <w:lang w:bidi="ar"/>
              </w:rPr>
              <w:t>）</w:t>
            </w:r>
            <w:r>
              <w:rPr>
                <w:rFonts w:ascii="仿宋_GB2312" w:hAnsi="仿宋_GB2312" w:eastAsia="仿宋_GB2312" w:cs="仿宋_GB2312"/>
                <w:color w:val="000000"/>
                <w:kern w:val="0"/>
                <w:sz w:val="24"/>
                <w:szCs w:val="24"/>
                <w:lang w:bidi="ar"/>
              </w:rPr>
              <w:t>开展</w:t>
            </w:r>
            <w:r>
              <w:rPr>
                <w:rFonts w:hint="eastAsia" w:ascii="仿宋_GB2312" w:hAnsi="仿宋_GB2312" w:eastAsia="仿宋_GB2312" w:cs="仿宋_GB2312"/>
                <w:color w:val="000000"/>
                <w:kern w:val="0"/>
                <w:sz w:val="24"/>
                <w:szCs w:val="24"/>
                <w:lang w:bidi="ar"/>
              </w:rPr>
              <w:t>皮肤病</w:t>
            </w:r>
            <w:r>
              <w:rPr>
                <w:rFonts w:ascii="仿宋_GB2312" w:hAnsi="仿宋_GB2312" w:eastAsia="仿宋_GB2312" w:cs="仿宋_GB2312"/>
                <w:color w:val="000000"/>
                <w:kern w:val="0"/>
                <w:sz w:val="24"/>
                <w:szCs w:val="24"/>
                <w:lang w:bidi="ar"/>
              </w:rPr>
              <w:t>物理治疗项目</w:t>
            </w:r>
            <w:r>
              <w:rPr>
                <w:rFonts w:hint="eastAsia" w:ascii="仿宋_GB2312" w:hAnsi="仿宋_GB2312" w:eastAsia="仿宋_GB2312" w:cs="仿宋_GB2312"/>
                <w:color w:val="000000"/>
                <w:kern w:val="0"/>
                <w:sz w:val="24"/>
                <w:szCs w:val="24"/>
                <w:lang w:bidi="ar"/>
              </w:rPr>
              <w:t>，建立疗效评估机制</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规范开展诊疗和质量持续改进活动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2.5分</w:t>
            </w:r>
            <w:r>
              <w:rPr>
                <w:rFonts w:hint="eastAsia" w:ascii="仿宋_GB2312" w:hAnsi="仿宋_GB2312" w:eastAsia="仿宋_GB2312" w:cs="仿宋_GB2312"/>
                <w:color w:val="000000"/>
                <w:sz w:val="24"/>
                <w:szCs w:val="24"/>
                <w:lang w:eastAsia="zh-CN"/>
              </w:rPr>
              <w:t>）。</w:t>
            </w:r>
          </w:p>
        </w:tc>
        <w:tc>
          <w:tcPr>
            <w:tcW w:w="758" w:type="dxa"/>
            <w:tcBorders>
              <w:tl2br w:val="nil"/>
              <w:tr2bl w:val="nil"/>
            </w:tcBorders>
            <w:shd w:val="clear" w:color="auto" w:fill="FFFFFF"/>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restart"/>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2.6.93.1</w:t>
            </w:r>
          </w:p>
        </w:tc>
        <w:tc>
          <w:tcPr>
            <w:tcW w:w="4666"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开展皮肤病物理治疗和质量监控管理</w:t>
            </w:r>
            <w:r>
              <w:rPr>
                <w:rFonts w:hint="eastAsia" w:ascii="仿宋_GB2312" w:hAnsi="仿宋_GB2312" w:eastAsia="仿宋_GB2312" w:cs="仿宋_GB2312"/>
                <w:color w:val="000000"/>
                <w:kern w:val="0"/>
                <w:sz w:val="24"/>
                <w:szCs w:val="24"/>
                <w:lang w:eastAsia="zh-CN" w:bidi="ar"/>
              </w:rPr>
              <w:t>。</w:t>
            </w:r>
          </w:p>
        </w:tc>
        <w:tc>
          <w:tcPr>
            <w:tcW w:w="1710"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查看记录</w:t>
            </w:r>
          </w:p>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员工访谈</w:t>
            </w:r>
          </w:p>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病案检查</w:t>
            </w: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1.科室有开展水疗、光疗（紫外线、红蓝光）等物理治疗项目，能满足临床需要</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0.5分</w:t>
            </w:r>
            <w:r>
              <w:rPr>
                <w:rFonts w:hint="eastAsia" w:ascii="仿宋_GB2312" w:hAnsi="仿宋_GB2312" w:eastAsia="仿宋_GB2312" w:cs="仿宋_GB2312"/>
                <w:color w:val="000000"/>
                <w:kern w:val="0"/>
                <w:sz w:val="24"/>
                <w:szCs w:val="24"/>
                <w:lang w:eastAsia="zh-CN" w:bidi="ar"/>
              </w:rPr>
              <w:t>）；</w:t>
            </w:r>
          </w:p>
        </w:tc>
        <w:tc>
          <w:tcPr>
            <w:tcW w:w="758" w:type="dxa"/>
            <w:vMerge w:val="restart"/>
            <w:tcBorders>
              <w:tl2br w:val="nil"/>
              <w:tr2bl w:val="nil"/>
            </w:tcBorders>
            <w:shd w:val="clear" w:color="auto" w:fill="FFFFFF"/>
            <w:noWrap w:val="0"/>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p>
        </w:tc>
        <w:tc>
          <w:tcPr>
            <w:tcW w:w="466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p>
        </w:tc>
        <w:tc>
          <w:tcPr>
            <w:tcW w:w="1710"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2.制定有疗效评估制度；有皮肤病物理治疗指南/规范</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0.5分</w:t>
            </w:r>
            <w:r>
              <w:rPr>
                <w:rFonts w:hint="eastAsia" w:ascii="仿宋_GB2312" w:hAnsi="仿宋_GB2312" w:eastAsia="仿宋_GB2312" w:cs="仿宋_GB2312"/>
                <w:color w:val="000000"/>
                <w:kern w:val="0"/>
                <w:sz w:val="24"/>
                <w:szCs w:val="24"/>
                <w:lang w:eastAsia="zh-CN" w:bidi="ar"/>
              </w:rPr>
              <w:t>）；</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p>
        </w:tc>
        <w:tc>
          <w:tcPr>
            <w:tcW w:w="466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p>
        </w:tc>
        <w:tc>
          <w:tcPr>
            <w:tcW w:w="1710"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6113" w:type="dxa"/>
            <w:tcBorders>
              <w:tl2br w:val="nil"/>
              <w:tr2bl w:val="nil"/>
            </w:tcBorders>
            <w:shd w:val="clear" w:color="auto" w:fill="auto"/>
            <w:noWrap w:val="0"/>
            <w:vAlign w:val="top"/>
          </w:tcPr>
          <w:p>
            <w:pPr>
              <w:widowControl/>
              <w:spacing w:line="320" w:lineRule="exact"/>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3.有皮肤病物理治疗常见并发症的预防与风险防范措施、处置预案和流程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0.5分</w:t>
            </w:r>
            <w:r>
              <w:rPr>
                <w:rFonts w:hint="eastAsia" w:ascii="仿宋_GB2312" w:hAnsi="仿宋_GB2312" w:eastAsia="仿宋_GB2312" w:cs="仿宋_GB2312"/>
                <w:color w:val="000000"/>
                <w:kern w:val="0"/>
                <w:sz w:val="24"/>
                <w:szCs w:val="24"/>
                <w:lang w:eastAsia="zh-CN" w:bidi="ar"/>
              </w:rPr>
              <w:t>）；</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p>
        </w:tc>
        <w:tc>
          <w:tcPr>
            <w:tcW w:w="466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p>
        </w:tc>
        <w:tc>
          <w:tcPr>
            <w:tcW w:w="1710"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6113" w:type="dxa"/>
            <w:tcBorders>
              <w:tl2br w:val="nil"/>
              <w:tr2bl w:val="nil"/>
            </w:tcBorders>
            <w:shd w:val="clear" w:color="auto" w:fill="auto"/>
            <w:noWrap w:val="0"/>
            <w:vAlign w:val="top"/>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 相关人员熟悉各类风险的防范措施和处置流程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0.5分</w:t>
            </w:r>
            <w:r>
              <w:rPr>
                <w:rFonts w:hint="eastAsia" w:ascii="仿宋_GB2312" w:hAnsi="仿宋_GB2312" w:eastAsia="仿宋_GB2312" w:cs="仿宋_GB2312"/>
                <w:color w:val="000000"/>
                <w:kern w:val="0"/>
                <w:sz w:val="24"/>
                <w:szCs w:val="24"/>
                <w:lang w:eastAsia="zh-CN" w:bidi="ar"/>
              </w:rPr>
              <w:t>）；</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p>
        </w:tc>
        <w:tc>
          <w:tcPr>
            <w:tcW w:w="466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p>
        </w:tc>
        <w:tc>
          <w:tcPr>
            <w:tcW w:w="1710"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6113" w:type="dxa"/>
            <w:tcBorders>
              <w:tl2br w:val="nil"/>
              <w:tr2bl w:val="nil"/>
            </w:tcBorders>
            <w:shd w:val="clear" w:color="auto" w:fill="auto"/>
            <w:noWrap w:val="0"/>
            <w:vAlign w:val="top"/>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5.定期评价皮肤病物理治疗质量，包括对常见并发症的追踪分析，有持续改进措施</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0.5分</w:t>
            </w:r>
            <w:r>
              <w:rPr>
                <w:rFonts w:hint="eastAsia" w:ascii="仿宋_GB2312" w:hAnsi="仿宋_GB2312" w:eastAsia="仿宋_GB2312" w:cs="仿宋_GB2312"/>
                <w:color w:val="000000"/>
                <w:kern w:val="0"/>
                <w:sz w:val="24"/>
                <w:szCs w:val="24"/>
                <w:lang w:eastAsia="zh-CN" w:bidi="ar"/>
              </w:rPr>
              <w:t>）。</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4772" w:type="dxa"/>
            <w:gridSpan w:val="5"/>
            <w:tcBorders>
              <w:tl2br w:val="nil"/>
              <w:tr2bl w:val="nil"/>
            </w:tcBorders>
            <w:shd w:val="clear" w:color="auto" w:fill="FFFFFF"/>
            <w:noWrap w:val="0"/>
            <w:vAlign w:val="center"/>
          </w:tcPr>
          <w:p>
            <w:p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九十四</w:t>
            </w:r>
            <w:r>
              <w:rPr>
                <w:rFonts w:hint="eastAsia" w:ascii="仿宋_GB2312" w:hAnsi="仿宋_GB2312" w:eastAsia="仿宋_GB2312" w:cs="仿宋_GB2312"/>
                <w:color w:val="000000"/>
                <w:kern w:val="0"/>
                <w:sz w:val="24"/>
                <w:szCs w:val="24"/>
                <w:lang w:bidi="ar"/>
              </w:rPr>
              <w:t>）严格落实质量</w:t>
            </w:r>
            <w:r>
              <w:rPr>
                <w:rFonts w:hint="eastAsia" w:ascii="仿宋_GB2312" w:hAnsi="仿宋_GB2312" w:eastAsia="仿宋_GB2312" w:cs="仿宋_GB2312"/>
                <w:color w:val="000000"/>
                <w:kern w:val="0"/>
                <w:sz w:val="24"/>
                <w:szCs w:val="24"/>
                <w:lang w:val="en-US" w:eastAsia="zh-CN" w:bidi="ar"/>
              </w:rPr>
              <w:t>与安全</w:t>
            </w:r>
            <w:r>
              <w:rPr>
                <w:rFonts w:hint="eastAsia" w:ascii="仿宋_GB2312" w:hAnsi="仿宋_GB2312" w:eastAsia="仿宋_GB2312" w:cs="仿宋_GB2312"/>
                <w:color w:val="000000"/>
                <w:kern w:val="0"/>
                <w:sz w:val="24"/>
                <w:szCs w:val="24"/>
                <w:lang w:bidi="ar"/>
              </w:rPr>
              <w:t>控制</w:t>
            </w:r>
            <w:r>
              <w:rPr>
                <w:rFonts w:hint="eastAsia" w:ascii="仿宋_GB2312" w:hAnsi="仿宋_GB2312" w:eastAsia="仿宋_GB2312" w:cs="仿宋_GB2312"/>
                <w:color w:val="000000"/>
                <w:kern w:val="0"/>
                <w:sz w:val="24"/>
                <w:szCs w:val="24"/>
                <w:lang w:val="en-US" w:eastAsia="zh-CN" w:bidi="ar"/>
              </w:rPr>
              <w:t>指标</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科室定期分析总结，</w:t>
            </w:r>
            <w:r>
              <w:rPr>
                <w:rFonts w:hint="eastAsia" w:ascii="仿宋_GB2312" w:hAnsi="仿宋_GB2312" w:eastAsia="仿宋_GB2312" w:cs="仿宋_GB2312"/>
                <w:color w:val="000000"/>
                <w:kern w:val="0"/>
                <w:sz w:val="24"/>
                <w:szCs w:val="24"/>
                <w:lang w:bidi="ar"/>
              </w:rPr>
              <w:t>及时发现问题并整改</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促进持续改进，保证质量与安全</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3.5分</w:t>
            </w:r>
            <w:r>
              <w:rPr>
                <w:rFonts w:hint="eastAsia" w:ascii="仿宋_GB2312" w:hAnsi="仿宋_GB2312" w:eastAsia="仿宋_GB2312" w:cs="仿宋_GB2312"/>
                <w:b w:val="0"/>
                <w:bCs w:val="0"/>
                <w:color w:val="000000"/>
                <w:kern w:val="0"/>
                <w:sz w:val="24"/>
                <w:szCs w:val="24"/>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restart"/>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2.6.94.1</w:t>
            </w:r>
          </w:p>
        </w:tc>
        <w:tc>
          <w:tcPr>
            <w:tcW w:w="4666"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2"/>
                <w:sz w:val="24"/>
                <w:szCs w:val="24"/>
                <w:lang w:val="en-US" w:eastAsia="zh-CN" w:bidi="ar-SA"/>
              </w:rPr>
              <w:t>有科室的质量与安全控制指标，</w:t>
            </w:r>
            <w:r>
              <w:rPr>
                <w:rFonts w:hint="eastAsia" w:ascii="仿宋_GB2312" w:hAnsi="仿宋_GB2312" w:eastAsia="仿宋_GB2312" w:cs="仿宋_GB2312"/>
                <w:color w:val="000000"/>
                <w:kern w:val="0"/>
                <w:sz w:val="24"/>
                <w:szCs w:val="24"/>
                <w:lang w:val="en-US" w:eastAsia="zh-CN" w:bidi="ar"/>
              </w:rPr>
              <w:t>开展质量控制、定期进行质量评价。</w:t>
            </w:r>
          </w:p>
          <w:p>
            <w:pPr>
              <w:widowControl/>
              <w:spacing w:line="320" w:lineRule="exact"/>
              <w:rPr>
                <w:rFonts w:hint="eastAsia" w:ascii="仿宋_GB2312" w:hAnsi="仿宋_GB2312" w:eastAsia="仿宋_GB2312" w:cs="仿宋_GB2312"/>
                <w:color w:val="000000"/>
                <w:kern w:val="0"/>
                <w:sz w:val="24"/>
                <w:szCs w:val="24"/>
                <w:lang w:val="en-US" w:eastAsia="zh-CN" w:bidi="ar"/>
              </w:rPr>
            </w:pPr>
          </w:p>
        </w:tc>
        <w:tc>
          <w:tcPr>
            <w:tcW w:w="1710" w:type="dxa"/>
            <w:vMerge w:val="restart"/>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p>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查看记录</w:t>
            </w:r>
          </w:p>
          <w:p>
            <w:pPr>
              <w:widowControl/>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病案检查</w:t>
            </w:r>
          </w:p>
        </w:tc>
        <w:tc>
          <w:tcPr>
            <w:tcW w:w="6113" w:type="dxa"/>
            <w:tcBorders>
              <w:tl2br w:val="nil"/>
              <w:tr2bl w:val="nil"/>
            </w:tcBorders>
            <w:shd w:val="clear" w:color="auto" w:fill="auto"/>
            <w:noWrap w:val="0"/>
            <w:vAlign w:val="center"/>
          </w:tcPr>
          <w:p>
            <w:pPr>
              <w:widowControl/>
              <w:spacing w:line="320" w:lineRule="exact"/>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1.制定住院病区常见疾病的诊疗规范和管理制度（0.5分）；</w:t>
            </w:r>
          </w:p>
        </w:tc>
        <w:tc>
          <w:tcPr>
            <w:tcW w:w="758" w:type="dxa"/>
            <w:vMerge w:val="restart"/>
            <w:tcBorders>
              <w:tl2br w:val="nil"/>
              <w:tr2bl w:val="nil"/>
            </w:tcBorders>
            <w:shd w:val="clear" w:color="auto" w:fill="FFFFFF"/>
            <w:noWrap w:val="0"/>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p>
        </w:tc>
        <w:tc>
          <w:tcPr>
            <w:tcW w:w="4666"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color w:val="000000"/>
                <w:kern w:val="0"/>
                <w:sz w:val="24"/>
                <w:szCs w:val="24"/>
                <w:lang w:val="en-US" w:eastAsia="zh-CN" w:bidi="ar"/>
              </w:rPr>
            </w:pPr>
          </w:p>
        </w:tc>
        <w:tc>
          <w:tcPr>
            <w:tcW w:w="1710"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color w:val="000000"/>
                <w:kern w:val="0"/>
                <w:sz w:val="24"/>
                <w:szCs w:val="24"/>
                <w:lang w:bidi="ar"/>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2.制定有皮肤内科质量与安全控制指标（0.5分）；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p>
        </w:tc>
        <w:tc>
          <w:tcPr>
            <w:tcW w:w="4666"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color w:val="000000"/>
                <w:kern w:val="0"/>
                <w:sz w:val="24"/>
                <w:szCs w:val="24"/>
                <w:lang w:val="en-US" w:eastAsia="zh-CN" w:bidi="ar"/>
              </w:rPr>
            </w:pPr>
          </w:p>
        </w:tc>
        <w:tc>
          <w:tcPr>
            <w:tcW w:w="1710"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color w:val="000000"/>
                <w:kern w:val="0"/>
                <w:sz w:val="24"/>
                <w:szCs w:val="24"/>
                <w:lang w:bidi="ar"/>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3.定期对科室质量安全进行自查，总结分析本科室质量与安全指标的变化趋势（0.5分），对负性指标有针对性的整改措施（0.5分）；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p>
        </w:tc>
        <w:tc>
          <w:tcPr>
            <w:tcW w:w="4666"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color w:val="000000"/>
                <w:kern w:val="0"/>
                <w:sz w:val="24"/>
                <w:szCs w:val="24"/>
                <w:lang w:val="en-US" w:eastAsia="zh-CN" w:bidi="ar"/>
              </w:rPr>
            </w:pPr>
          </w:p>
        </w:tc>
        <w:tc>
          <w:tcPr>
            <w:tcW w:w="1710"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color w:val="000000"/>
                <w:kern w:val="0"/>
                <w:sz w:val="24"/>
                <w:szCs w:val="24"/>
                <w:lang w:bidi="ar"/>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4.主管部门定期督导检查、分析、反馈（0.5分），并检查科室整改落实情况（0.5分）；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2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2"/>
                <w:sz w:val="24"/>
                <w:szCs w:val="24"/>
                <w:lang w:val="en-US" w:eastAsia="zh-CN" w:bidi="ar-SA"/>
              </w:rPr>
            </w:pPr>
          </w:p>
        </w:tc>
        <w:tc>
          <w:tcPr>
            <w:tcW w:w="4666"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color w:val="000000"/>
                <w:kern w:val="0"/>
                <w:sz w:val="24"/>
                <w:szCs w:val="24"/>
                <w:lang w:val="en-US" w:eastAsia="zh-CN" w:bidi="ar"/>
              </w:rPr>
            </w:pPr>
          </w:p>
        </w:tc>
        <w:tc>
          <w:tcPr>
            <w:tcW w:w="1710"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color w:val="000000"/>
                <w:kern w:val="0"/>
                <w:sz w:val="24"/>
                <w:szCs w:val="24"/>
                <w:lang w:bidi="ar"/>
              </w:rPr>
            </w:pPr>
          </w:p>
        </w:tc>
        <w:tc>
          <w:tcPr>
            <w:tcW w:w="6113" w:type="dxa"/>
            <w:tcBorders>
              <w:tl2br w:val="nil"/>
              <w:tr2bl w:val="nil"/>
            </w:tcBorders>
            <w:shd w:val="clear" w:color="auto" w:fill="auto"/>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5.持续改进有成效，相关人员无医疗质量安全不良事件发生（0.5分）。</w:t>
            </w:r>
          </w:p>
        </w:tc>
        <w:tc>
          <w:tcPr>
            <w:tcW w:w="758"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color w:val="000000"/>
                <w:sz w:val="24"/>
                <w:szCs w:val="24"/>
                <w:lang w:val="en-US" w:eastAsia="zh-CN"/>
              </w:rPr>
            </w:pPr>
          </w:p>
        </w:tc>
      </w:tr>
    </w:tbl>
    <w:p>
      <w:pPr>
        <w:pStyle w:val="2"/>
        <w:jc w:val="both"/>
        <w:rPr>
          <w:rFonts w:hint="eastAsia"/>
          <w:color w:val="000000"/>
          <w:sz w:val="28"/>
          <w:szCs w:val="28"/>
          <w:lang w:val="en-US" w:eastAsia="zh-CN"/>
        </w:rPr>
      </w:pPr>
    </w:p>
    <w:p>
      <w:pPr>
        <w:rPr>
          <w:rFonts w:hint="eastAsia"/>
          <w:color w:val="000000"/>
          <w:lang w:val="en-US" w:eastAsia="zh-CN"/>
        </w:rPr>
      </w:pPr>
    </w:p>
    <w:p>
      <w:pPr>
        <w:pStyle w:val="5"/>
        <w:bidi w:val="0"/>
        <w:rPr>
          <w:rFonts w:hint="eastAsia"/>
          <w:color w:val="000000"/>
          <w:lang w:val="en-US" w:eastAsia="zh-CN"/>
        </w:rPr>
      </w:pPr>
      <w:bookmarkStart w:id="172" w:name="_Toc5056"/>
      <w:bookmarkStart w:id="173" w:name="_Toc2386"/>
      <w:r>
        <w:rPr>
          <w:rFonts w:hint="eastAsia"/>
          <w:color w:val="000000"/>
          <w:lang w:val="en-US" w:eastAsia="zh-CN"/>
        </w:rPr>
        <w:br w:type="page"/>
      </w:r>
      <w:r>
        <w:rPr>
          <w:rFonts w:hint="eastAsia"/>
          <w:color w:val="000000"/>
          <w:lang w:val="en-US" w:eastAsia="zh-CN"/>
        </w:rPr>
        <w:t>七</w:t>
      </w:r>
      <w:r>
        <w:rPr>
          <w:rFonts w:hint="eastAsia"/>
          <w:color w:val="000000"/>
        </w:rPr>
        <w:t>、</w:t>
      </w:r>
      <w:r>
        <w:rPr>
          <w:rFonts w:hint="eastAsia"/>
          <w:color w:val="000000"/>
          <w:lang w:val="en-US" w:eastAsia="zh-CN"/>
        </w:rPr>
        <w:t>外科</w:t>
      </w:r>
      <w:r>
        <w:rPr>
          <w:rFonts w:hint="eastAsia"/>
          <w:color w:val="000000"/>
        </w:rPr>
        <w:t>诊疗质量保障及持续改进</w:t>
      </w:r>
      <w:r>
        <w:rPr>
          <w:rFonts w:hint="eastAsia"/>
          <w:color w:val="000000"/>
          <w:lang w:eastAsia="zh-CN"/>
        </w:rPr>
        <w:t>（</w:t>
      </w:r>
      <w:r>
        <w:rPr>
          <w:rFonts w:hint="eastAsia"/>
          <w:color w:val="000000"/>
          <w:lang w:val="en-US" w:eastAsia="zh-CN"/>
        </w:rPr>
        <w:t>14分）</w:t>
      </w:r>
      <w:bookmarkEnd w:id="172"/>
      <w:bookmarkEnd w:id="173"/>
    </w:p>
    <w:tbl>
      <w:tblPr>
        <w:tblStyle w:val="14"/>
        <w:tblW w:w="14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4718"/>
        <w:gridCol w:w="1662"/>
        <w:gridCol w:w="6096"/>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blHeader/>
        </w:trPr>
        <w:tc>
          <w:tcPr>
            <w:tcW w:w="6223" w:type="dxa"/>
            <w:gridSpan w:val="2"/>
            <w:tcBorders>
              <w:tl2br w:val="nil"/>
              <w:tr2bl w:val="nil"/>
            </w:tcBorders>
            <w:shd w:val="clear" w:color="auto" w:fill="FEF2CC"/>
            <w:noWrap w:val="0"/>
            <w:vAlign w:val="center"/>
          </w:tcPr>
          <w:p>
            <w:pPr>
              <w:widowControl/>
              <w:spacing w:line="32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评审指标细则</w:t>
            </w:r>
          </w:p>
        </w:tc>
        <w:tc>
          <w:tcPr>
            <w:tcW w:w="1662" w:type="dxa"/>
            <w:tcBorders>
              <w:tl2br w:val="nil"/>
              <w:tr2bl w:val="nil"/>
            </w:tcBorders>
            <w:shd w:val="clear" w:color="auto" w:fill="FEF2CC"/>
            <w:noWrap w:val="0"/>
            <w:vAlign w:val="center"/>
          </w:tcPr>
          <w:p>
            <w:pPr>
              <w:widowControl/>
              <w:spacing w:line="32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评审方法</w:t>
            </w:r>
          </w:p>
        </w:tc>
        <w:tc>
          <w:tcPr>
            <w:tcW w:w="6096" w:type="dxa"/>
            <w:tcBorders>
              <w:tl2br w:val="nil"/>
              <w:tr2bl w:val="nil"/>
            </w:tcBorders>
            <w:shd w:val="clear" w:color="auto" w:fill="FEF2CC"/>
            <w:noWrap w:val="0"/>
            <w:vAlign w:val="center"/>
          </w:tcPr>
          <w:p>
            <w:pPr>
              <w:widowControl/>
              <w:spacing w:line="32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评分细则</w:t>
            </w:r>
          </w:p>
        </w:tc>
        <w:tc>
          <w:tcPr>
            <w:tcW w:w="807" w:type="dxa"/>
            <w:tcBorders>
              <w:tl2br w:val="nil"/>
              <w:tr2bl w:val="nil"/>
            </w:tcBorders>
            <w:shd w:val="clear" w:color="auto" w:fill="FEF2CC"/>
            <w:noWrap w:val="0"/>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4788" w:type="dxa"/>
            <w:gridSpan w:val="5"/>
            <w:tcBorders>
              <w:tl2br w:val="nil"/>
              <w:tr2bl w:val="nil"/>
            </w:tcBorders>
            <w:noWrap w:val="0"/>
            <w:vAlign w:val="center"/>
          </w:tcPr>
          <w:p>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九</w:t>
            </w:r>
            <w:r>
              <w:rPr>
                <w:rFonts w:hint="eastAsia" w:ascii="仿宋_GB2312" w:hAnsi="仿宋_GB2312" w:eastAsia="仿宋_GB2312" w:cs="仿宋_GB2312"/>
                <w:color w:val="000000"/>
                <w:kern w:val="0"/>
                <w:sz w:val="24"/>
                <w:szCs w:val="24"/>
              </w:rPr>
              <w:t>十</w:t>
            </w:r>
            <w:r>
              <w:rPr>
                <w:rFonts w:hint="eastAsia" w:ascii="仿宋_GB2312" w:hAnsi="仿宋_GB2312" w:eastAsia="仿宋_GB2312" w:cs="仿宋_GB2312"/>
                <w:color w:val="000000"/>
                <w:kern w:val="0"/>
                <w:sz w:val="24"/>
                <w:szCs w:val="24"/>
                <w:lang w:val="en-US" w:eastAsia="zh-CN"/>
              </w:rPr>
              <w:t>五</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外科</w:t>
            </w:r>
            <w:r>
              <w:rPr>
                <w:rFonts w:hint="eastAsia" w:ascii="仿宋_GB2312" w:hAnsi="仿宋_GB2312" w:eastAsia="仿宋_GB2312" w:cs="仿宋_GB2312"/>
                <w:color w:val="000000"/>
                <w:kern w:val="0"/>
                <w:sz w:val="24"/>
                <w:szCs w:val="24"/>
              </w:rPr>
              <w:t>诊疗区域及手术室设置、</w:t>
            </w:r>
            <w:r>
              <w:rPr>
                <w:rFonts w:hint="eastAsia" w:ascii="仿宋_GB2312" w:hAnsi="仿宋_GB2312" w:eastAsia="仿宋_GB2312" w:cs="仿宋_GB2312"/>
                <w:color w:val="000000"/>
                <w:sz w:val="24"/>
                <w:szCs w:val="24"/>
              </w:rPr>
              <w:t>布局合理，设备设施、人员资质满足诊疗发展需要（</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restart"/>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7.95</w:t>
            </w:r>
            <w:r>
              <w:rPr>
                <w:rFonts w:hint="eastAsia" w:ascii="仿宋_GB2312" w:hAnsi="仿宋_GB2312" w:eastAsia="仿宋_GB2312" w:cs="仿宋_GB2312"/>
                <w:color w:val="000000"/>
                <w:sz w:val="24"/>
                <w:szCs w:val="24"/>
              </w:rPr>
              <w:t>.1</w:t>
            </w:r>
          </w:p>
        </w:tc>
        <w:tc>
          <w:tcPr>
            <w:tcW w:w="4718" w:type="dxa"/>
            <w:vMerge w:val="restart"/>
            <w:tcBorders>
              <w:tl2br w:val="nil"/>
              <w:tr2bl w:val="nil"/>
            </w:tcBorders>
            <w:noWrap w:val="0"/>
            <w:vAlign w:val="center"/>
          </w:tcPr>
          <w:p>
            <w:pP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科室布局和分区合理，科室负责人和护长应具备相应专业技术任职资格。</w:t>
            </w:r>
          </w:p>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p>
          <w:p>
            <w:pPr>
              <w:rPr>
                <w:rFonts w:ascii="仿宋_GB2312" w:hAnsi="仿宋_GB2312" w:eastAsia="仿宋_GB2312" w:cs="仿宋_GB2312"/>
                <w:color w:val="000000"/>
                <w:kern w:val="0"/>
                <w:sz w:val="24"/>
                <w:szCs w:val="24"/>
                <w:lang w:bidi="ar"/>
              </w:rPr>
            </w:pPr>
          </w:p>
        </w:tc>
        <w:tc>
          <w:tcPr>
            <w:tcW w:w="1662" w:type="dxa"/>
            <w:vMerge w:val="restart"/>
            <w:tcBorders>
              <w:tl2br w:val="nil"/>
              <w:tr2bl w:val="nil"/>
            </w:tcBorders>
            <w:noWrap w:val="0"/>
            <w:vAlign w:val="center"/>
          </w:tcPr>
          <w:p>
            <w:pPr>
              <w:spacing w:line="320" w:lineRule="exact"/>
              <w:ind w:left="105" w:leftChars="50" w:right="105" w:rightChars="5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spacing w:line="32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现场检查</w:t>
            </w:r>
          </w:p>
        </w:tc>
        <w:tc>
          <w:tcPr>
            <w:tcW w:w="6096" w:type="dxa"/>
            <w:tcBorders>
              <w:tl2br w:val="nil"/>
              <w:tr2bl w:val="nil"/>
            </w:tcBorders>
            <w:noWrap w:val="0"/>
            <w:vAlign w:val="center"/>
          </w:tcPr>
          <w:p>
            <w:pPr>
              <w:widowControl/>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1.设立独立</w:t>
            </w:r>
            <w:r>
              <w:rPr>
                <w:rFonts w:hint="eastAsia" w:ascii="仿宋_GB2312" w:hAnsi="仿宋_GB2312" w:eastAsia="仿宋_GB2312" w:cs="仿宋_GB2312"/>
                <w:color w:val="000000"/>
                <w:kern w:val="0"/>
                <w:sz w:val="24"/>
                <w:szCs w:val="24"/>
                <w:lang w:eastAsia="zh-CN" w:bidi="ar"/>
              </w:rPr>
              <w:t>外科</w:t>
            </w:r>
            <w:r>
              <w:rPr>
                <w:rFonts w:hint="eastAsia" w:ascii="仿宋_GB2312" w:hAnsi="仿宋_GB2312" w:eastAsia="仿宋_GB2312" w:cs="仿宋_GB2312"/>
                <w:color w:val="000000"/>
                <w:kern w:val="0"/>
                <w:sz w:val="24"/>
                <w:szCs w:val="24"/>
                <w:lang w:bidi="ar"/>
              </w:rPr>
              <w:t>门诊和诊疗区域（0.</w:t>
            </w: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分）；</w:t>
            </w:r>
          </w:p>
        </w:tc>
        <w:tc>
          <w:tcPr>
            <w:tcW w:w="807"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spacing w:line="320" w:lineRule="exact"/>
              <w:jc w:val="left"/>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spacing w:line="320" w:lineRule="exact"/>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2.设立门诊手术间，并达到洁净手术间级别（0.</w:t>
            </w: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分）；</w:t>
            </w:r>
          </w:p>
        </w:tc>
        <w:tc>
          <w:tcPr>
            <w:tcW w:w="807" w:type="dxa"/>
            <w:vMerge w:val="continue"/>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505" w:type="dxa"/>
            <w:vMerge w:val="continue"/>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kern w:val="0"/>
                <w:sz w:val="24"/>
                <w:szCs w:val="24"/>
                <w:lang w:bidi="ar"/>
              </w:rPr>
            </w:pPr>
          </w:p>
        </w:tc>
        <w:tc>
          <w:tcPr>
            <w:tcW w:w="4718" w:type="dxa"/>
            <w:vMerge w:val="continue"/>
            <w:tcBorders>
              <w:tl2br w:val="nil"/>
              <w:tr2bl w:val="nil"/>
            </w:tcBorders>
            <w:noWrap w:val="0"/>
            <w:vAlign w:val="center"/>
          </w:tcPr>
          <w:p>
            <w:pPr>
              <w:widowControl/>
              <w:spacing w:line="320" w:lineRule="exact"/>
              <w:jc w:val="left"/>
              <w:textAlignment w:val="center"/>
              <w:rPr>
                <w:rFonts w:ascii="仿宋_GB2312" w:hAnsi="仿宋_GB2312" w:eastAsia="仿宋_GB2312" w:cs="仿宋_GB2312"/>
                <w:color w:val="000000"/>
                <w:kern w:val="0"/>
                <w:sz w:val="24"/>
                <w:szCs w:val="24"/>
                <w:lang w:bidi="ar"/>
              </w:rPr>
            </w:pPr>
          </w:p>
        </w:tc>
        <w:tc>
          <w:tcPr>
            <w:tcW w:w="1662" w:type="dxa"/>
            <w:vMerge w:val="continue"/>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kern w:val="0"/>
                <w:sz w:val="24"/>
                <w:szCs w:val="24"/>
                <w:lang w:bidi="ar"/>
              </w:rPr>
            </w:pPr>
          </w:p>
        </w:tc>
        <w:tc>
          <w:tcPr>
            <w:tcW w:w="6096" w:type="dxa"/>
            <w:tcBorders>
              <w:tl2br w:val="nil"/>
              <w:tr2bl w:val="nil"/>
            </w:tcBorders>
            <w:noWrap w:val="0"/>
            <w:vAlign w:val="center"/>
          </w:tcPr>
          <w:p>
            <w:pPr>
              <w:widowControl/>
              <w:spacing w:line="320" w:lineRule="exact"/>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3.科主任具备</w:t>
            </w:r>
            <w:r>
              <w:rPr>
                <w:rFonts w:hint="eastAsia" w:ascii="仿宋_GB2312" w:hAnsi="仿宋_GB2312" w:eastAsia="仿宋_GB2312" w:cs="仿宋_GB2312"/>
                <w:color w:val="000000"/>
                <w:sz w:val="24"/>
                <w:szCs w:val="24"/>
                <w:lang w:val="en-US" w:eastAsia="zh-CN"/>
              </w:rPr>
              <w:t>副主任医师职称以上</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分）；</w:t>
            </w:r>
          </w:p>
        </w:tc>
        <w:tc>
          <w:tcPr>
            <w:tcW w:w="807" w:type="dxa"/>
            <w:vMerge w:val="continue"/>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1505" w:type="dxa"/>
            <w:vMerge w:val="continue"/>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kern w:val="0"/>
                <w:sz w:val="24"/>
                <w:szCs w:val="24"/>
                <w:lang w:bidi="ar"/>
              </w:rPr>
            </w:pPr>
          </w:p>
        </w:tc>
        <w:tc>
          <w:tcPr>
            <w:tcW w:w="4718" w:type="dxa"/>
            <w:vMerge w:val="continue"/>
            <w:tcBorders>
              <w:tl2br w:val="nil"/>
              <w:tr2bl w:val="nil"/>
            </w:tcBorders>
            <w:noWrap w:val="0"/>
            <w:vAlign w:val="center"/>
          </w:tcPr>
          <w:p>
            <w:pPr>
              <w:widowControl/>
              <w:spacing w:line="320" w:lineRule="exact"/>
              <w:jc w:val="left"/>
              <w:textAlignment w:val="center"/>
              <w:rPr>
                <w:rFonts w:ascii="仿宋_GB2312" w:hAnsi="仿宋_GB2312" w:eastAsia="仿宋_GB2312" w:cs="仿宋_GB2312"/>
                <w:color w:val="000000"/>
                <w:kern w:val="0"/>
                <w:sz w:val="24"/>
                <w:szCs w:val="24"/>
                <w:lang w:bidi="ar"/>
              </w:rPr>
            </w:pPr>
          </w:p>
        </w:tc>
        <w:tc>
          <w:tcPr>
            <w:tcW w:w="1662" w:type="dxa"/>
            <w:vMerge w:val="continue"/>
            <w:tcBorders>
              <w:tl2br w:val="nil"/>
              <w:tr2bl w:val="nil"/>
            </w:tcBorders>
            <w:noWrap w:val="0"/>
            <w:vAlign w:val="center"/>
          </w:tcPr>
          <w:p>
            <w:pPr>
              <w:widowControl/>
              <w:spacing w:line="320" w:lineRule="exact"/>
              <w:jc w:val="center"/>
              <w:textAlignment w:val="center"/>
              <w:rPr>
                <w:rFonts w:ascii="仿宋_GB2312" w:hAnsi="仿宋_GB2312" w:eastAsia="仿宋_GB2312" w:cs="仿宋_GB2312"/>
                <w:color w:val="000000"/>
                <w:kern w:val="0"/>
                <w:sz w:val="24"/>
                <w:szCs w:val="24"/>
                <w:lang w:bidi="ar"/>
              </w:rPr>
            </w:pPr>
          </w:p>
        </w:tc>
        <w:tc>
          <w:tcPr>
            <w:tcW w:w="6096" w:type="dxa"/>
            <w:tcBorders>
              <w:tl2br w:val="nil"/>
              <w:tr2bl w:val="nil"/>
            </w:tcBorders>
            <w:noWrap w:val="0"/>
            <w:vAlign w:val="center"/>
          </w:tcPr>
          <w:p>
            <w:pPr>
              <w:pStyle w:val="2"/>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4.护士长具有主管及以上任职资格，从事外科护理工作 5 年以上（0.</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分）；</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pStyle w:val="2"/>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pStyle w:val="2"/>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pStyle w:val="2"/>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.每手术台应至少配备2名卫生技术人员</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0.6分</w:t>
            </w:r>
            <w:r>
              <w:rPr>
                <w:rFonts w:hint="eastAsia" w:ascii="仿宋_GB2312" w:hAnsi="仿宋_GB2312" w:eastAsia="仿宋_GB2312" w:cs="仿宋_GB2312"/>
                <w:color w:val="000000"/>
                <w:sz w:val="24"/>
                <w:szCs w:val="24"/>
                <w:lang w:eastAsia="zh-CN"/>
              </w:rPr>
              <w:t>）。</w:t>
            </w:r>
          </w:p>
        </w:tc>
        <w:tc>
          <w:tcPr>
            <w:tcW w:w="807" w:type="dxa"/>
            <w:vMerge w:val="continue"/>
            <w:tcBorders>
              <w:tl2br w:val="nil"/>
              <w:tr2bl w:val="nil"/>
            </w:tcBorders>
            <w:noWrap w:val="0"/>
            <w:vAlign w:val="center"/>
          </w:tcPr>
          <w:p>
            <w:pPr>
              <w:pStyle w:val="2"/>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4788" w:type="dxa"/>
            <w:gridSpan w:val="5"/>
            <w:tcBorders>
              <w:tl2br w:val="nil"/>
              <w:tr2bl w:val="nil"/>
            </w:tcBorders>
            <w:noWrap w:val="0"/>
            <w:vAlign w:val="center"/>
          </w:tcPr>
          <w:p>
            <w:pPr>
              <w:spacing w:line="320" w:lineRule="exact"/>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九</w:t>
            </w:r>
            <w:r>
              <w:rPr>
                <w:rFonts w:hint="eastAsia" w:ascii="仿宋_GB2312" w:hAnsi="仿宋_GB2312" w:eastAsia="仿宋_GB2312" w:cs="仿宋_GB2312"/>
                <w:color w:val="000000"/>
                <w:kern w:val="0"/>
                <w:sz w:val="24"/>
                <w:szCs w:val="24"/>
                <w:lang w:bidi="ar"/>
              </w:rPr>
              <w:t>十</w:t>
            </w:r>
            <w:r>
              <w:rPr>
                <w:rFonts w:hint="eastAsia" w:ascii="仿宋_GB2312" w:hAnsi="仿宋_GB2312" w:eastAsia="仿宋_GB2312" w:cs="仿宋_GB2312"/>
                <w:color w:val="000000"/>
                <w:kern w:val="0"/>
                <w:sz w:val="24"/>
                <w:szCs w:val="24"/>
                <w:lang w:val="en-US" w:eastAsia="zh-CN" w:bidi="ar"/>
              </w:rPr>
              <w:t>六</w:t>
            </w:r>
            <w:r>
              <w:rPr>
                <w:rFonts w:hint="eastAsia" w:ascii="仿宋_GB2312" w:hAnsi="仿宋_GB2312" w:eastAsia="仿宋_GB2312" w:cs="仿宋_GB2312"/>
                <w:color w:val="000000"/>
                <w:kern w:val="0"/>
                <w:sz w:val="24"/>
                <w:szCs w:val="24"/>
                <w:lang w:bidi="ar"/>
              </w:rPr>
              <w:t>）科室开展的医疗技术项目符合《广西手术分级目录》，医师开展技术项目应当与其技术能力相适应，符合医疗技术临床应用要求</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3.5</w:t>
            </w:r>
            <w:r>
              <w:rPr>
                <w:rFonts w:hint="eastAsia" w:ascii="仿宋_GB2312" w:hAnsi="仿宋_GB2312" w:eastAsia="仿宋_GB2312" w:cs="仿宋_GB2312"/>
                <w:color w:val="00000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restart"/>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7.96</w:t>
            </w:r>
            <w:r>
              <w:rPr>
                <w:rFonts w:hint="eastAsia" w:ascii="仿宋_GB2312" w:hAnsi="仿宋_GB2312" w:eastAsia="仿宋_GB2312" w:cs="仿宋_GB2312"/>
                <w:color w:val="000000"/>
                <w:kern w:val="0"/>
                <w:sz w:val="24"/>
                <w:szCs w:val="24"/>
                <w:lang w:bidi="ar"/>
              </w:rPr>
              <w:t>.1</w:t>
            </w:r>
          </w:p>
        </w:tc>
        <w:tc>
          <w:tcPr>
            <w:tcW w:w="4718" w:type="dxa"/>
            <w:vMerge w:val="restart"/>
            <w:tcBorders>
              <w:tl2br w:val="nil"/>
              <w:tr2bl w:val="nil"/>
            </w:tcBorders>
            <w:noWrap w:val="0"/>
            <w:vAlign w:val="center"/>
          </w:tcPr>
          <w:p>
            <w:pPr>
              <w:spacing w:line="320" w:lineRule="exact"/>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建立技术人员操作资质与授权管理相关制度，医务人员开展医疗技术应当与其技术能力相适应。</w:t>
            </w:r>
          </w:p>
        </w:tc>
        <w:tc>
          <w:tcPr>
            <w:tcW w:w="1662" w:type="dxa"/>
            <w:vMerge w:val="restart"/>
            <w:tcBorders>
              <w:tl2br w:val="nil"/>
              <w:tr2bl w:val="nil"/>
            </w:tcBorders>
            <w:noWrap w:val="0"/>
            <w:vAlign w:val="center"/>
          </w:tcPr>
          <w:p>
            <w:pPr>
              <w:pStyle w:val="2"/>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文件查阅</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现场检查</w:t>
            </w: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1.建立技术人员资质与授权管理制度</w:t>
            </w:r>
            <w:r>
              <w:rPr>
                <w:rStyle w:val="37"/>
                <w:rFonts w:hint="eastAsia" w:hAnsi="仿宋_GB2312"/>
                <w:color w:val="000000"/>
                <w:sz w:val="24"/>
                <w:szCs w:val="24"/>
                <w:lang w:bidi="ar"/>
              </w:rPr>
              <w:t>（0.</w:t>
            </w:r>
            <w:r>
              <w:rPr>
                <w:rStyle w:val="37"/>
                <w:rFonts w:hint="eastAsia" w:hAnsi="仿宋_GB2312" w:eastAsia="仿宋_GB2312"/>
                <w:color w:val="000000"/>
                <w:sz w:val="24"/>
                <w:szCs w:val="24"/>
                <w:lang w:val="en-US" w:eastAsia="zh-CN" w:bidi="ar"/>
              </w:rPr>
              <w:t>5</w:t>
            </w:r>
            <w:r>
              <w:rPr>
                <w:rStyle w:val="37"/>
                <w:rFonts w:hint="eastAsia" w:hAnsi="仿宋_GB2312"/>
                <w:color w:val="000000"/>
                <w:sz w:val="24"/>
                <w:szCs w:val="24"/>
                <w:lang w:bidi="ar"/>
              </w:rPr>
              <w:t>分）；</w:t>
            </w:r>
          </w:p>
        </w:tc>
        <w:tc>
          <w:tcPr>
            <w:tcW w:w="807" w:type="dxa"/>
            <w:vMerge w:val="restart"/>
            <w:tcBorders>
              <w:tl2br w:val="nil"/>
              <w:tr2bl w:val="nil"/>
            </w:tcBorders>
            <w:noWrap w:val="0"/>
            <w:vAlign w:val="center"/>
          </w:tcPr>
          <w:p>
            <w:pPr>
              <w:spacing w:line="32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505"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spacing w:line="320" w:lineRule="exact"/>
              <w:jc w:val="left"/>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both"/>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2.有根据服务能力和诊疗科目许可制定科室医疗技术目录（0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807"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spacing w:line="320" w:lineRule="exact"/>
              <w:jc w:val="left"/>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3.有手术操作授权记录并持续更新（0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807"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spacing w:line="320" w:lineRule="exact"/>
              <w:jc w:val="left"/>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4.现场复核人员资质符合医院开展的各类医疗技术要求（0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807"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p>
        </w:tc>
        <w:tc>
          <w:tcPr>
            <w:tcW w:w="4718" w:type="dxa"/>
            <w:vMerge w:val="continue"/>
            <w:tcBorders>
              <w:tl2br w:val="nil"/>
              <w:tr2bl w:val="nil"/>
            </w:tcBorders>
            <w:noWrap w:val="0"/>
            <w:vAlign w:val="center"/>
          </w:tcPr>
          <w:p>
            <w:pPr>
              <w:spacing w:line="320" w:lineRule="exact"/>
              <w:jc w:val="left"/>
              <w:rPr>
                <w:rFonts w:ascii="仿宋_GB2312" w:hAnsi="仿宋_GB2312" w:eastAsia="仿宋_GB2312" w:cs="仿宋_GB2312"/>
                <w:color w:val="000000"/>
                <w:kern w:val="0"/>
                <w:sz w:val="24"/>
                <w:szCs w:val="24"/>
                <w:lang w:bidi="ar"/>
              </w:rPr>
            </w:pPr>
          </w:p>
        </w:tc>
        <w:tc>
          <w:tcPr>
            <w:tcW w:w="1662"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5.手术人员按手术权限开展手术（0.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分），无医疗事故发生</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0.3分</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restart"/>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7.96</w:t>
            </w:r>
            <w:r>
              <w:rPr>
                <w:rFonts w:hint="eastAsia" w:ascii="仿宋_GB2312" w:hAnsi="仿宋_GB2312" w:eastAsia="仿宋_GB2312" w:cs="仿宋_GB2312"/>
                <w:color w:val="000000"/>
                <w:kern w:val="0"/>
                <w:sz w:val="24"/>
                <w:szCs w:val="24"/>
                <w:lang w:bidi="ar"/>
              </w:rPr>
              <w:t>.2</w:t>
            </w:r>
          </w:p>
        </w:tc>
        <w:tc>
          <w:tcPr>
            <w:tcW w:w="4718" w:type="dxa"/>
            <w:vMerge w:val="restart"/>
            <w:tcBorders>
              <w:tl2br w:val="nil"/>
              <w:tr2bl w:val="nil"/>
            </w:tcBorders>
            <w:noWrap w:val="0"/>
            <w:vAlign w:val="center"/>
          </w:tcPr>
          <w:p>
            <w:pPr>
              <w:spacing w:line="320" w:lineRule="exact"/>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开展医疗技术符合相关要求。满足临床诊疗需要，定期分析，评估</w:t>
            </w:r>
          </w:p>
        </w:tc>
        <w:tc>
          <w:tcPr>
            <w:tcW w:w="1662" w:type="dxa"/>
            <w:vMerge w:val="restart"/>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sz w:val="24"/>
                <w:szCs w:val="24"/>
              </w:rPr>
              <w:t>记录查看</w:t>
            </w: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1.开展医疗技术符合医院诊疗科目（0.3分）；</w:t>
            </w:r>
          </w:p>
        </w:tc>
        <w:tc>
          <w:tcPr>
            <w:tcW w:w="807" w:type="dxa"/>
            <w:vMerge w:val="restart"/>
            <w:tcBorders>
              <w:tl2br w:val="nil"/>
              <w:tr2bl w:val="nil"/>
            </w:tcBorders>
            <w:noWrap w:val="0"/>
            <w:vAlign w:val="center"/>
          </w:tcPr>
          <w:p>
            <w:pPr>
              <w:spacing w:line="320" w:lineRule="exact"/>
              <w:jc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2.能够开展《广西手术分级目录》中的三级手术项目（0.2分）</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3.有检查</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评价、分析、反馈、并督导整改措施的落实（0.</w:t>
            </w:r>
            <w:r>
              <w:rPr>
                <w:rFonts w:hint="eastAsia" w:ascii="仿宋_GB2312" w:hAnsi="仿宋_GB2312" w:eastAsia="仿宋_GB2312" w:cs="仿宋_GB2312"/>
                <w:color w:val="000000"/>
                <w:kern w:val="0"/>
                <w:sz w:val="24"/>
                <w:szCs w:val="24"/>
                <w:lang w:val="en-US" w:eastAsia="zh-CN" w:bidi="ar"/>
              </w:rPr>
              <w:t>5分</w:t>
            </w:r>
            <w:r>
              <w:rPr>
                <w:rFonts w:hint="eastAsia" w:ascii="仿宋_GB2312" w:hAnsi="仿宋_GB2312" w:eastAsia="仿宋_GB2312" w:cs="仿宋_GB2312"/>
                <w:color w:val="000000"/>
                <w:kern w:val="0"/>
                <w:sz w:val="24"/>
                <w:szCs w:val="24"/>
                <w:lang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88" w:type="dxa"/>
            <w:gridSpan w:val="5"/>
            <w:tcBorders>
              <w:tl2br w:val="nil"/>
              <w:tr2bl w:val="nil"/>
            </w:tcBorders>
            <w:noWrap w:val="0"/>
            <w:vAlign w:val="center"/>
          </w:tcPr>
          <w:p>
            <w:pPr>
              <w:spacing w:line="320" w:lineRule="exact"/>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九</w:t>
            </w:r>
            <w:r>
              <w:rPr>
                <w:rFonts w:hint="eastAsia" w:ascii="仿宋_GB2312" w:hAnsi="仿宋_GB2312" w:eastAsia="仿宋_GB2312" w:cs="仿宋_GB2312"/>
                <w:color w:val="000000"/>
                <w:kern w:val="0"/>
                <w:sz w:val="24"/>
                <w:szCs w:val="24"/>
                <w:lang w:bidi="ar"/>
              </w:rPr>
              <w:t>十</w:t>
            </w:r>
            <w:r>
              <w:rPr>
                <w:rFonts w:hint="eastAsia" w:ascii="仿宋_GB2312" w:hAnsi="仿宋_GB2312" w:eastAsia="仿宋_GB2312" w:cs="仿宋_GB2312"/>
                <w:color w:val="000000"/>
                <w:kern w:val="0"/>
                <w:sz w:val="24"/>
                <w:szCs w:val="24"/>
                <w:lang w:val="en-US" w:eastAsia="zh-CN" w:bidi="ar"/>
              </w:rPr>
              <w:t>七</w:t>
            </w:r>
            <w:r>
              <w:rPr>
                <w:rFonts w:hint="eastAsia" w:ascii="仿宋_GB2312" w:hAnsi="仿宋_GB2312" w:eastAsia="仿宋_GB2312" w:cs="仿宋_GB2312"/>
                <w:color w:val="000000"/>
                <w:kern w:val="0"/>
                <w:sz w:val="24"/>
                <w:szCs w:val="24"/>
                <w:lang w:bidi="ar"/>
              </w:rPr>
              <w:t>）建立</w:t>
            </w:r>
            <w:r>
              <w:rPr>
                <w:rFonts w:hint="eastAsia" w:ascii="仿宋_GB2312" w:hAnsi="仿宋_GB2312" w:eastAsia="仿宋_GB2312" w:cs="仿宋_GB2312"/>
                <w:color w:val="000000"/>
                <w:kern w:val="0"/>
                <w:sz w:val="24"/>
                <w:szCs w:val="24"/>
                <w:lang w:eastAsia="zh-CN" w:bidi="ar"/>
              </w:rPr>
              <w:t>外科</w:t>
            </w:r>
            <w:r>
              <w:rPr>
                <w:rFonts w:hint="eastAsia" w:ascii="仿宋_GB2312" w:hAnsi="仿宋_GB2312" w:eastAsia="仿宋_GB2312" w:cs="仿宋_GB2312"/>
                <w:color w:val="000000"/>
                <w:kern w:val="0"/>
                <w:sz w:val="24"/>
                <w:szCs w:val="24"/>
                <w:lang w:bidi="ar"/>
              </w:rPr>
              <w:t>诊疗技术操作规范和流程，并严格落实（2.5分）。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restart"/>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7.97</w:t>
            </w:r>
            <w:r>
              <w:rPr>
                <w:rFonts w:hint="eastAsia" w:ascii="仿宋_GB2312" w:hAnsi="仿宋_GB2312" w:eastAsia="仿宋_GB2312" w:cs="仿宋_GB2312"/>
                <w:color w:val="000000"/>
                <w:kern w:val="0"/>
                <w:sz w:val="24"/>
                <w:szCs w:val="24"/>
                <w:lang w:bidi="ar"/>
              </w:rPr>
              <w:t>.1</w:t>
            </w:r>
          </w:p>
        </w:tc>
        <w:tc>
          <w:tcPr>
            <w:tcW w:w="4718" w:type="dxa"/>
            <w:vMerge w:val="restart"/>
            <w:tcBorders>
              <w:tl2br w:val="nil"/>
              <w:tr2bl w:val="nil"/>
            </w:tcBorders>
            <w:noWrap w:val="0"/>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建立手术操作规范及流程并规范开展各项手术。</w:t>
            </w:r>
          </w:p>
        </w:tc>
        <w:tc>
          <w:tcPr>
            <w:tcW w:w="1662" w:type="dxa"/>
            <w:vMerge w:val="restart"/>
            <w:tcBorders>
              <w:tl2br w:val="nil"/>
              <w:tr2bl w:val="nil"/>
            </w:tcBorders>
            <w:noWrap w:val="0"/>
            <w:vAlign w:val="center"/>
          </w:tcPr>
          <w:p>
            <w:pPr>
              <w:spacing w:line="320" w:lineRule="exact"/>
              <w:ind w:left="105" w:leftChars="50" w:right="105" w:rightChars="5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现场检查</w:t>
            </w: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1.有</w:t>
            </w:r>
            <w:r>
              <w:rPr>
                <w:rFonts w:hint="eastAsia" w:ascii="仿宋_GB2312" w:hAnsi="仿宋_GB2312" w:eastAsia="仿宋_GB2312" w:cs="仿宋_GB2312"/>
                <w:color w:val="000000"/>
                <w:kern w:val="0"/>
                <w:sz w:val="24"/>
                <w:szCs w:val="24"/>
                <w:lang w:eastAsia="zh-CN" w:bidi="ar"/>
              </w:rPr>
              <w:t>外科</w:t>
            </w:r>
            <w:r>
              <w:rPr>
                <w:rFonts w:hint="eastAsia" w:ascii="仿宋_GB2312" w:hAnsi="仿宋_GB2312" w:eastAsia="仿宋_GB2312" w:cs="仿宋_GB2312"/>
                <w:color w:val="000000"/>
                <w:kern w:val="0"/>
                <w:sz w:val="24"/>
                <w:szCs w:val="24"/>
                <w:lang w:bidi="ar"/>
              </w:rPr>
              <w:t>的手术操作规范和技术操作流程，并根据国家相关规范及时更新（0.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807" w:type="dxa"/>
            <w:vMerge w:val="restart"/>
            <w:tcBorders>
              <w:tl2br w:val="nil"/>
              <w:tr2bl w:val="nil"/>
            </w:tcBorders>
            <w:noWrap w:val="0"/>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left"/>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2.定期进行相关操作技术培训及考核，并有记录（0.5分）；</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left"/>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3.做好手术前的知情告知并取得患者或其监护人同意，签署知情同意书（0.5</w:t>
            </w:r>
            <w:r>
              <w:rPr>
                <w:rFonts w:hint="eastAsia" w:ascii="仿宋_GB2312" w:hAnsi="仿宋_GB2312" w:eastAsia="仿宋_GB2312" w:cs="仿宋_GB2312"/>
                <w:color w:val="000000"/>
                <w:kern w:val="0"/>
                <w:sz w:val="24"/>
                <w:szCs w:val="24"/>
                <w:lang w:val="en-US" w:eastAsia="zh-CN" w:bidi="ar"/>
              </w:rPr>
              <w:t>分</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c>
          <w:tcPr>
            <w:tcW w:w="4718" w:type="dxa"/>
            <w:vMerge w:val="continue"/>
            <w:tcBorders>
              <w:tl2br w:val="nil"/>
              <w:tr2bl w:val="nil"/>
            </w:tcBorders>
            <w:noWrap w:val="0"/>
            <w:vAlign w:val="center"/>
          </w:tcPr>
          <w:p>
            <w:pPr>
              <w:widowControl/>
              <w:jc w:val="left"/>
              <w:textAlignment w:val="center"/>
              <w:rPr>
                <w:rFonts w:ascii="仿宋_GB2312" w:hAnsi="仿宋_GB2312" w:eastAsia="仿宋_GB2312" w:cs="仿宋_GB2312"/>
                <w:color w:val="000000"/>
                <w:kern w:val="0"/>
                <w:sz w:val="24"/>
                <w:szCs w:val="24"/>
                <w:lang w:bidi="ar"/>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strike/>
                <w:color w:val="000000"/>
                <w:sz w:val="24"/>
                <w:szCs w:val="24"/>
                <w:lang w:eastAsia="zh-CN"/>
              </w:rPr>
            </w:pPr>
            <w:r>
              <w:rPr>
                <w:rFonts w:hint="eastAsia" w:ascii="仿宋_GB2312" w:hAnsi="仿宋_GB2312" w:eastAsia="仿宋_GB2312" w:cs="仿宋_GB2312"/>
                <w:color w:val="000000"/>
                <w:kern w:val="0"/>
                <w:sz w:val="24"/>
                <w:szCs w:val="24"/>
                <w:lang w:bidi="ar"/>
              </w:rPr>
              <w:t>4.各级医师掌握各项手术的适应证与禁忌证，并严格执行（0.5</w:t>
            </w:r>
            <w:r>
              <w:rPr>
                <w:rFonts w:hint="eastAsia" w:ascii="仿宋_GB2312" w:hAnsi="仿宋_GB2312" w:eastAsia="仿宋_GB2312" w:cs="仿宋_GB2312"/>
                <w:color w:val="000000"/>
                <w:kern w:val="0"/>
                <w:sz w:val="24"/>
                <w:szCs w:val="24"/>
                <w:lang w:val="en-US" w:eastAsia="zh-CN" w:bidi="ar"/>
              </w:rPr>
              <w:t>分</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strike/>
                <w:color w:val="000000"/>
                <w:kern w:val="0"/>
                <w:sz w:val="24"/>
                <w:szCs w:val="24"/>
                <w:lang w:eastAsia="zh-CN" w:bidi="ar"/>
              </w:rPr>
            </w:pPr>
            <w:r>
              <w:rPr>
                <w:rFonts w:hint="eastAsia" w:ascii="仿宋_GB2312" w:hAnsi="仿宋_GB2312" w:eastAsia="仿宋_GB2312" w:cs="仿宋_GB2312"/>
                <w:color w:val="000000"/>
                <w:kern w:val="0"/>
                <w:sz w:val="24"/>
                <w:szCs w:val="24"/>
                <w:lang w:bidi="ar"/>
              </w:rPr>
              <w:t>5.访谈员工知晓相关知识</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知晓率 100%</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0.5分</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88" w:type="dxa"/>
            <w:gridSpan w:val="5"/>
            <w:tcBorders>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九</w:t>
            </w:r>
            <w:r>
              <w:rPr>
                <w:rFonts w:hint="eastAsia" w:ascii="仿宋_GB2312" w:hAnsi="仿宋_GB2312" w:eastAsia="仿宋_GB2312" w:cs="仿宋_GB2312"/>
                <w:color w:val="000000"/>
                <w:kern w:val="0"/>
                <w:sz w:val="24"/>
                <w:szCs w:val="24"/>
                <w:lang w:bidi="ar"/>
              </w:rPr>
              <w:t>十</w:t>
            </w:r>
            <w:r>
              <w:rPr>
                <w:rFonts w:hint="eastAsia" w:ascii="仿宋_GB2312" w:hAnsi="仿宋_GB2312" w:eastAsia="仿宋_GB2312" w:cs="仿宋_GB2312"/>
                <w:color w:val="000000"/>
                <w:kern w:val="0"/>
                <w:sz w:val="24"/>
                <w:szCs w:val="24"/>
                <w:lang w:val="en-US" w:eastAsia="zh-CN" w:bidi="ar"/>
              </w:rPr>
              <w:t>八</w:t>
            </w:r>
            <w:r>
              <w:rPr>
                <w:rFonts w:hint="eastAsia" w:ascii="仿宋_GB2312" w:hAnsi="仿宋_GB2312" w:eastAsia="仿宋_GB2312" w:cs="仿宋_GB2312"/>
                <w:color w:val="000000"/>
                <w:kern w:val="0"/>
                <w:sz w:val="24"/>
                <w:szCs w:val="24"/>
                <w:lang w:bidi="ar"/>
              </w:rPr>
              <w:t>）制定医疗技术临床应用培训制度，注重医疗技术更新学习（</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restart"/>
            <w:tcBorders>
              <w:tl2br w:val="nil"/>
              <w:tr2bl w:val="nil"/>
            </w:tcBorders>
            <w:noWrap w:val="0"/>
            <w:vAlign w:val="center"/>
          </w:tcPr>
          <w:p>
            <w:pPr>
              <w:spacing w:line="320" w:lineRule="exact"/>
              <w:jc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7.98</w:t>
            </w:r>
            <w:r>
              <w:rPr>
                <w:rFonts w:hint="eastAsia" w:ascii="仿宋_GB2312" w:hAnsi="仿宋_GB2312" w:eastAsia="仿宋_GB2312" w:cs="仿宋_GB2312"/>
                <w:color w:val="000000"/>
                <w:kern w:val="0"/>
                <w:sz w:val="24"/>
                <w:szCs w:val="24"/>
                <w:lang w:bidi="ar"/>
              </w:rPr>
              <w:t>.1</w:t>
            </w:r>
          </w:p>
        </w:tc>
        <w:tc>
          <w:tcPr>
            <w:tcW w:w="4718" w:type="dxa"/>
            <w:vMerge w:val="restart"/>
            <w:tcBorders>
              <w:tl2br w:val="nil"/>
              <w:tr2bl w:val="nil"/>
            </w:tcBorders>
            <w:noWrap w:val="0"/>
            <w:vAlign w:val="center"/>
          </w:tcPr>
          <w:p>
            <w:pPr>
              <w:spacing w:line="320" w:lineRule="exact"/>
              <w:jc w:val="left"/>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制定医疗技术专业规范化培训制度，有培训大纲、 培训计划和考核标准。</w:t>
            </w:r>
          </w:p>
        </w:tc>
        <w:tc>
          <w:tcPr>
            <w:tcW w:w="1662" w:type="dxa"/>
            <w:vMerge w:val="restart"/>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文件查阅</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记录查看</w:t>
            </w: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1.有医疗技术</w:t>
            </w:r>
            <w:r>
              <w:rPr>
                <w:rFonts w:hint="eastAsia" w:ascii="仿宋_GB2312" w:hAnsi="仿宋_GB2312" w:eastAsia="仿宋_GB2312" w:cs="仿宋_GB2312"/>
                <w:color w:val="000000"/>
                <w:kern w:val="0"/>
                <w:sz w:val="24"/>
                <w:szCs w:val="24"/>
                <w:lang w:val="en-US" w:eastAsia="zh-CN" w:bidi="ar"/>
              </w:rPr>
              <w:t>专项</w:t>
            </w:r>
            <w:r>
              <w:rPr>
                <w:rFonts w:hint="eastAsia" w:ascii="仿宋_GB2312" w:hAnsi="仿宋_GB2312" w:eastAsia="仿宋_GB2312" w:cs="仿宋_GB2312"/>
                <w:color w:val="000000"/>
                <w:kern w:val="0"/>
                <w:sz w:val="24"/>
                <w:szCs w:val="24"/>
                <w:lang w:bidi="ar"/>
              </w:rPr>
              <w:t>规范化培训制度（0.3分）和培训计划（0.2</w:t>
            </w:r>
            <w:r>
              <w:rPr>
                <w:rFonts w:hint="eastAsia" w:ascii="仿宋_GB2312" w:hAnsi="仿宋_GB2312" w:eastAsia="仿宋_GB2312" w:cs="仿宋_GB2312"/>
                <w:color w:val="000000"/>
                <w:kern w:val="0"/>
                <w:sz w:val="24"/>
                <w:szCs w:val="24"/>
                <w:lang w:val="en-US" w:eastAsia="zh-CN" w:bidi="ar"/>
              </w:rPr>
              <w:t>分</w:t>
            </w:r>
            <w:r>
              <w:rPr>
                <w:rFonts w:hint="eastAsia" w:ascii="仿宋_GB2312" w:hAnsi="仿宋_GB2312" w:eastAsia="仿宋_GB2312" w:cs="仿宋_GB2312"/>
                <w:color w:val="000000"/>
                <w:kern w:val="0"/>
                <w:sz w:val="24"/>
                <w:szCs w:val="24"/>
                <w:lang w:bidi="ar"/>
              </w:rPr>
              <w:t>）；</w:t>
            </w:r>
          </w:p>
        </w:tc>
        <w:tc>
          <w:tcPr>
            <w:tcW w:w="807"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2.有培训和考核（0.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3.访谈员工知晓相关知识知晓率 100%（0.2分）</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restart"/>
            <w:tcBorders>
              <w:tl2br w:val="nil"/>
              <w:tr2bl w:val="nil"/>
            </w:tcBorders>
            <w:noWrap w:val="0"/>
            <w:vAlign w:val="center"/>
          </w:tcPr>
          <w:p>
            <w:pPr>
              <w:spacing w:line="320" w:lineRule="exact"/>
              <w:jc w:val="center"/>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7.98</w:t>
            </w:r>
            <w:r>
              <w:rPr>
                <w:rFonts w:hint="eastAsia" w:ascii="仿宋_GB2312" w:hAnsi="仿宋_GB2312" w:eastAsia="仿宋_GB2312" w:cs="仿宋_GB2312"/>
                <w:color w:val="000000"/>
                <w:kern w:val="0"/>
                <w:sz w:val="24"/>
                <w:szCs w:val="24"/>
                <w:lang w:bidi="ar"/>
              </w:rPr>
              <w:t>.2</w:t>
            </w:r>
          </w:p>
        </w:tc>
        <w:tc>
          <w:tcPr>
            <w:tcW w:w="4718" w:type="dxa"/>
            <w:vMerge w:val="restart"/>
            <w:tcBorders>
              <w:tl2br w:val="nil"/>
              <w:tr2bl w:val="nil"/>
            </w:tcBorders>
            <w:noWrap w:val="0"/>
            <w:vAlign w:val="center"/>
          </w:tcPr>
          <w:p>
            <w:pPr>
              <w:spacing w:line="320" w:lineRule="exact"/>
              <w:jc w:val="left"/>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注重医疗技术更新理论培训，并在临床工作实际应用。</w:t>
            </w:r>
          </w:p>
        </w:tc>
        <w:tc>
          <w:tcPr>
            <w:tcW w:w="1662" w:type="dxa"/>
            <w:vMerge w:val="restart"/>
            <w:tcBorders>
              <w:tl2br w:val="nil"/>
              <w:tr2bl w:val="nil"/>
            </w:tcBorders>
            <w:noWrap w:val="0"/>
            <w:vAlign w:val="center"/>
          </w:tcPr>
          <w:p>
            <w:pPr>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员工访谈</w:t>
            </w:r>
          </w:p>
          <w:p>
            <w:pPr>
              <w:pStyle w:val="2"/>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病历查看</w:t>
            </w:r>
          </w:p>
          <w:p>
            <w:pPr>
              <w:spacing w:line="320" w:lineRule="exact"/>
              <w:jc w:val="center"/>
              <w:rPr>
                <w:rFonts w:ascii="仿宋_GB2312" w:hAnsi="仿宋_GB2312" w:eastAsia="仿宋_GB2312" w:cs="仿宋_GB2312"/>
                <w:color w:val="000000"/>
                <w:kern w:val="0"/>
                <w:sz w:val="24"/>
                <w:szCs w:val="24"/>
                <w:lang w:val="en-US" w:eastAsia="zh-CN" w:bidi="ar"/>
              </w:rPr>
            </w:pPr>
          </w:p>
        </w:tc>
        <w:tc>
          <w:tcPr>
            <w:tcW w:w="6096" w:type="dxa"/>
            <w:tcBorders>
              <w:tl2br w:val="nil"/>
              <w:tr2bl w:val="nil"/>
            </w:tcBorders>
            <w:noWrap w:val="0"/>
            <w:vAlign w:val="center"/>
          </w:tcPr>
          <w:p>
            <w:pPr>
              <w:spacing w:line="32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1.评审周期内医疗技术更新培训有保障措施，并记录（0.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p>
        </w:tc>
        <w:tc>
          <w:tcPr>
            <w:tcW w:w="807"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2.员工知晓本科室技术更新（0.2分）；</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3.查看开展新项目记录表（0.1分）；</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4.有案例或数据体现新技术开展（0.2分）</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88" w:type="dxa"/>
            <w:gridSpan w:val="5"/>
            <w:tcBorders>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九十九</w:t>
            </w:r>
            <w:r>
              <w:rPr>
                <w:rFonts w:hint="eastAsia" w:ascii="仿宋_GB2312" w:hAnsi="仿宋_GB2312" w:eastAsia="仿宋_GB2312" w:cs="仿宋_GB2312"/>
                <w:color w:val="000000"/>
                <w:kern w:val="0"/>
                <w:sz w:val="24"/>
                <w:szCs w:val="24"/>
                <w:lang w:bidi="ar"/>
              </w:rPr>
              <w:t>）落实全面质量与改进制度，开展手术评估和质量持续改进活动，保证手术安全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3分</w:t>
            </w:r>
            <w:r>
              <w:rPr>
                <w:rFonts w:hint="eastAsia" w:ascii="仿宋_GB2312" w:hAnsi="仿宋_GB2312" w:eastAsia="仿宋_GB2312" w:cs="仿宋_GB2312"/>
                <w:color w:val="000000"/>
                <w:kern w:val="0"/>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7.99</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1</w:t>
            </w:r>
          </w:p>
        </w:tc>
        <w:tc>
          <w:tcPr>
            <w:tcW w:w="4718" w:type="dxa"/>
            <w:vMerge w:val="restart"/>
            <w:tcBorders>
              <w:tl2br w:val="nil"/>
              <w:tr2bl w:val="nil"/>
            </w:tcBorders>
            <w:noWrap w:val="0"/>
            <w:vAlign w:val="center"/>
          </w:tcPr>
          <w:p>
            <w:pPr>
              <w:widowControl/>
              <w:tabs>
                <w:tab w:val="left" w:pos="695"/>
              </w:tabs>
              <w:jc w:val="left"/>
              <w:textAlignment w:val="center"/>
              <w:rPr>
                <w:rFonts w:ascii="仿宋_GB2312" w:hAnsi="仿宋_GB2312" w:eastAsia="仿宋_GB2312" w:cs="仿宋_GB2312"/>
                <w:strike/>
                <w:color w:val="000000"/>
                <w:kern w:val="0"/>
                <w:sz w:val="24"/>
                <w:szCs w:val="24"/>
                <w:lang w:bidi="ar"/>
              </w:rPr>
            </w:pPr>
            <w:r>
              <w:rPr>
                <w:rFonts w:hint="eastAsia" w:ascii="仿宋_GB2312" w:hAnsi="仿宋_GB2312" w:eastAsia="仿宋_GB2312" w:cs="仿宋_GB2312"/>
                <w:color w:val="000000"/>
                <w:kern w:val="0"/>
                <w:sz w:val="24"/>
                <w:szCs w:val="24"/>
                <w:lang w:bidi="ar"/>
              </w:rPr>
              <w:t>严格手术风险管理，完善科室安全质量管理制度与质量安全控制指标。</w:t>
            </w:r>
          </w:p>
        </w:tc>
        <w:tc>
          <w:tcPr>
            <w:tcW w:w="1662" w:type="dxa"/>
            <w:vMerge w:val="restart"/>
            <w:tcBorders>
              <w:tl2br w:val="nil"/>
              <w:tr2bl w:val="nil"/>
            </w:tcBorders>
            <w:noWrap w:val="0"/>
            <w:vAlign w:val="center"/>
          </w:tcPr>
          <w:p>
            <w:pPr>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pStyle w:val="2"/>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病历查看</w:t>
            </w:r>
          </w:p>
          <w:p>
            <w:pPr>
              <w:widowControl/>
              <w:jc w:val="center"/>
              <w:textAlignment w:val="center"/>
              <w:rPr>
                <w:rFonts w:ascii="仿宋_GB2312" w:hAnsi="仿宋_GB2312" w:eastAsia="仿宋_GB2312" w:cs="仿宋_GB2312"/>
                <w:color w:val="000000"/>
                <w:kern w:val="0"/>
                <w:sz w:val="24"/>
                <w:szCs w:val="24"/>
                <w:lang w:bidi="ar"/>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strike/>
                <w:color w:val="000000"/>
                <w:sz w:val="24"/>
                <w:szCs w:val="24"/>
                <w:lang w:eastAsia="zh-CN"/>
              </w:rPr>
            </w:pPr>
            <w:r>
              <w:rPr>
                <w:rFonts w:hint="eastAsia" w:ascii="仿宋_GB2312" w:hAnsi="仿宋_GB2312" w:eastAsia="仿宋_GB2312" w:cs="仿宋_GB2312"/>
                <w:color w:val="000000"/>
                <w:kern w:val="0"/>
                <w:sz w:val="24"/>
                <w:szCs w:val="24"/>
                <w:lang w:bidi="ar"/>
              </w:rPr>
              <w:t>1.制定有科室手术质量与安全管理制度（0.2</w:t>
            </w:r>
            <w:r>
              <w:rPr>
                <w:rFonts w:hint="eastAsia" w:ascii="仿宋_GB2312" w:hAnsi="仿宋_GB2312" w:eastAsia="仿宋_GB2312" w:cs="仿宋_GB2312"/>
                <w:color w:val="000000"/>
                <w:kern w:val="0"/>
                <w:sz w:val="24"/>
                <w:szCs w:val="24"/>
                <w:lang w:val="en-US" w:eastAsia="zh-CN" w:bidi="ar"/>
              </w:rPr>
              <w:t>分</w:t>
            </w:r>
            <w:r>
              <w:rPr>
                <w:rFonts w:hint="eastAsia" w:ascii="仿宋_GB2312" w:hAnsi="仿宋_GB2312" w:eastAsia="仿宋_GB2312" w:cs="仿宋_GB2312"/>
                <w:color w:val="000000"/>
                <w:kern w:val="0"/>
                <w:sz w:val="24"/>
                <w:szCs w:val="24"/>
                <w:lang w:bidi="ar"/>
              </w:rPr>
              <w:t>）、与评估制度（0.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c>
          <w:tcPr>
            <w:tcW w:w="807"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strike/>
                <w:color w:val="000000"/>
                <w:sz w:val="24"/>
                <w:szCs w:val="24"/>
              </w:rPr>
            </w:pPr>
          </w:p>
        </w:tc>
        <w:tc>
          <w:tcPr>
            <w:tcW w:w="4718" w:type="dxa"/>
            <w:vMerge w:val="continue"/>
            <w:tcBorders>
              <w:tl2br w:val="nil"/>
              <w:tr2bl w:val="nil"/>
            </w:tcBorders>
            <w:noWrap w:val="0"/>
            <w:vAlign w:val="center"/>
          </w:tcPr>
          <w:p>
            <w:pPr>
              <w:widowControl/>
              <w:jc w:val="left"/>
              <w:textAlignment w:val="center"/>
              <w:rPr>
                <w:rFonts w:ascii="仿宋_GB2312" w:hAnsi="仿宋_GB2312" w:eastAsia="仿宋_GB2312" w:cs="仿宋_GB2312"/>
                <w:strike/>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strike/>
                <w:color w:val="000000"/>
                <w:sz w:val="24"/>
                <w:szCs w:val="24"/>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strike/>
                <w:color w:val="000000"/>
                <w:sz w:val="24"/>
                <w:szCs w:val="24"/>
                <w:lang w:eastAsia="zh-CN"/>
              </w:rPr>
            </w:pPr>
            <w:r>
              <w:rPr>
                <w:rFonts w:hint="eastAsia" w:ascii="仿宋_GB2312" w:hAnsi="仿宋_GB2312" w:eastAsia="仿宋_GB2312" w:cs="仿宋_GB2312"/>
                <w:color w:val="000000"/>
                <w:kern w:val="0"/>
                <w:sz w:val="24"/>
                <w:szCs w:val="24"/>
                <w:lang w:bidi="ar"/>
              </w:rPr>
              <w:t>2.制定有手术并发症应急处置预案（0.3</w:t>
            </w:r>
            <w:r>
              <w:rPr>
                <w:rFonts w:hint="eastAsia" w:ascii="仿宋_GB2312" w:hAnsi="仿宋_GB2312" w:eastAsia="仿宋_GB2312" w:cs="仿宋_GB2312"/>
                <w:color w:val="000000"/>
                <w:kern w:val="0"/>
                <w:sz w:val="24"/>
                <w:szCs w:val="24"/>
                <w:lang w:val="en-US" w:eastAsia="zh-CN" w:bidi="ar"/>
              </w:rPr>
              <w:t>分</w:t>
            </w:r>
            <w:r>
              <w:rPr>
                <w:rFonts w:hint="eastAsia" w:ascii="仿宋_GB2312" w:hAnsi="仿宋_GB2312" w:eastAsia="仿宋_GB2312" w:cs="仿宋_GB2312"/>
                <w:color w:val="000000"/>
                <w:kern w:val="0"/>
                <w:sz w:val="24"/>
                <w:szCs w:val="24"/>
                <w:lang w:bidi="ar"/>
              </w:rPr>
              <w:t>）及手术质量安全控制指标（0.2</w:t>
            </w:r>
            <w:r>
              <w:rPr>
                <w:rFonts w:hint="eastAsia" w:ascii="仿宋_GB2312" w:hAnsi="仿宋_GB2312" w:eastAsia="仿宋_GB2312" w:cs="仿宋_GB2312"/>
                <w:color w:val="000000"/>
                <w:kern w:val="0"/>
                <w:sz w:val="24"/>
                <w:szCs w:val="24"/>
                <w:lang w:val="en-US" w:eastAsia="zh-CN" w:bidi="ar"/>
              </w:rPr>
              <w:t>分</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strike/>
                <w:color w:val="000000"/>
                <w:sz w:val="24"/>
                <w:szCs w:val="24"/>
              </w:rPr>
            </w:pPr>
          </w:p>
        </w:tc>
        <w:tc>
          <w:tcPr>
            <w:tcW w:w="4718" w:type="dxa"/>
            <w:vMerge w:val="continue"/>
            <w:tcBorders>
              <w:tl2br w:val="nil"/>
              <w:tr2bl w:val="nil"/>
            </w:tcBorders>
            <w:noWrap w:val="0"/>
            <w:vAlign w:val="center"/>
          </w:tcPr>
          <w:p>
            <w:pPr>
              <w:widowControl/>
              <w:jc w:val="left"/>
              <w:textAlignment w:val="center"/>
              <w:rPr>
                <w:rFonts w:ascii="仿宋_GB2312" w:hAnsi="仿宋_GB2312" w:eastAsia="仿宋_GB2312" w:cs="仿宋_GB2312"/>
                <w:strike/>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strike/>
                <w:color w:val="000000"/>
                <w:sz w:val="24"/>
                <w:szCs w:val="24"/>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3.严格落实手术安全核查制度，所有手术患者均开展手术安全核查（0.5</w:t>
            </w:r>
            <w:r>
              <w:rPr>
                <w:rFonts w:hint="eastAsia" w:ascii="仿宋_GB2312" w:hAnsi="仿宋_GB2312" w:eastAsia="仿宋_GB2312" w:cs="仿宋_GB2312"/>
                <w:color w:val="000000"/>
                <w:kern w:val="0"/>
                <w:sz w:val="24"/>
                <w:szCs w:val="24"/>
                <w:lang w:val="en-US" w:eastAsia="zh-CN" w:bidi="ar"/>
              </w:rPr>
              <w:t>分</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strike/>
                <w:color w:val="000000"/>
                <w:sz w:val="24"/>
                <w:szCs w:val="24"/>
              </w:rPr>
            </w:pPr>
          </w:p>
        </w:tc>
        <w:tc>
          <w:tcPr>
            <w:tcW w:w="4718" w:type="dxa"/>
            <w:vMerge w:val="continue"/>
            <w:tcBorders>
              <w:tl2br w:val="nil"/>
              <w:tr2bl w:val="nil"/>
            </w:tcBorders>
            <w:noWrap w:val="0"/>
            <w:vAlign w:val="center"/>
          </w:tcPr>
          <w:p>
            <w:pPr>
              <w:widowControl/>
              <w:jc w:val="left"/>
              <w:textAlignment w:val="center"/>
              <w:rPr>
                <w:rFonts w:ascii="仿宋_GB2312" w:hAnsi="仿宋_GB2312" w:eastAsia="仿宋_GB2312" w:cs="仿宋_GB2312"/>
                <w:strike/>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strike/>
                <w:color w:val="000000"/>
                <w:sz w:val="24"/>
                <w:szCs w:val="24"/>
              </w:rPr>
            </w:pPr>
          </w:p>
        </w:tc>
        <w:tc>
          <w:tcPr>
            <w:tcW w:w="6096" w:type="dxa"/>
            <w:tcBorders>
              <w:tl2br w:val="nil"/>
              <w:tr2bl w:val="nil"/>
            </w:tcBorders>
            <w:noWrap w:val="0"/>
            <w:vAlign w:val="center"/>
          </w:tcPr>
          <w:p>
            <w:pPr>
              <w:widowControl/>
              <w:jc w:val="left"/>
              <w:textAlignment w:val="center"/>
              <w:rPr>
                <w:rFonts w:ascii="仿宋_GB2312" w:hAnsi="仿宋_GB2312" w:eastAsia="仿宋_GB2312" w:cs="仿宋_GB2312"/>
                <w:strike/>
                <w:color w:val="000000"/>
                <w:kern w:val="0"/>
                <w:sz w:val="24"/>
                <w:szCs w:val="24"/>
                <w:lang w:bidi="ar"/>
              </w:rPr>
            </w:pPr>
            <w:r>
              <w:rPr>
                <w:rFonts w:hint="eastAsia" w:ascii="仿宋_GB2312" w:hAnsi="仿宋_GB2312" w:eastAsia="仿宋_GB2312" w:cs="仿宋_GB2312"/>
                <w:color w:val="000000"/>
                <w:kern w:val="0"/>
                <w:sz w:val="24"/>
                <w:szCs w:val="24"/>
                <w:lang w:bidi="ar"/>
              </w:rPr>
              <w:t>4.科室每季度进行质量安全进行自查（0.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分）和开展手术质量安全评估（0.2</w:t>
            </w:r>
            <w:r>
              <w:rPr>
                <w:rFonts w:hint="eastAsia" w:ascii="仿宋_GB2312" w:hAnsi="仿宋_GB2312" w:eastAsia="仿宋_GB2312" w:cs="仿宋_GB2312"/>
                <w:color w:val="000000"/>
                <w:kern w:val="0"/>
                <w:sz w:val="24"/>
                <w:szCs w:val="24"/>
                <w:lang w:val="en-US" w:eastAsia="zh-CN" w:bidi="ar"/>
              </w:rPr>
              <w:t>分</w:t>
            </w:r>
            <w:r>
              <w:rPr>
                <w:rFonts w:hint="eastAsia" w:ascii="仿宋_GB2312" w:hAnsi="仿宋_GB2312" w:eastAsia="仿宋_GB2312" w:cs="仿宋_GB2312"/>
                <w:color w:val="000000"/>
                <w:kern w:val="0"/>
                <w:sz w:val="24"/>
                <w:szCs w:val="24"/>
                <w:lang w:bidi="ar"/>
              </w:rPr>
              <w:t>），分析本科室质量与安全及指标变化趋势，有分析与整改（0.2分）；</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c>
          <w:tcPr>
            <w:tcW w:w="4718" w:type="dxa"/>
            <w:vMerge w:val="continue"/>
            <w:tcBorders>
              <w:tl2br w:val="nil"/>
              <w:tr2bl w:val="nil"/>
            </w:tcBorders>
            <w:noWrap w:val="0"/>
            <w:vAlign w:val="center"/>
          </w:tcPr>
          <w:p>
            <w:pPr>
              <w:widowControl/>
              <w:jc w:val="left"/>
              <w:textAlignment w:val="center"/>
              <w:rPr>
                <w:rFonts w:ascii="仿宋_GB2312" w:hAnsi="仿宋_GB2312" w:eastAsia="仿宋_GB2312" w:cs="仿宋_GB2312"/>
                <w:color w:val="000000"/>
                <w:kern w:val="0"/>
                <w:sz w:val="24"/>
                <w:szCs w:val="24"/>
                <w:lang w:bidi="ar"/>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5.有主管部门对科室医疗质量落实情况、改进效果监督检查，对存在问题有改进措施（0.5分）</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05"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4718"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1662"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sz w:val="24"/>
                <w:szCs w:val="24"/>
              </w:rPr>
            </w:pPr>
          </w:p>
        </w:tc>
        <w:tc>
          <w:tcPr>
            <w:tcW w:w="6096" w:type="dxa"/>
            <w:tcBorders>
              <w:tl2br w:val="nil"/>
              <w:tr2bl w:val="nil"/>
            </w:tcBorders>
            <w:noWrap w:val="0"/>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6.持续改进有成效，相关人员无医疗事故发生（0.5分）</w:t>
            </w:r>
            <w:r>
              <w:rPr>
                <w:rFonts w:hint="eastAsia" w:ascii="仿宋_GB2312" w:hAnsi="仿宋_GB2312" w:eastAsia="仿宋_GB2312" w:cs="仿宋_GB2312"/>
                <w:color w:val="000000"/>
                <w:kern w:val="0"/>
                <w:sz w:val="24"/>
                <w:szCs w:val="24"/>
                <w:lang w:eastAsia="zh-CN" w:bidi="ar"/>
              </w:rPr>
              <w:t>。</w:t>
            </w:r>
          </w:p>
        </w:tc>
        <w:tc>
          <w:tcPr>
            <w:tcW w:w="807" w:type="dxa"/>
            <w:vMerge w:val="continue"/>
            <w:tcBorders>
              <w:tl2br w:val="nil"/>
              <w:tr2bl w:val="nil"/>
            </w:tcBorders>
            <w:noWrap w:val="0"/>
            <w:vAlign w:val="center"/>
          </w:tcPr>
          <w:p>
            <w:pPr>
              <w:widowControl/>
              <w:jc w:val="center"/>
              <w:textAlignment w:val="center"/>
              <w:rPr>
                <w:rFonts w:ascii="仿宋_GB2312" w:hAnsi="仿宋_GB2312" w:eastAsia="仿宋_GB2312" w:cs="仿宋_GB2312"/>
                <w:color w:val="000000"/>
                <w:kern w:val="0"/>
                <w:sz w:val="24"/>
                <w:szCs w:val="24"/>
                <w:lang w:bidi="ar"/>
              </w:rPr>
            </w:pPr>
          </w:p>
        </w:tc>
      </w:tr>
    </w:tbl>
    <w:p>
      <w:pPr>
        <w:pStyle w:val="5"/>
        <w:numPr>
          <w:ilvl w:val="0"/>
          <w:numId w:val="0"/>
        </w:numPr>
        <w:bidi w:val="0"/>
        <w:ind w:left="0" w:leftChars="0" w:firstLine="0" w:firstLineChars="0"/>
        <w:rPr>
          <w:rFonts w:hint="eastAsia" w:ascii="Times New Roman" w:hAnsi="Times New Roman" w:eastAsia="宋体" w:cs="Times New Roman"/>
          <w:b/>
          <w:bCs/>
          <w:color w:val="000000"/>
          <w:kern w:val="2"/>
          <w:sz w:val="28"/>
          <w:szCs w:val="28"/>
          <w:lang w:val="en-US" w:eastAsia="zh-CN" w:bidi="ar-SA"/>
        </w:rPr>
      </w:pPr>
      <w:bookmarkStart w:id="174" w:name="_Toc12054"/>
    </w:p>
    <w:p>
      <w:pPr>
        <w:pStyle w:val="5"/>
        <w:numPr>
          <w:ilvl w:val="0"/>
          <w:numId w:val="0"/>
        </w:numPr>
        <w:bidi w:val="0"/>
        <w:ind w:left="0" w:leftChars="0" w:firstLine="0" w:firstLineChars="0"/>
        <w:rPr>
          <w:rFonts w:hint="eastAsia" w:ascii="Times New Roman" w:hAnsi="Times New Roman" w:eastAsia="宋体" w:cs="Times New Roman"/>
          <w:b/>
          <w:bCs/>
          <w:color w:val="000000"/>
          <w:kern w:val="2"/>
          <w:sz w:val="28"/>
          <w:szCs w:val="28"/>
          <w:lang w:val="en-US" w:eastAsia="zh-CN" w:bidi="ar-SA"/>
        </w:rPr>
      </w:pPr>
    </w:p>
    <w:p>
      <w:pPr>
        <w:pStyle w:val="5"/>
        <w:numPr>
          <w:ilvl w:val="0"/>
          <w:numId w:val="0"/>
        </w:numPr>
        <w:bidi w:val="0"/>
        <w:ind w:left="0" w:leftChars="0" w:firstLine="0" w:firstLineChars="0"/>
        <w:rPr>
          <w:rFonts w:hint="eastAsia"/>
          <w:color w:val="000000"/>
          <w:lang w:val="en-US" w:eastAsia="zh-CN"/>
        </w:rPr>
      </w:pPr>
      <w:bookmarkStart w:id="175" w:name="_Toc21171"/>
      <w:r>
        <w:rPr>
          <w:rFonts w:hint="eastAsia" w:cs="Times New Roman"/>
          <w:b/>
          <w:bCs/>
          <w:color w:val="000000"/>
          <w:kern w:val="2"/>
          <w:sz w:val="28"/>
          <w:szCs w:val="28"/>
          <w:lang w:val="en-US" w:eastAsia="zh-CN" w:bidi="ar-SA"/>
        </w:rPr>
        <w:t>八</w:t>
      </w:r>
      <w:r>
        <w:rPr>
          <w:rFonts w:hint="eastAsia" w:ascii="Times New Roman" w:hAnsi="Times New Roman" w:eastAsia="宋体" w:cs="Times New Roman"/>
          <w:b/>
          <w:bCs/>
          <w:color w:val="000000"/>
          <w:kern w:val="2"/>
          <w:sz w:val="28"/>
          <w:szCs w:val="28"/>
          <w:lang w:val="en-US" w:eastAsia="zh-CN" w:bidi="ar-SA"/>
        </w:rPr>
        <w:t>、</w:t>
      </w:r>
      <w:r>
        <w:rPr>
          <w:rFonts w:hint="eastAsia"/>
          <w:color w:val="000000"/>
          <w:lang w:val="en-US" w:eastAsia="zh-CN"/>
        </w:rPr>
        <w:t>美容皮肤</w:t>
      </w:r>
      <w:r>
        <w:rPr>
          <w:rFonts w:hint="eastAsia"/>
          <w:color w:val="000000"/>
          <w:lang w:eastAsia="zh-CN"/>
        </w:rPr>
        <w:t>科</w:t>
      </w:r>
      <w:r>
        <w:rPr>
          <w:rFonts w:hint="eastAsia"/>
          <w:color w:val="000000"/>
        </w:rPr>
        <w:t>诊疗质量保障与持续改进</w:t>
      </w:r>
      <w:r>
        <w:rPr>
          <w:rFonts w:hint="eastAsia"/>
          <w:color w:val="000000"/>
          <w:lang w:eastAsia="zh-CN"/>
        </w:rPr>
        <w:t>（</w:t>
      </w:r>
      <w:r>
        <w:rPr>
          <w:rFonts w:hint="eastAsia"/>
          <w:color w:val="000000"/>
          <w:lang w:val="en-US" w:eastAsia="zh-CN"/>
        </w:rPr>
        <w:t>16.5分）</w:t>
      </w:r>
      <w:bookmarkEnd w:id="174"/>
      <w:bookmarkEnd w:id="175"/>
    </w:p>
    <w:tbl>
      <w:tblPr>
        <w:tblStyle w:val="14"/>
        <w:tblW w:w="14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424"/>
        <w:gridCol w:w="4815"/>
        <w:gridCol w:w="1646"/>
        <w:gridCol w:w="6112"/>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40" w:hRule="atLeast"/>
          <w:tblHeader/>
        </w:trPr>
        <w:tc>
          <w:tcPr>
            <w:tcW w:w="6239" w:type="dxa"/>
            <w:gridSpan w:val="2"/>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评审指标细则</w:t>
            </w:r>
          </w:p>
        </w:tc>
        <w:tc>
          <w:tcPr>
            <w:tcW w:w="1646" w:type="dxa"/>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评审方法</w:t>
            </w:r>
          </w:p>
        </w:tc>
        <w:tc>
          <w:tcPr>
            <w:tcW w:w="6112" w:type="dxa"/>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评分细则</w:t>
            </w:r>
          </w:p>
        </w:tc>
        <w:tc>
          <w:tcPr>
            <w:tcW w:w="791" w:type="dxa"/>
            <w:tcBorders>
              <w:tl2br w:val="nil"/>
              <w:tr2bl w:val="nil"/>
            </w:tcBorders>
            <w:shd w:val="clear" w:color="auto" w:fill="FEF2CC"/>
            <w:noWrap w:val="0"/>
            <w:vAlign w:val="center"/>
          </w:tcPr>
          <w:p>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40" w:hRule="atLeast"/>
        </w:trPr>
        <w:tc>
          <w:tcPr>
            <w:tcW w:w="14788" w:type="dxa"/>
            <w:gridSpan w:val="5"/>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r>
              <w:rPr>
                <w:rFonts w:hint="eastAsia" w:ascii="仿宋_GB2312" w:hAnsi="仿宋_GB2312" w:eastAsia="仿宋_GB2312" w:cs="仿宋_GB2312"/>
                <w:b w:val="0"/>
                <w:bCs w:val="0"/>
                <w:color w:val="000000"/>
                <w:kern w:val="0"/>
                <w:sz w:val="24"/>
                <w:szCs w:val="24"/>
                <w:highlight w:val="none"/>
                <w:lang w:val="en-US" w:eastAsia="zh-CN"/>
              </w:rPr>
              <w:t>（一百）美容皮肤</w:t>
            </w:r>
            <w:r>
              <w:rPr>
                <w:rFonts w:hint="eastAsia" w:ascii="仿宋_GB2312" w:hAnsi="仿宋_GB2312" w:eastAsia="仿宋_GB2312" w:cs="仿宋_GB2312"/>
                <w:b w:val="0"/>
                <w:bCs w:val="0"/>
                <w:color w:val="000000"/>
                <w:kern w:val="0"/>
                <w:sz w:val="24"/>
                <w:szCs w:val="24"/>
                <w:highlight w:val="none"/>
                <w:lang w:eastAsia="zh-CN"/>
              </w:rPr>
              <w:t>科设置</w:t>
            </w:r>
            <w:r>
              <w:rPr>
                <w:rFonts w:hint="eastAsia" w:ascii="仿宋_GB2312" w:hAnsi="仿宋_GB2312" w:eastAsia="仿宋_GB2312" w:cs="仿宋_GB2312"/>
                <w:b w:val="0"/>
                <w:bCs w:val="0"/>
                <w:color w:val="000000"/>
                <w:sz w:val="24"/>
                <w:szCs w:val="24"/>
                <w:highlight w:val="none"/>
              </w:rPr>
              <w:t>布局、房屋和设备设施、人员资质满足诊疗发展需要（</w:t>
            </w:r>
            <w:r>
              <w:rPr>
                <w:rFonts w:hint="eastAsia" w:ascii="仿宋_GB2312" w:hAnsi="仿宋_GB2312" w:eastAsia="仿宋_GB2312" w:cs="仿宋_GB2312"/>
                <w:b w:val="0"/>
                <w:bCs w:val="0"/>
                <w:color w:val="000000"/>
                <w:sz w:val="24"/>
                <w:szCs w:val="24"/>
                <w:highlight w:val="none"/>
                <w:lang w:val="en-US" w:eastAsia="zh-CN"/>
              </w:rPr>
              <w:t>5</w:t>
            </w:r>
            <w:r>
              <w:rPr>
                <w:rFonts w:hint="eastAsia" w:ascii="仿宋_GB2312" w:hAnsi="仿宋_GB2312" w:eastAsia="仿宋_GB2312" w:cs="仿宋_GB2312"/>
                <w:b w:val="0"/>
                <w:bCs w:val="0"/>
                <w:color w:val="000000"/>
                <w:sz w:val="24"/>
                <w:szCs w:val="24"/>
                <w:highlight w:val="none"/>
              </w:rPr>
              <w:t>分）</w:t>
            </w:r>
            <w:r>
              <w:rPr>
                <w:rFonts w:hint="eastAsia" w:ascii="仿宋_GB2312" w:hAnsi="仿宋_GB2312" w:eastAsia="仿宋_GB2312" w:cs="仿宋_GB2312"/>
                <w:b w:val="0"/>
                <w:bCs w:val="0"/>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restart"/>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2.8.100.1</w:t>
            </w:r>
          </w:p>
        </w:tc>
        <w:tc>
          <w:tcPr>
            <w:tcW w:w="4815"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r>
              <w:rPr>
                <w:rFonts w:hint="eastAsia" w:ascii="仿宋_GB2312" w:hAnsi="仿宋_GB2312" w:eastAsia="仿宋_GB2312" w:cs="仿宋_GB2312"/>
                <w:b w:val="0"/>
                <w:bCs w:val="0"/>
                <w:color w:val="000000"/>
                <w:sz w:val="24"/>
                <w:szCs w:val="24"/>
                <w:highlight w:val="none"/>
                <w:lang w:eastAsia="zh-CN"/>
              </w:rPr>
              <w:t>科室设置</w:t>
            </w:r>
            <w:r>
              <w:rPr>
                <w:rFonts w:hint="eastAsia" w:ascii="仿宋_GB2312" w:hAnsi="仿宋_GB2312" w:eastAsia="仿宋_GB2312" w:cs="仿宋_GB2312"/>
                <w:b w:val="0"/>
                <w:bCs w:val="0"/>
                <w:color w:val="000000"/>
                <w:sz w:val="24"/>
                <w:szCs w:val="24"/>
                <w:highlight w:val="none"/>
                <w:lang w:val="en-US" w:eastAsia="zh-CN"/>
              </w:rPr>
              <w:t>布局合理，</w:t>
            </w:r>
            <w:r>
              <w:rPr>
                <w:rFonts w:hint="eastAsia" w:ascii="仿宋_GB2312" w:hAnsi="仿宋_GB2312" w:eastAsia="仿宋_GB2312" w:cs="仿宋_GB2312"/>
                <w:b w:val="0"/>
                <w:bCs w:val="0"/>
                <w:color w:val="000000"/>
                <w:sz w:val="24"/>
                <w:szCs w:val="24"/>
                <w:highlight w:val="none"/>
                <w:lang w:eastAsia="zh-CN"/>
              </w:rPr>
              <w:t>符合</w:t>
            </w:r>
            <w:r>
              <w:rPr>
                <w:rFonts w:hint="eastAsia" w:ascii="仿宋_GB2312" w:hAnsi="仿宋_GB2312" w:eastAsia="仿宋_GB2312" w:cs="仿宋_GB2312"/>
                <w:b w:val="0"/>
                <w:bCs w:val="0"/>
                <w:color w:val="000000"/>
                <w:sz w:val="24"/>
                <w:szCs w:val="24"/>
                <w:highlight w:val="none"/>
                <w:lang w:val="en-US" w:eastAsia="zh-CN"/>
              </w:rPr>
              <w:t>相关</w:t>
            </w:r>
            <w:r>
              <w:rPr>
                <w:rFonts w:hint="eastAsia" w:ascii="仿宋_GB2312" w:hAnsi="仿宋_GB2312" w:eastAsia="仿宋_GB2312" w:cs="仿宋_GB2312"/>
                <w:b w:val="0"/>
                <w:bCs w:val="0"/>
                <w:color w:val="000000"/>
                <w:sz w:val="24"/>
                <w:szCs w:val="24"/>
                <w:highlight w:val="none"/>
                <w:lang w:eastAsia="zh-CN"/>
              </w:rPr>
              <w:t>要求。</w:t>
            </w:r>
          </w:p>
        </w:tc>
        <w:tc>
          <w:tcPr>
            <w:tcW w:w="1646" w:type="dxa"/>
            <w:vMerge w:val="restart"/>
            <w:tcBorders>
              <w:tl2br w:val="nil"/>
              <w:tr2bl w:val="nil"/>
            </w:tcBorders>
            <w:shd w:val="clear" w:color="auto" w:fill="FFFFFF"/>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rPr>
              <w:t>文件查阅</w:t>
            </w:r>
          </w:p>
          <w:p>
            <w:pPr>
              <w:keepNext w:val="0"/>
              <w:keepLines w:val="0"/>
              <w:suppressLineNumbers w:val="0"/>
              <w:spacing w:before="0" w:beforeAutospacing="0" w:after="0" w:afterAutospacing="0" w:line="320" w:lineRule="exact"/>
              <w:ind w:left="105" w:leftChars="50" w:right="105" w:rightChars="50"/>
              <w:jc w:val="center"/>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rPr>
              <w:t>记录查看</w:t>
            </w:r>
          </w:p>
          <w:p>
            <w:pPr>
              <w:keepNext w:val="0"/>
              <w:keepLines w:val="0"/>
              <w:suppressLineNumbers w:val="0"/>
              <w:spacing w:before="0" w:beforeAutospacing="0" w:after="0" w:afterAutospacing="0" w:line="320" w:lineRule="exact"/>
              <w:ind w:left="105" w:leftChars="50" w:right="105" w:rightChars="50"/>
              <w:jc w:val="center"/>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rPr>
              <w:t>现场查看</w:t>
            </w:r>
          </w:p>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r>
              <w:rPr>
                <w:rFonts w:hint="eastAsia" w:ascii="仿宋_GB2312" w:hAnsi="仿宋_GB2312" w:eastAsia="仿宋_GB2312" w:cs="仿宋_GB2312"/>
                <w:b w:val="0"/>
                <w:bCs w:val="0"/>
                <w:color w:val="000000"/>
                <w:spacing w:val="-4"/>
                <w:kern w:val="2"/>
                <w:sz w:val="24"/>
                <w:szCs w:val="24"/>
                <w:highlight w:val="none"/>
              </w:rPr>
              <w:t>1.门诊布局合理，有分诊、等候区及各类治疗相对独立的区域</w:t>
            </w:r>
            <w:r>
              <w:rPr>
                <w:rFonts w:hint="eastAsia" w:ascii="仿宋_GB2312" w:hAnsi="仿宋_GB2312" w:eastAsia="仿宋_GB2312" w:cs="仿宋_GB2312"/>
                <w:b w:val="0"/>
                <w:bCs w:val="0"/>
                <w:color w:val="000000"/>
                <w:sz w:val="24"/>
                <w:szCs w:val="24"/>
                <w:highlight w:val="none"/>
              </w:rPr>
              <w:t>（0.</w:t>
            </w:r>
            <w:r>
              <w:rPr>
                <w:rFonts w:hint="eastAsia" w:ascii="仿宋_GB2312" w:hAnsi="仿宋_GB2312" w:eastAsia="仿宋_GB2312" w:cs="仿宋_GB2312"/>
                <w:b w:val="0"/>
                <w:bCs w:val="0"/>
                <w:color w:val="000000"/>
                <w:sz w:val="24"/>
                <w:szCs w:val="24"/>
                <w:highlight w:val="none"/>
                <w:lang w:val="en-US" w:eastAsia="zh-CN"/>
              </w:rPr>
              <w:t>5</w:t>
            </w:r>
            <w:r>
              <w:rPr>
                <w:rFonts w:hint="eastAsia" w:ascii="仿宋_GB2312" w:hAnsi="仿宋_GB2312" w:eastAsia="仿宋_GB2312" w:cs="仿宋_GB2312"/>
                <w:b w:val="0"/>
                <w:bCs w:val="0"/>
                <w:color w:val="000000"/>
                <w:sz w:val="24"/>
                <w:szCs w:val="24"/>
                <w:highlight w:val="none"/>
              </w:rPr>
              <w:t>分）；</w:t>
            </w:r>
          </w:p>
        </w:tc>
        <w:tc>
          <w:tcPr>
            <w:tcW w:w="791" w:type="dxa"/>
            <w:vMerge w:val="restart"/>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2.医疗用房建筑面积不少于 100 平方米,区域相对独立</w:t>
            </w:r>
            <w:r>
              <w:rPr>
                <w:rFonts w:hint="eastAsia" w:ascii="仿宋_GB2312" w:hAnsi="仿宋_GB2312" w:eastAsia="仿宋_GB2312" w:cs="仿宋_GB2312"/>
                <w:b w:val="0"/>
                <w:bCs w:val="0"/>
                <w:color w:val="000000"/>
                <w:spacing w:val="-4"/>
                <w:kern w:val="2"/>
                <w:sz w:val="24"/>
                <w:szCs w:val="24"/>
                <w:highlight w:val="none"/>
                <w:lang w:eastAsia="zh-CN"/>
              </w:rPr>
              <w:t>（</w:t>
            </w:r>
            <w:r>
              <w:rPr>
                <w:rFonts w:hint="eastAsia" w:ascii="仿宋_GB2312" w:hAnsi="仿宋_GB2312" w:eastAsia="仿宋_GB2312" w:cs="仿宋_GB2312"/>
                <w:b w:val="0"/>
                <w:bCs w:val="0"/>
                <w:color w:val="000000"/>
                <w:spacing w:val="-4"/>
                <w:kern w:val="2"/>
                <w:sz w:val="24"/>
                <w:szCs w:val="24"/>
                <w:highlight w:val="none"/>
                <w:lang w:val="en-US" w:eastAsia="zh-CN"/>
              </w:rPr>
              <w:t>0.5分</w:t>
            </w:r>
            <w:r>
              <w:rPr>
                <w:rFonts w:hint="eastAsia" w:ascii="仿宋_GB2312" w:hAnsi="仿宋_GB2312" w:eastAsia="仿宋_GB2312" w:cs="仿宋_GB2312"/>
                <w:b w:val="0"/>
                <w:bCs w:val="0"/>
                <w:color w:val="000000"/>
                <w:spacing w:val="-4"/>
                <w:kern w:val="2"/>
                <w:sz w:val="24"/>
                <w:szCs w:val="24"/>
                <w:highlight w:val="none"/>
                <w:lang w:eastAsia="zh-CN"/>
              </w:rPr>
              <w:t>）；</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3.有独立的咨询室和美容治疗室</w:t>
            </w:r>
            <w:r>
              <w:rPr>
                <w:rFonts w:hint="eastAsia" w:ascii="仿宋_GB2312" w:hAnsi="仿宋_GB2312" w:eastAsia="仿宋_GB2312" w:cs="仿宋_GB2312"/>
                <w:b w:val="0"/>
                <w:bCs w:val="0"/>
                <w:color w:val="000000"/>
                <w:sz w:val="24"/>
                <w:szCs w:val="24"/>
                <w:highlight w:val="none"/>
              </w:rPr>
              <w:t>（0.</w:t>
            </w:r>
            <w:r>
              <w:rPr>
                <w:rFonts w:hint="eastAsia" w:ascii="仿宋_GB2312" w:hAnsi="仿宋_GB2312" w:eastAsia="仿宋_GB2312" w:cs="仿宋_GB2312"/>
                <w:b w:val="0"/>
                <w:bCs w:val="0"/>
                <w:color w:val="000000"/>
                <w:sz w:val="24"/>
                <w:szCs w:val="24"/>
                <w:highlight w:val="none"/>
                <w:lang w:val="en-US" w:eastAsia="zh-CN"/>
              </w:rPr>
              <w:t>5</w:t>
            </w:r>
            <w:r>
              <w:rPr>
                <w:rFonts w:hint="eastAsia" w:ascii="仿宋_GB2312" w:hAnsi="仿宋_GB2312" w:eastAsia="仿宋_GB2312" w:cs="仿宋_GB2312"/>
                <w:b w:val="0"/>
                <w:bCs w:val="0"/>
                <w:color w:val="000000"/>
                <w:sz w:val="24"/>
                <w:szCs w:val="24"/>
                <w:highlight w:val="none"/>
              </w:rPr>
              <w:t>分）</w:t>
            </w:r>
            <w:r>
              <w:rPr>
                <w:rFonts w:hint="eastAsia" w:ascii="仿宋_GB2312" w:hAnsi="仿宋_GB2312" w:eastAsia="仿宋_GB2312" w:cs="仿宋_GB2312"/>
                <w:b w:val="0"/>
                <w:bCs w:val="0"/>
                <w:color w:val="000000"/>
                <w:sz w:val="24"/>
                <w:szCs w:val="24"/>
                <w:highlight w:val="none"/>
                <w:lang w:eastAsia="zh-CN"/>
              </w:rPr>
              <w:t>。</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4815"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r>
              <w:rPr>
                <w:rFonts w:hint="eastAsia" w:ascii="仿宋_GB2312" w:hAnsi="仿宋_GB2312" w:eastAsia="仿宋_GB2312" w:cs="仿宋_GB2312"/>
                <w:b w:val="0"/>
                <w:bCs w:val="0"/>
                <w:color w:val="000000"/>
                <w:sz w:val="24"/>
                <w:szCs w:val="24"/>
                <w:highlight w:val="none"/>
                <w:lang w:val="en-US" w:eastAsia="zh-CN"/>
              </w:rPr>
              <w:t>医疗</w:t>
            </w:r>
            <w:r>
              <w:rPr>
                <w:rFonts w:hint="eastAsia" w:ascii="仿宋_GB2312" w:hAnsi="仿宋_GB2312" w:eastAsia="仿宋_GB2312" w:cs="仿宋_GB2312"/>
                <w:b w:val="0"/>
                <w:bCs w:val="0"/>
                <w:color w:val="000000"/>
                <w:sz w:val="24"/>
                <w:szCs w:val="24"/>
                <w:highlight w:val="none"/>
                <w:lang w:eastAsia="zh-CN"/>
              </w:rPr>
              <w:t>设备、设施</w:t>
            </w:r>
            <w:r>
              <w:rPr>
                <w:rFonts w:hint="eastAsia" w:ascii="仿宋_GB2312" w:hAnsi="仿宋_GB2312" w:eastAsia="仿宋_GB2312" w:cs="仿宋_GB2312"/>
                <w:b w:val="0"/>
                <w:bCs w:val="0"/>
                <w:color w:val="000000"/>
                <w:sz w:val="24"/>
                <w:szCs w:val="24"/>
                <w:highlight w:val="none"/>
                <w:lang w:val="en-US" w:eastAsia="zh-CN"/>
              </w:rPr>
              <w:t>配备满足科室</w:t>
            </w:r>
            <w:r>
              <w:rPr>
                <w:rFonts w:hint="eastAsia" w:ascii="仿宋_GB2312" w:hAnsi="仿宋_GB2312" w:eastAsia="仿宋_GB2312" w:cs="仿宋_GB2312"/>
                <w:b w:val="0"/>
                <w:bCs w:val="0"/>
                <w:color w:val="000000"/>
                <w:sz w:val="24"/>
                <w:szCs w:val="24"/>
                <w:highlight w:val="none"/>
                <w:lang w:eastAsia="zh-CN"/>
              </w:rPr>
              <w:t>功能要求。</w:t>
            </w:r>
            <w:r>
              <w:rPr>
                <w:rFonts w:hint="eastAsia" w:ascii="仿宋_GB2312" w:hAnsi="仿宋_GB2312" w:eastAsia="仿宋_GB2312" w:cs="仿宋_GB2312"/>
                <w:b w:val="0"/>
                <w:bCs w:val="0"/>
                <w:color w:val="000000"/>
                <w:kern w:val="0"/>
                <w:sz w:val="24"/>
                <w:szCs w:val="24"/>
                <w:highlight w:val="none"/>
                <w:lang w:eastAsia="zh-CN" w:bidi="ar"/>
              </w:rPr>
              <w:t>设备</w:t>
            </w:r>
            <w:r>
              <w:rPr>
                <w:rFonts w:hint="eastAsia" w:ascii="仿宋_GB2312" w:hAnsi="仿宋_GB2312" w:eastAsia="仿宋_GB2312" w:cs="仿宋_GB2312"/>
                <w:b w:val="0"/>
                <w:bCs w:val="0"/>
                <w:color w:val="000000"/>
                <w:kern w:val="0"/>
                <w:sz w:val="24"/>
                <w:szCs w:val="24"/>
                <w:highlight w:val="none"/>
                <w:lang w:bidi="ar"/>
              </w:rPr>
              <w:t>管理</w:t>
            </w:r>
            <w:r>
              <w:rPr>
                <w:rFonts w:hint="eastAsia" w:ascii="仿宋_GB2312" w:hAnsi="仿宋_GB2312" w:eastAsia="仿宋_GB2312" w:cs="仿宋_GB2312"/>
                <w:b w:val="0"/>
                <w:bCs w:val="0"/>
                <w:color w:val="000000"/>
                <w:kern w:val="0"/>
                <w:sz w:val="24"/>
                <w:szCs w:val="24"/>
                <w:highlight w:val="none"/>
                <w:lang w:val="en-US" w:eastAsia="zh-CN" w:bidi="ar"/>
              </w:rPr>
              <w:t>符合</w:t>
            </w:r>
            <w:r>
              <w:rPr>
                <w:rFonts w:hint="eastAsia" w:ascii="仿宋_GB2312" w:hAnsi="仿宋_GB2312" w:eastAsia="仿宋_GB2312" w:cs="仿宋_GB2312"/>
                <w:b w:val="0"/>
                <w:bCs w:val="0"/>
                <w:color w:val="000000"/>
                <w:kern w:val="0"/>
                <w:sz w:val="24"/>
                <w:szCs w:val="24"/>
                <w:highlight w:val="none"/>
                <w:lang w:bidi="ar"/>
              </w:rPr>
              <w:t>规定，</w:t>
            </w:r>
            <w:r>
              <w:rPr>
                <w:rFonts w:hint="eastAsia" w:ascii="仿宋_GB2312" w:hAnsi="仿宋_GB2312" w:eastAsia="仿宋_GB2312" w:cs="仿宋_GB2312"/>
                <w:b w:val="0"/>
                <w:bCs w:val="0"/>
                <w:color w:val="000000"/>
                <w:kern w:val="0"/>
                <w:sz w:val="24"/>
                <w:szCs w:val="24"/>
                <w:highlight w:val="none"/>
                <w:lang w:eastAsia="zh-CN" w:bidi="ar"/>
              </w:rPr>
              <w:t>并</w:t>
            </w:r>
            <w:r>
              <w:rPr>
                <w:rFonts w:hint="eastAsia" w:ascii="仿宋_GB2312" w:hAnsi="仿宋_GB2312" w:eastAsia="仿宋_GB2312" w:cs="仿宋_GB2312"/>
                <w:b w:val="0"/>
                <w:bCs w:val="0"/>
                <w:color w:val="000000"/>
                <w:kern w:val="0"/>
                <w:sz w:val="24"/>
                <w:szCs w:val="24"/>
                <w:highlight w:val="none"/>
                <w:lang w:bidi="ar"/>
              </w:rPr>
              <w:t>按</w:t>
            </w:r>
            <w:r>
              <w:rPr>
                <w:rFonts w:hint="eastAsia" w:ascii="仿宋_GB2312" w:hAnsi="仿宋_GB2312" w:eastAsia="仿宋_GB2312" w:cs="仿宋_GB2312"/>
                <w:b w:val="0"/>
                <w:bCs w:val="0"/>
                <w:color w:val="000000"/>
                <w:kern w:val="0"/>
                <w:sz w:val="24"/>
                <w:szCs w:val="24"/>
                <w:highlight w:val="none"/>
                <w:lang w:eastAsia="zh-CN" w:bidi="ar"/>
              </w:rPr>
              <w:t>相关</w:t>
            </w:r>
            <w:r>
              <w:rPr>
                <w:rFonts w:hint="eastAsia" w:ascii="仿宋_GB2312" w:hAnsi="仿宋_GB2312" w:eastAsia="仿宋_GB2312" w:cs="仿宋_GB2312"/>
                <w:b w:val="0"/>
                <w:bCs w:val="0"/>
                <w:color w:val="000000"/>
                <w:kern w:val="0"/>
                <w:sz w:val="24"/>
                <w:szCs w:val="24"/>
                <w:highlight w:val="none"/>
                <w:lang w:bidi="ar"/>
              </w:rPr>
              <w:t>要求定期检测</w:t>
            </w:r>
            <w:r>
              <w:rPr>
                <w:rFonts w:hint="eastAsia" w:ascii="仿宋_GB2312" w:hAnsi="仿宋_GB2312" w:eastAsia="仿宋_GB2312" w:cs="仿宋_GB2312"/>
                <w:b w:val="0"/>
                <w:bCs w:val="0"/>
                <w:color w:val="000000"/>
                <w:kern w:val="0"/>
                <w:sz w:val="24"/>
                <w:szCs w:val="24"/>
                <w:highlight w:val="none"/>
                <w:lang w:eastAsia="zh-CN" w:bidi="ar"/>
              </w:rPr>
              <w:t>维护</w:t>
            </w:r>
            <w:r>
              <w:rPr>
                <w:rFonts w:hint="eastAsia" w:ascii="仿宋_GB2312" w:hAnsi="仿宋_GB2312" w:eastAsia="仿宋_GB2312" w:cs="仿宋_GB2312"/>
                <w:b w:val="0"/>
                <w:bCs w:val="0"/>
                <w:color w:val="000000"/>
                <w:kern w:val="0"/>
                <w:sz w:val="24"/>
                <w:szCs w:val="24"/>
                <w:highlight w:val="none"/>
                <w:lang w:bidi="ar"/>
              </w:rPr>
              <w:t>。</w:t>
            </w:r>
          </w:p>
        </w:tc>
        <w:tc>
          <w:tcPr>
            <w:tcW w:w="1646" w:type="dxa"/>
            <w:vMerge w:val="restart"/>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记录查看</w:t>
            </w:r>
          </w:p>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r>
              <w:rPr>
                <w:rFonts w:hint="eastAsia" w:ascii="仿宋_GB2312" w:hAnsi="仿宋_GB2312" w:eastAsia="仿宋_GB2312" w:cs="仿宋_GB2312"/>
                <w:b w:val="0"/>
                <w:bCs w:val="0"/>
                <w:color w:val="000000"/>
                <w:kern w:val="0"/>
                <w:sz w:val="24"/>
                <w:szCs w:val="24"/>
                <w:highlight w:val="none"/>
                <w:lang w:bidi="ar"/>
              </w:rPr>
              <w:t>员工访谈</w:t>
            </w: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1.美容治疗床≥10张</w:t>
            </w:r>
            <w:r>
              <w:rPr>
                <w:rFonts w:hint="eastAsia" w:ascii="仿宋_GB2312" w:hAnsi="仿宋_GB2312" w:eastAsia="仿宋_GB2312" w:cs="仿宋_GB2312"/>
                <w:b w:val="0"/>
                <w:bCs w:val="0"/>
                <w:color w:val="000000"/>
                <w:sz w:val="24"/>
                <w:szCs w:val="24"/>
                <w:highlight w:val="none"/>
              </w:rPr>
              <w:t>；</w:t>
            </w:r>
            <w:r>
              <w:rPr>
                <w:rFonts w:hint="eastAsia" w:ascii="仿宋_GB2312" w:hAnsi="仿宋_GB2312" w:eastAsia="仿宋_GB2312" w:cs="仿宋_GB2312"/>
                <w:b w:val="0"/>
                <w:bCs w:val="0"/>
                <w:color w:val="000000"/>
                <w:sz w:val="24"/>
                <w:szCs w:val="24"/>
                <w:highlight w:val="none"/>
                <w:lang w:val="en-US" w:eastAsia="zh-CN"/>
              </w:rPr>
              <w:t>每张美容治疗床净使用面积不少于6平米（0.5分）；</w:t>
            </w:r>
          </w:p>
        </w:tc>
        <w:tc>
          <w:tcPr>
            <w:tcW w:w="791" w:type="dxa"/>
            <w:vMerge w:val="restart"/>
            <w:tcBorders>
              <w:tl2br w:val="nil"/>
              <w:tr2bl w:val="nil"/>
            </w:tcBorders>
            <w:shd w:val="clear" w:color="auto" w:fill="FFFFFF"/>
            <w:noWrap w:val="0"/>
            <w:vAlign w:val="center"/>
          </w:tcPr>
          <w:p>
            <w:pPr>
              <w:widowControl/>
              <w:spacing w:line="320" w:lineRule="exact"/>
              <w:jc w:val="center"/>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2.配备有相关的激光美容设备≥5台，能满足诊疗工作需要。至少配备有铒激光和CO</w:t>
            </w:r>
            <w:r>
              <w:rPr>
                <w:rFonts w:hint="eastAsia" w:ascii="仿宋_GB2312" w:hAnsi="仿宋_GB2312" w:eastAsia="仿宋_GB2312" w:cs="仿宋_GB2312"/>
                <w:b w:val="0"/>
                <w:bCs w:val="0"/>
                <w:color w:val="000000"/>
                <w:kern w:val="0"/>
                <w:sz w:val="24"/>
                <w:szCs w:val="24"/>
                <w:highlight w:val="none"/>
                <w:vertAlign w:val="subscript"/>
                <w:lang w:val="en-US" w:eastAsia="zh-CN" w:bidi="ar"/>
              </w:rPr>
              <w:t>2</w:t>
            </w:r>
            <w:r>
              <w:rPr>
                <w:rFonts w:hint="eastAsia" w:ascii="仿宋_GB2312" w:hAnsi="仿宋_GB2312" w:eastAsia="仿宋_GB2312" w:cs="仿宋_GB2312"/>
                <w:b w:val="0"/>
                <w:bCs w:val="0"/>
                <w:color w:val="000000"/>
                <w:kern w:val="0"/>
                <w:sz w:val="24"/>
                <w:szCs w:val="24"/>
                <w:highlight w:val="none"/>
                <w:lang w:val="en-US" w:eastAsia="zh-CN" w:bidi="ar"/>
              </w:rPr>
              <w:t>点阵激光</w:t>
            </w:r>
            <w:r>
              <w:rPr>
                <w:rFonts w:hint="eastAsia" w:ascii="仿宋_GB2312" w:hAnsi="仿宋_GB2312" w:eastAsia="仿宋_GB2312" w:cs="仿宋_GB2312"/>
                <w:b w:val="0"/>
                <w:bCs w:val="0"/>
                <w:color w:val="000000"/>
                <w:sz w:val="24"/>
                <w:szCs w:val="24"/>
                <w:highlight w:val="none"/>
                <w:lang w:val="en-US" w:eastAsia="zh-CN"/>
              </w:rPr>
              <w:t>（0.5分）；</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3.能够开展除皱、脱毛、去纹身、去色素性皮损、治疗血管性疾病等治疗</w:t>
            </w:r>
            <w:r>
              <w:rPr>
                <w:rFonts w:hint="eastAsia" w:ascii="仿宋_GB2312" w:hAnsi="仿宋_GB2312" w:eastAsia="仿宋_GB2312" w:cs="仿宋_GB2312"/>
                <w:b w:val="0"/>
                <w:bCs w:val="0"/>
                <w:color w:val="000000"/>
                <w:sz w:val="24"/>
                <w:szCs w:val="24"/>
                <w:highlight w:val="none"/>
                <w:lang w:val="en-US" w:eastAsia="zh-CN"/>
              </w:rPr>
              <w:t>（0.5分）；</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
              </w:rPr>
              <w:t>4</w:t>
            </w:r>
            <w:r>
              <w:rPr>
                <w:rFonts w:hint="eastAsia" w:ascii="仿宋_GB2312" w:hAnsi="仿宋_GB2312" w:eastAsia="仿宋_GB2312" w:cs="仿宋_GB2312"/>
                <w:b w:val="0"/>
                <w:bCs w:val="0"/>
                <w:color w:val="000000"/>
                <w:kern w:val="0"/>
                <w:sz w:val="24"/>
                <w:szCs w:val="24"/>
                <w:highlight w:val="none"/>
                <w:lang w:bidi="ar"/>
              </w:rPr>
              <w:t>.建立相关仪器设备、耗材等管理制度</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0.5分</w:t>
            </w:r>
            <w:r>
              <w:rPr>
                <w:rFonts w:hint="eastAsia" w:ascii="仿宋_GB2312" w:hAnsi="仿宋_GB2312" w:eastAsia="仿宋_GB2312" w:cs="仿宋_GB2312"/>
                <w:b w:val="0"/>
                <w:bCs w:val="0"/>
                <w:color w:val="000000"/>
                <w:kern w:val="0"/>
                <w:sz w:val="24"/>
                <w:szCs w:val="24"/>
                <w:highlight w:val="none"/>
                <w:lang w:eastAsia="zh-CN" w:bidi="ar"/>
              </w:rPr>
              <w:t>）；</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.所有仪器设备均建立档案，</w:t>
            </w:r>
            <w:r>
              <w:rPr>
                <w:rFonts w:hint="eastAsia" w:ascii="仿宋_GB2312" w:hAnsi="仿宋_GB2312" w:eastAsia="仿宋_GB2312" w:cs="仿宋_GB2312"/>
                <w:b w:val="0"/>
                <w:bCs w:val="0"/>
                <w:color w:val="000000"/>
                <w:kern w:val="0"/>
                <w:sz w:val="24"/>
                <w:szCs w:val="24"/>
                <w:highlight w:val="none"/>
                <w:lang w:val="en-US" w:eastAsia="zh-CN" w:bidi="ar"/>
              </w:rPr>
              <w:t>设有专人负责，</w:t>
            </w:r>
            <w:r>
              <w:rPr>
                <w:rFonts w:hint="eastAsia" w:ascii="仿宋_GB2312" w:hAnsi="仿宋_GB2312" w:eastAsia="仿宋_GB2312" w:cs="仿宋_GB2312"/>
                <w:b w:val="0"/>
                <w:bCs w:val="0"/>
                <w:color w:val="000000"/>
                <w:kern w:val="0"/>
                <w:sz w:val="24"/>
                <w:szCs w:val="24"/>
                <w:highlight w:val="none"/>
                <w:lang w:bidi="ar"/>
              </w:rPr>
              <w:t>每年度进行检测、维护和保养（0.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r>
              <w:rPr>
                <w:rFonts w:hint="eastAsia" w:ascii="仿宋_GB2312" w:hAnsi="仿宋_GB2312" w:eastAsia="仿宋_GB2312" w:cs="仿宋_GB2312"/>
                <w:b w:val="0"/>
                <w:bCs w:val="0"/>
                <w:color w:val="000000"/>
                <w:kern w:val="0"/>
                <w:sz w:val="24"/>
                <w:szCs w:val="24"/>
                <w:highlight w:val="none"/>
                <w:lang w:val="en-US" w:eastAsia="zh-CN" w:bidi="ar"/>
              </w:rPr>
              <w:t>各种设备管理记录完整</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0.5分</w:t>
            </w:r>
            <w:r>
              <w:rPr>
                <w:rFonts w:hint="eastAsia" w:ascii="仿宋_GB2312" w:hAnsi="仿宋_GB2312" w:eastAsia="仿宋_GB2312" w:cs="仿宋_GB2312"/>
                <w:b w:val="0"/>
                <w:bCs w:val="0"/>
                <w:color w:val="000000"/>
                <w:kern w:val="0"/>
                <w:sz w:val="24"/>
                <w:szCs w:val="24"/>
                <w:highlight w:val="none"/>
                <w:lang w:eastAsia="zh-CN" w:bidi="ar"/>
              </w:rPr>
              <w:t>）；</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6.现场抽查相关员工熟练掌握相关仪器设备的使用（0.5分）。</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4788" w:type="dxa"/>
            <w:gridSpan w:val="5"/>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eastAsia="zh-CN" w:bidi="ar"/>
              </w:rPr>
            </w:pP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一百零一</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bidi="ar"/>
              </w:rPr>
              <w:t>从事</w:t>
            </w:r>
            <w:r>
              <w:rPr>
                <w:rFonts w:hint="eastAsia" w:ascii="仿宋_GB2312" w:hAnsi="仿宋_GB2312" w:eastAsia="仿宋_GB2312" w:cs="仿宋_GB2312"/>
                <w:b w:val="0"/>
                <w:bCs w:val="0"/>
                <w:color w:val="000000"/>
                <w:kern w:val="0"/>
                <w:sz w:val="24"/>
                <w:szCs w:val="24"/>
                <w:highlight w:val="none"/>
                <w:lang w:val="en-US" w:eastAsia="zh-CN" w:bidi="ar"/>
              </w:rPr>
              <w:t>医疗</w:t>
            </w:r>
            <w:r>
              <w:rPr>
                <w:rFonts w:hint="eastAsia" w:ascii="仿宋_GB2312" w:hAnsi="仿宋_GB2312" w:eastAsia="仿宋_GB2312" w:cs="仿宋_GB2312"/>
                <w:b w:val="0"/>
                <w:bCs w:val="0"/>
                <w:color w:val="000000"/>
                <w:kern w:val="0"/>
                <w:sz w:val="24"/>
                <w:szCs w:val="24"/>
                <w:highlight w:val="none"/>
                <w:lang w:eastAsia="zh-CN" w:bidi="ar"/>
              </w:rPr>
              <w:t>美容临床</w:t>
            </w:r>
            <w:r>
              <w:rPr>
                <w:rFonts w:hint="eastAsia" w:ascii="仿宋_GB2312" w:hAnsi="仿宋_GB2312" w:eastAsia="仿宋_GB2312" w:cs="仿宋_GB2312"/>
                <w:b w:val="0"/>
                <w:bCs w:val="0"/>
                <w:color w:val="000000"/>
                <w:kern w:val="0"/>
                <w:sz w:val="24"/>
                <w:szCs w:val="24"/>
                <w:highlight w:val="none"/>
                <w:lang w:bidi="ar"/>
              </w:rPr>
              <w:t>诊疗</w:t>
            </w:r>
            <w:r>
              <w:rPr>
                <w:rFonts w:hint="eastAsia" w:ascii="仿宋_GB2312" w:hAnsi="仿宋_GB2312" w:eastAsia="仿宋_GB2312" w:cs="仿宋_GB2312"/>
                <w:b w:val="0"/>
                <w:bCs w:val="0"/>
                <w:color w:val="000000"/>
                <w:kern w:val="0"/>
                <w:sz w:val="24"/>
                <w:szCs w:val="24"/>
                <w:highlight w:val="none"/>
                <w:lang w:val="en-US" w:eastAsia="zh-CN" w:bidi="ar"/>
              </w:rPr>
              <w:t>医务人员</w:t>
            </w:r>
            <w:r>
              <w:rPr>
                <w:rFonts w:hint="eastAsia" w:ascii="仿宋_GB2312" w:hAnsi="仿宋_GB2312" w:eastAsia="仿宋_GB2312" w:cs="仿宋_GB2312"/>
                <w:b w:val="0"/>
                <w:bCs w:val="0"/>
                <w:color w:val="000000"/>
                <w:kern w:val="0"/>
                <w:sz w:val="24"/>
                <w:szCs w:val="24"/>
                <w:highlight w:val="none"/>
                <w:lang w:bidi="ar"/>
              </w:rPr>
              <w:t>资质应该按照有关规定</w:t>
            </w:r>
            <w:r>
              <w:rPr>
                <w:rFonts w:hint="eastAsia" w:ascii="仿宋_GB2312" w:hAnsi="仿宋_GB2312" w:eastAsia="仿宋_GB2312" w:cs="仿宋_GB2312"/>
                <w:b w:val="0"/>
                <w:bCs w:val="0"/>
                <w:color w:val="000000"/>
                <w:sz w:val="24"/>
                <w:szCs w:val="24"/>
                <w:highlight w:val="none"/>
              </w:rPr>
              <w:t>准入</w:t>
            </w:r>
            <w:r>
              <w:rPr>
                <w:rFonts w:hint="eastAsia" w:ascii="仿宋_GB2312" w:hAnsi="仿宋_GB2312" w:eastAsia="仿宋_GB2312" w:cs="仿宋_GB2312"/>
                <w:b w:val="0"/>
                <w:bCs w:val="0"/>
                <w:color w:val="000000"/>
                <w:sz w:val="24"/>
                <w:szCs w:val="24"/>
                <w:highlight w:val="none"/>
                <w:lang w:eastAsia="zh-CN"/>
              </w:rPr>
              <w:t>、</w:t>
            </w:r>
            <w:r>
              <w:rPr>
                <w:rFonts w:hint="eastAsia" w:ascii="仿宋_GB2312" w:hAnsi="仿宋_GB2312" w:eastAsia="仿宋_GB2312" w:cs="仿宋_GB2312"/>
                <w:b w:val="0"/>
                <w:bCs w:val="0"/>
                <w:color w:val="000000"/>
                <w:kern w:val="0"/>
                <w:sz w:val="24"/>
                <w:szCs w:val="24"/>
                <w:highlight w:val="none"/>
                <w:lang w:bidi="ar"/>
              </w:rPr>
              <w:t>取得相应专业技术职务</w:t>
            </w:r>
            <w:r>
              <w:rPr>
                <w:rFonts w:hint="eastAsia" w:ascii="仿宋_GB2312" w:hAnsi="仿宋_GB2312" w:eastAsia="仿宋_GB2312" w:cs="仿宋_GB2312"/>
                <w:b w:val="0"/>
                <w:bCs w:val="0"/>
                <w:color w:val="000000"/>
                <w:kern w:val="0"/>
                <w:sz w:val="24"/>
                <w:szCs w:val="24"/>
                <w:highlight w:val="none"/>
                <w:lang w:eastAsia="zh-CN" w:bidi="ar"/>
              </w:rPr>
              <w:t>及执业</w:t>
            </w:r>
            <w:r>
              <w:rPr>
                <w:rFonts w:hint="eastAsia" w:ascii="仿宋_GB2312" w:hAnsi="仿宋_GB2312" w:eastAsia="仿宋_GB2312" w:cs="仿宋_GB2312"/>
                <w:b w:val="0"/>
                <w:bCs w:val="0"/>
                <w:color w:val="000000"/>
                <w:kern w:val="0"/>
                <w:sz w:val="24"/>
                <w:szCs w:val="24"/>
                <w:highlight w:val="none"/>
                <w:lang w:bidi="ar"/>
              </w:rPr>
              <w:t>资格</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定期开展业务学习培训，提高科室医务人员专业知识和理论水平，保障医疗安全和医疗美容服务质量</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4.5分</w:t>
            </w:r>
            <w:r>
              <w:rPr>
                <w:rFonts w:hint="eastAsia" w:ascii="仿宋_GB2312" w:hAnsi="仿宋_GB2312" w:eastAsia="仿宋_GB2312" w:cs="仿宋_GB2312"/>
                <w:b w:val="0"/>
                <w:bCs w:val="0"/>
                <w:color w:val="000000"/>
                <w:kern w:val="0"/>
                <w:sz w:val="24"/>
                <w:szCs w:val="24"/>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424"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2.8.101.1</w:t>
            </w:r>
          </w:p>
        </w:tc>
        <w:tc>
          <w:tcPr>
            <w:tcW w:w="4815"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bidi="ar"/>
              </w:rPr>
              <w:t>从事</w:t>
            </w:r>
            <w:r>
              <w:rPr>
                <w:rFonts w:hint="eastAsia" w:ascii="仿宋_GB2312" w:hAnsi="仿宋_GB2312" w:eastAsia="仿宋_GB2312" w:cs="仿宋_GB2312"/>
                <w:b w:val="0"/>
                <w:bCs w:val="0"/>
                <w:color w:val="000000"/>
                <w:kern w:val="0"/>
                <w:sz w:val="24"/>
                <w:szCs w:val="24"/>
                <w:highlight w:val="none"/>
                <w:lang w:val="en-US" w:eastAsia="zh-CN" w:bidi="ar"/>
              </w:rPr>
              <w:t>医疗</w:t>
            </w:r>
            <w:r>
              <w:rPr>
                <w:rFonts w:hint="eastAsia" w:ascii="仿宋_GB2312" w:hAnsi="仿宋_GB2312" w:eastAsia="仿宋_GB2312" w:cs="仿宋_GB2312"/>
                <w:b w:val="0"/>
                <w:bCs w:val="0"/>
                <w:color w:val="000000"/>
                <w:kern w:val="0"/>
                <w:sz w:val="24"/>
                <w:szCs w:val="24"/>
                <w:highlight w:val="none"/>
                <w:lang w:eastAsia="zh-CN" w:bidi="ar"/>
              </w:rPr>
              <w:t>美容</w:t>
            </w:r>
            <w:r>
              <w:rPr>
                <w:rFonts w:hint="eastAsia" w:ascii="仿宋_GB2312" w:hAnsi="仿宋_GB2312" w:eastAsia="仿宋_GB2312" w:cs="仿宋_GB2312"/>
                <w:b w:val="0"/>
                <w:bCs w:val="0"/>
                <w:color w:val="000000"/>
                <w:kern w:val="0"/>
                <w:sz w:val="24"/>
                <w:szCs w:val="24"/>
                <w:highlight w:val="none"/>
                <w:lang w:bidi="ar"/>
              </w:rPr>
              <w:t>诊疗</w:t>
            </w:r>
            <w:r>
              <w:rPr>
                <w:rFonts w:hint="eastAsia" w:ascii="仿宋_GB2312" w:hAnsi="仿宋_GB2312" w:eastAsia="仿宋_GB2312" w:cs="仿宋_GB2312"/>
                <w:b w:val="0"/>
                <w:bCs w:val="0"/>
                <w:color w:val="000000"/>
                <w:kern w:val="0"/>
                <w:sz w:val="24"/>
                <w:szCs w:val="24"/>
                <w:highlight w:val="none"/>
                <w:lang w:eastAsia="zh-CN" w:bidi="ar"/>
              </w:rPr>
              <w:t>临床</w:t>
            </w:r>
            <w:r>
              <w:rPr>
                <w:rFonts w:hint="eastAsia" w:ascii="仿宋_GB2312" w:hAnsi="仿宋_GB2312" w:eastAsia="仿宋_GB2312" w:cs="仿宋_GB2312"/>
                <w:b w:val="0"/>
                <w:bCs w:val="0"/>
                <w:color w:val="000000"/>
                <w:kern w:val="0"/>
                <w:sz w:val="24"/>
                <w:szCs w:val="24"/>
                <w:highlight w:val="none"/>
                <w:lang w:bidi="ar"/>
              </w:rPr>
              <w:t>工作的</w:t>
            </w:r>
            <w:r>
              <w:rPr>
                <w:rFonts w:hint="eastAsia" w:ascii="仿宋_GB2312" w:hAnsi="仿宋_GB2312" w:eastAsia="仿宋_GB2312" w:cs="仿宋_GB2312"/>
                <w:b w:val="0"/>
                <w:bCs w:val="0"/>
                <w:color w:val="000000"/>
                <w:kern w:val="0"/>
                <w:sz w:val="24"/>
                <w:szCs w:val="24"/>
                <w:highlight w:val="none"/>
                <w:lang w:val="en-US" w:eastAsia="zh-CN" w:bidi="ar"/>
              </w:rPr>
              <w:t>医师应获得美容主诊医师资格，科室负责人和护士长应具备</w:t>
            </w:r>
            <w:r>
              <w:rPr>
                <w:rFonts w:hint="eastAsia" w:ascii="仿宋_GB2312" w:hAnsi="仿宋_GB2312" w:eastAsia="仿宋_GB2312" w:cs="仿宋_GB2312"/>
                <w:b w:val="0"/>
                <w:bCs w:val="0"/>
                <w:color w:val="000000"/>
                <w:kern w:val="0"/>
                <w:sz w:val="24"/>
                <w:szCs w:val="24"/>
                <w:highlight w:val="none"/>
                <w:lang w:bidi="ar"/>
              </w:rPr>
              <w:t>相应专业技术任职资格。</w:t>
            </w:r>
            <w:r>
              <w:rPr>
                <w:rFonts w:hint="eastAsia" w:ascii="仿宋_GB2312" w:hAnsi="仿宋_GB2312" w:eastAsia="仿宋_GB2312" w:cs="仿宋_GB2312"/>
                <w:b w:val="0"/>
                <w:bCs w:val="0"/>
                <w:color w:val="000000"/>
                <w:kern w:val="0"/>
                <w:sz w:val="24"/>
                <w:szCs w:val="24"/>
                <w:highlight w:val="none"/>
                <w:lang w:val="en-US" w:eastAsia="zh-CN" w:bidi="ar"/>
              </w:rPr>
              <w:t>从事美容护理人员应</w:t>
            </w:r>
            <w:r>
              <w:rPr>
                <w:rFonts w:hint="eastAsia" w:ascii="仿宋_GB2312" w:hAnsi="仿宋_GB2312" w:eastAsia="仿宋_GB2312" w:cs="仿宋_GB2312"/>
                <w:b w:val="0"/>
                <w:bCs w:val="0"/>
                <w:color w:val="000000"/>
                <w:kern w:val="0"/>
                <w:sz w:val="24"/>
                <w:szCs w:val="24"/>
                <w:highlight w:val="none"/>
                <w:lang w:bidi="ar"/>
              </w:rPr>
              <w:t>取得相应</w:t>
            </w:r>
            <w:r>
              <w:rPr>
                <w:rFonts w:hint="eastAsia" w:ascii="仿宋_GB2312" w:hAnsi="仿宋_GB2312" w:eastAsia="仿宋_GB2312" w:cs="仿宋_GB2312"/>
                <w:b w:val="0"/>
                <w:bCs w:val="0"/>
                <w:color w:val="000000"/>
                <w:kern w:val="0"/>
                <w:sz w:val="24"/>
                <w:szCs w:val="24"/>
                <w:highlight w:val="none"/>
                <w:lang w:val="en-US" w:eastAsia="zh-CN" w:bidi="ar"/>
              </w:rPr>
              <w:t>资质</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保证医疗美容服务质量。</w:t>
            </w:r>
          </w:p>
        </w:tc>
        <w:tc>
          <w:tcPr>
            <w:tcW w:w="1646" w:type="dxa"/>
            <w:vMerge w:val="restart"/>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记录查看</w:t>
            </w:r>
          </w:p>
          <w:p>
            <w:pPr>
              <w:widowControl/>
              <w:spacing w:line="320" w:lineRule="exact"/>
              <w:jc w:val="center"/>
              <w:textAlignment w:val="center"/>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kern w:val="0"/>
                <w:sz w:val="24"/>
                <w:szCs w:val="24"/>
                <w:highlight w:val="none"/>
                <w:lang w:bidi="ar"/>
              </w:rPr>
              <w:t>现场检查</w:t>
            </w: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pacing w:val="-4"/>
                <w:kern w:val="2"/>
                <w:sz w:val="24"/>
                <w:szCs w:val="24"/>
                <w:highlight w:val="none"/>
                <w:lang w:val="en-US" w:eastAsia="zh-CN" w:bidi="ar-SA"/>
              </w:rPr>
            </w:pPr>
            <w:r>
              <w:rPr>
                <w:rFonts w:hint="eastAsia" w:ascii="仿宋_GB2312" w:hAnsi="仿宋_GB2312" w:eastAsia="仿宋_GB2312" w:cs="仿宋_GB2312"/>
                <w:b w:val="0"/>
                <w:bCs w:val="0"/>
                <w:color w:val="000000"/>
                <w:spacing w:val="-4"/>
                <w:kern w:val="2"/>
                <w:sz w:val="24"/>
                <w:szCs w:val="24"/>
                <w:highlight w:val="none"/>
                <w:lang w:val="en-US" w:eastAsia="zh-CN"/>
              </w:rPr>
              <w:t>1.至少配备有3名美容主诊医师</w:t>
            </w:r>
            <w:r>
              <w:rPr>
                <w:rFonts w:hint="eastAsia" w:ascii="仿宋_GB2312" w:hAnsi="仿宋_GB2312" w:eastAsia="仿宋_GB2312" w:cs="仿宋_GB2312"/>
                <w:b w:val="0"/>
                <w:bCs w:val="0"/>
                <w:color w:val="000000"/>
                <w:sz w:val="24"/>
                <w:szCs w:val="24"/>
                <w:highlight w:val="none"/>
                <w:lang w:val="en-US" w:eastAsia="zh-CN"/>
              </w:rPr>
              <w:t>（0.5分）；</w:t>
            </w:r>
          </w:p>
        </w:tc>
        <w:tc>
          <w:tcPr>
            <w:tcW w:w="791" w:type="dxa"/>
            <w:vMerge w:val="restart"/>
            <w:tcBorders>
              <w:tl2br w:val="nil"/>
              <w:tr2bl w:val="nil"/>
            </w:tcBorders>
            <w:shd w:val="clear" w:color="auto" w:fill="FFFFFF"/>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spacing w:val="-4"/>
                <w:kern w:val="2"/>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
              </w:rPr>
              <w:t>2.科室</w:t>
            </w:r>
            <w:r>
              <w:rPr>
                <w:rFonts w:hint="eastAsia" w:ascii="仿宋_GB2312" w:hAnsi="仿宋_GB2312" w:eastAsia="仿宋_GB2312" w:cs="仿宋_GB2312"/>
                <w:b w:val="0"/>
                <w:bCs w:val="0"/>
                <w:color w:val="000000"/>
                <w:kern w:val="0"/>
                <w:sz w:val="24"/>
                <w:szCs w:val="24"/>
                <w:highlight w:val="none"/>
                <w:lang w:bidi="ar"/>
              </w:rPr>
              <w:t>负责人具备</w:t>
            </w:r>
            <w:r>
              <w:rPr>
                <w:rFonts w:hint="eastAsia" w:ascii="仿宋_GB2312" w:hAnsi="仿宋_GB2312" w:eastAsia="仿宋_GB2312" w:cs="仿宋_GB2312"/>
                <w:b w:val="0"/>
                <w:bCs w:val="0"/>
                <w:color w:val="000000"/>
                <w:kern w:val="0"/>
                <w:sz w:val="24"/>
                <w:szCs w:val="24"/>
                <w:highlight w:val="none"/>
                <w:lang w:val="en-US" w:eastAsia="zh-CN" w:bidi="ar"/>
              </w:rPr>
              <w:t>高级技术</w:t>
            </w:r>
            <w:r>
              <w:rPr>
                <w:rFonts w:hint="eastAsia" w:ascii="仿宋_GB2312" w:hAnsi="仿宋_GB2312" w:eastAsia="仿宋_GB2312" w:cs="仿宋_GB2312"/>
                <w:b w:val="0"/>
                <w:bCs w:val="0"/>
                <w:color w:val="000000"/>
                <w:kern w:val="0"/>
                <w:sz w:val="24"/>
                <w:szCs w:val="24"/>
                <w:highlight w:val="none"/>
                <w:lang w:bidi="ar"/>
              </w:rPr>
              <w:t>职称，并</w:t>
            </w:r>
            <w:r>
              <w:rPr>
                <w:rFonts w:hint="eastAsia" w:ascii="仿宋_GB2312" w:hAnsi="仿宋_GB2312" w:eastAsia="仿宋_GB2312" w:cs="仿宋_GB2312"/>
                <w:b w:val="0"/>
                <w:bCs w:val="0"/>
                <w:color w:val="000000"/>
                <w:kern w:val="0"/>
                <w:sz w:val="24"/>
                <w:szCs w:val="24"/>
                <w:highlight w:val="none"/>
                <w:lang w:val="en-US" w:eastAsia="zh-CN" w:bidi="ar"/>
              </w:rPr>
              <w:t>且从事医疗美容专业10年以上，</w:t>
            </w:r>
            <w:r>
              <w:rPr>
                <w:rFonts w:hint="eastAsia" w:ascii="仿宋_GB2312" w:hAnsi="仿宋_GB2312" w:eastAsia="仿宋_GB2312" w:cs="仿宋_GB2312"/>
                <w:b w:val="0"/>
                <w:bCs w:val="0"/>
                <w:color w:val="000000"/>
                <w:kern w:val="0"/>
                <w:sz w:val="24"/>
                <w:szCs w:val="24"/>
                <w:highlight w:val="none"/>
                <w:lang w:bidi="ar"/>
              </w:rPr>
              <w:t>具有</w:t>
            </w:r>
            <w:r>
              <w:rPr>
                <w:rFonts w:hint="eastAsia" w:ascii="仿宋_GB2312" w:hAnsi="仿宋_GB2312" w:eastAsia="仿宋_GB2312" w:cs="仿宋_GB2312"/>
                <w:b w:val="0"/>
                <w:bCs w:val="0"/>
                <w:color w:val="000000"/>
                <w:kern w:val="0"/>
                <w:sz w:val="24"/>
                <w:szCs w:val="24"/>
                <w:highlight w:val="none"/>
                <w:lang w:val="en-US" w:eastAsia="zh-CN" w:bidi="ar"/>
              </w:rPr>
              <w:t>美容主诊医师资格</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0.5分</w:t>
            </w:r>
            <w:r>
              <w:rPr>
                <w:rFonts w:hint="eastAsia" w:ascii="仿宋_GB2312" w:hAnsi="仿宋_GB2312" w:eastAsia="仿宋_GB2312" w:cs="仿宋_GB2312"/>
                <w:b w:val="0"/>
                <w:bCs w:val="0"/>
                <w:color w:val="000000"/>
                <w:kern w:val="0"/>
                <w:sz w:val="24"/>
                <w:szCs w:val="24"/>
                <w:highlight w:val="none"/>
                <w:lang w:eastAsia="zh-CN" w:bidi="ar"/>
              </w:rPr>
              <w:t>）；</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pacing w:val="-4"/>
                <w:kern w:val="2"/>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
              </w:rPr>
              <w:t>3.护士长具备中级技术职称，并且从事医疗美容专业5年以上（0.5分）；</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pacing w:val="-4"/>
                <w:kern w:val="2"/>
                <w:sz w:val="24"/>
                <w:szCs w:val="24"/>
                <w:highlight w:val="none"/>
                <w:lang w:val="en-US" w:eastAsia="zh-CN" w:bidi="ar-SA"/>
              </w:rPr>
            </w:pPr>
            <w:r>
              <w:rPr>
                <w:rFonts w:hint="eastAsia" w:ascii="仿宋_GB2312" w:hAnsi="仿宋_GB2312" w:eastAsia="仿宋_GB2312" w:cs="仿宋_GB2312"/>
                <w:b w:val="0"/>
                <w:bCs w:val="0"/>
                <w:color w:val="000000"/>
                <w:spacing w:val="-4"/>
                <w:kern w:val="2"/>
                <w:sz w:val="24"/>
                <w:szCs w:val="24"/>
                <w:highlight w:val="none"/>
                <w:lang w:val="en-US" w:eastAsia="zh-CN"/>
              </w:rPr>
              <w:t>4.从事医疗美容护理工作的人员经过医疗美容皮肤科护理专业培训或从事医疗美容皮肤科临床护理工作6个月以上</w:t>
            </w:r>
            <w:r>
              <w:rPr>
                <w:rFonts w:hint="eastAsia" w:ascii="仿宋_GB2312" w:hAnsi="仿宋_GB2312" w:eastAsia="仿宋_GB2312" w:cs="仿宋_GB2312"/>
                <w:b w:val="0"/>
                <w:bCs w:val="0"/>
                <w:color w:val="000000"/>
                <w:kern w:val="0"/>
                <w:sz w:val="24"/>
                <w:szCs w:val="24"/>
                <w:highlight w:val="none"/>
                <w:lang w:val="en-US" w:eastAsia="zh-CN" w:bidi="ar"/>
              </w:rPr>
              <w:t>（0.5分）；</w:t>
            </w:r>
          </w:p>
        </w:tc>
        <w:tc>
          <w:tcPr>
            <w:tcW w:w="791"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spacing w:val="-4"/>
                <w:kern w:val="2"/>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bidi="ar"/>
              </w:rPr>
              <w:t>5.医疗美容服务实行主诊医师负责制。医疗美容项目必须由主诊医师负责或在其指导下实施（0.5分）。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80" w:hRule="atLeast"/>
        </w:trPr>
        <w:tc>
          <w:tcPr>
            <w:tcW w:w="1424"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sz w:val="24"/>
                <w:szCs w:val="24"/>
                <w:highlight w:val="none"/>
                <w:lang w:val="en-US" w:eastAsia="zh-CN"/>
              </w:rPr>
              <w:t>2.8.101.2</w:t>
            </w:r>
          </w:p>
        </w:tc>
        <w:tc>
          <w:tcPr>
            <w:tcW w:w="4815"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定期开展业务学习培训，提高科室医务人员专业知识和理论水平，保障医疗安全。</w:t>
            </w:r>
          </w:p>
        </w:tc>
        <w:tc>
          <w:tcPr>
            <w:tcW w:w="1646" w:type="dxa"/>
            <w:vMerge w:val="restart"/>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查看记录</w:t>
            </w: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1.有科室业务学习培训制度和年度学习计划（0.5分）；</w:t>
            </w:r>
          </w:p>
        </w:tc>
        <w:tc>
          <w:tcPr>
            <w:tcW w:w="791" w:type="dxa"/>
            <w:vMerge w:val="restart"/>
            <w:tcBorders>
              <w:tl2br w:val="nil"/>
              <w:tr2bl w:val="nil"/>
            </w:tcBorders>
            <w:shd w:val="clear" w:color="auto" w:fill="FFFFFF"/>
            <w:noWrap w:val="0"/>
            <w:vAlign w:val="center"/>
          </w:tcPr>
          <w:p>
            <w:pPr>
              <w:jc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2.科室定期开展相关业务知识和依法执业相关法律法规学习和考核（0.5分）；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10"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3.科室每年派员参加上级业务知识技能学习（0.5分）；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4.每年对培训、学习效果进行总结分析，有持续改进措施（0.5分）。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80" w:hRule="atLeast"/>
        </w:trPr>
        <w:tc>
          <w:tcPr>
            <w:tcW w:w="14788" w:type="dxa"/>
            <w:gridSpan w:val="5"/>
            <w:tcBorders>
              <w:tl2br w:val="nil"/>
              <w:tr2bl w:val="nil"/>
            </w:tcBorders>
            <w:shd w:val="clear" w:color="auto" w:fill="FFFFFF"/>
            <w:noWrap w:val="0"/>
            <w:vAlign w:val="center"/>
          </w:tcPr>
          <w:p>
            <w:pPr>
              <w:widowControl/>
              <w:spacing w:line="320" w:lineRule="exact"/>
              <w:jc w:val="left"/>
              <w:textAlignment w:val="center"/>
              <w:rPr>
                <w:rFonts w:hint="eastAsia"/>
                <w:color w:val="000000"/>
                <w:sz w:val="24"/>
                <w:szCs w:val="24"/>
                <w:lang w:val="en-US" w:eastAsia="zh-CN"/>
              </w:rPr>
            </w:pPr>
            <w:r>
              <w:rPr>
                <w:rFonts w:hint="eastAsia" w:ascii="仿宋_GB2312" w:hAnsi="仿宋_GB2312" w:eastAsia="仿宋_GB2312" w:cs="仿宋_GB2312"/>
                <w:b w:val="0"/>
                <w:bCs w:val="0"/>
                <w:color w:val="000000"/>
                <w:kern w:val="0"/>
                <w:sz w:val="24"/>
                <w:szCs w:val="24"/>
                <w:highlight w:val="none"/>
                <w:lang w:val="en-US" w:eastAsia="zh-CN" w:bidi="ar"/>
              </w:rPr>
              <w:t>（一百零二）制定美容诊疗技术操作规范和处置流程，严格掌握美容诊疗技术适应症和禁忌证，保障就医者安全（4分）。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24"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2.8.102.1</w:t>
            </w:r>
          </w:p>
        </w:tc>
        <w:tc>
          <w:tcPr>
            <w:tcW w:w="4815"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bidi="ar"/>
              </w:rPr>
              <w:t>建立</w:t>
            </w:r>
            <w:r>
              <w:rPr>
                <w:rFonts w:hint="eastAsia" w:ascii="仿宋_GB2312" w:hAnsi="仿宋_GB2312" w:eastAsia="仿宋_GB2312" w:cs="仿宋_GB2312"/>
                <w:b w:val="0"/>
                <w:bCs w:val="0"/>
                <w:color w:val="000000"/>
                <w:kern w:val="0"/>
                <w:sz w:val="24"/>
                <w:szCs w:val="24"/>
                <w:highlight w:val="none"/>
                <w:lang w:eastAsia="zh-CN" w:bidi="ar"/>
              </w:rPr>
              <w:t>各种激光</w:t>
            </w:r>
            <w:r>
              <w:rPr>
                <w:rFonts w:hint="eastAsia" w:ascii="仿宋_GB2312" w:hAnsi="仿宋_GB2312" w:eastAsia="仿宋_GB2312" w:cs="仿宋_GB2312"/>
                <w:b w:val="0"/>
                <w:bCs w:val="0"/>
                <w:color w:val="000000"/>
                <w:kern w:val="0"/>
                <w:sz w:val="24"/>
                <w:szCs w:val="24"/>
                <w:highlight w:val="none"/>
                <w:lang w:bidi="ar"/>
              </w:rPr>
              <w:t>技术操作规范</w:t>
            </w:r>
            <w:r>
              <w:rPr>
                <w:rFonts w:hint="eastAsia" w:ascii="仿宋_GB2312" w:hAnsi="仿宋_GB2312" w:eastAsia="仿宋_GB2312" w:cs="仿宋_GB2312"/>
                <w:b w:val="0"/>
                <w:bCs w:val="0"/>
                <w:strike w:val="0"/>
                <w:dstrike w:val="0"/>
                <w:color w:val="000000"/>
                <w:kern w:val="0"/>
                <w:sz w:val="24"/>
                <w:szCs w:val="24"/>
                <w:highlight w:val="none"/>
                <w:lang w:val="en-US" w:eastAsia="zh-CN" w:bidi="ar"/>
              </w:rPr>
              <w:t>并</w:t>
            </w:r>
            <w:r>
              <w:rPr>
                <w:rFonts w:hint="eastAsia" w:ascii="仿宋_GB2312" w:hAnsi="仿宋_GB2312" w:eastAsia="仿宋_GB2312" w:cs="仿宋_GB2312"/>
                <w:b w:val="0"/>
                <w:bCs w:val="0"/>
                <w:color w:val="000000"/>
                <w:kern w:val="0"/>
                <w:sz w:val="24"/>
                <w:szCs w:val="24"/>
                <w:highlight w:val="none"/>
                <w:lang w:bidi="ar"/>
              </w:rPr>
              <w:t>规范开展</w:t>
            </w:r>
            <w:r>
              <w:rPr>
                <w:rFonts w:hint="eastAsia" w:ascii="仿宋_GB2312" w:hAnsi="仿宋_GB2312" w:eastAsia="仿宋_GB2312" w:cs="仿宋_GB2312"/>
                <w:b w:val="0"/>
                <w:bCs w:val="0"/>
                <w:color w:val="000000"/>
                <w:kern w:val="0"/>
                <w:sz w:val="24"/>
                <w:szCs w:val="24"/>
                <w:highlight w:val="none"/>
                <w:lang w:val="en-US" w:eastAsia="zh-CN" w:bidi="ar"/>
              </w:rPr>
              <w:t>各项治疗</w:t>
            </w:r>
            <w:r>
              <w:rPr>
                <w:rFonts w:hint="eastAsia" w:ascii="仿宋_GB2312" w:hAnsi="仿宋_GB2312" w:eastAsia="仿宋_GB2312" w:cs="仿宋_GB2312"/>
                <w:b w:val="0"/>
                <w:bCs w:val="0"/>
                <w:color w:val="000000"/>
                <w:kern w:val="0"/>
                <w:sz w:val="24"/>
                <w:szCs w:val="24"/>
                <w:highlight w:val="none"/>
                <w:lang w:bidi="ar"/>
              </w:rPr>
              <w:t>工作</w:t>
            </w:r>
            <w:r>
              <w:rPr>
                <w:rFonts w:hint="eastAsia" w:ascii="仿宋_GB2312" w:hAnsi="仿宋_GB2312" w:eastAsia="仿宋_GB2312" w:cs="仿宋_GB2312"/>
                <w:b w:val="0"/>
                <w:bCs w:val="0"/>
                <w:color w:val="000000"/>
                <w:kern w:val="0"/>
                <w:sz w:val="24"/>
                <w:szCs w:val="24"/>
                <w:highlight w:val="none"/>
                <w:lang w:eastAsia="zh-CN" w:bidi="ar"/>
              </w:rPr>
              <w:t>。</w:t>
            </w:r>
          </w:p>
        </w:tc>
        <w:tc>
          <w:tcPr>
            <w:tcW w:w="1646" w:type="dxa"/>
            <w:vMerge w:val="restart"/>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记录查看</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员工访谈</w:t>
            </w:r>
          </w:p>
          <w:p>
            <w:pPr>
              <w:widowControl/>
              <w:spacing w:line="320" w:lineRule="exact"/>
              <w:ind w:firstLine="240" w:firstLineChars="100"/>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
              </w:rPr>
              <w:t>1</w:t>
            </w:r>
            <w:r>
              <w:rPr>
                <w:rFonts w:hint="eastAsia" w:ascii="仿宋_GB2312" w:hAnsi="仿宋_GB2312" w:eastAsia="仿宋_GB2312" w:cs="仿宋_GB2312"/>
                <w:b w:val="0"/>
                <w:bCs w:val="0"/>
                <w:color w:val="000000"/>
                <w:kern w:val="0"/>
                <w:sz w:val="24"/>
                <w:szCs w:val="24"/>
                <w:highlight w:val="none"/>
                <w:lang w:bidi="ar"/>
              </w:rPr>
              <w:t>.建立</w:t>
            </w:r>
            <w:r>
              <w:rPr>
                <w:rFonts w:hint="eastAsia" w:ascii="仿宋_GB2312" w:hAnsi="仿宋_GB2312" w:eastAsia="仿宋_GB2312" w:cs="仿宋_GB2312"/>
                <w:b w:val="0"/>
                <w:bCs w:val="0"/>
                <w:color w:val="000000"/>
                <w:kern w:val="0"/>
                <w:sz w:val="24"/>
                <w:szCs w:val="24"/>
                <w:highlight w:val="none"/>
                <w:lang w:eastAsia="zh-CN" w:bidi="ar"/>
              </w:rPr>
              <w:t>各种激光</w:t>
            </w:r>
            <w:r>
              <w:rPr>
                <w:rFonts w:hint="eastAsia" w:ascii="仿宋_GB2312" w:hAnsi="仿宋_GB2312" w:eastAsia="仿宋_GB2312" w:cs="仿宋_GB2312"/>
                <w:b w:val="0"/>
                <w:bCs w:val="0"/>
                <w:color w:val="000000"/>
                <w:kern w:val="0"/>
                <w:sz w:val="24"/>
                <w:szCs w:val="24"/>
                <w:highlight w:val="none"/>
                <w:lang w:bidi="ar"/>
              </w:rPr>
              <w:t>技术操作规范</w:t>
            </w:r>
            <w:r>
              <w:rPr>
                <w:rFonts w:hint="eastAsia" w:ascii="仿宋_GB2312" w:hAnsi="仿宋_GB2312" w:eastAsia="仿宋_GB2312" w:cs="仿宋_GB2312"/>
                <w:b w:val="0"/>
                <w:bCs w:val="0"/>
                <w:color w:val="000000"/>
                <w:kern w:val="0"/>
                <w:sz w:val="24"/>
                <w:szCs w:val="24"/>
                <w:highlight w:val="none"/>
                <w:lang w:eastAsia="zh-CN" w:bidi="ar"/>
              </w:rPr>
              <w:t>、操作</w:t>
            </w:r>
            <w:r>
              <w:rPr>
                <w:rFonts w:hint="eastAsia" w:ascii="仿宋_GB2312" w:hAnsi="仿宋_GB2312" w:eastAsia="仿宋_GB2312" w:cs="仿宋_GB2312"/>
                <w:b w:val="0"/>
                <w:bCs w:val="0"/>
                <w:color w:val="000000"/>
                <w:kern w:val="0"/>
                <w:sz w:val="24"/>
                <w:szCs w:val="24"/>
                <w:highlight w:val="none"/>
                <w:lang w:bidi="ar"/>
              </w:rPr>
              <w:t>流程（0.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p>
        </w:tc>
        <w:tc>
          <w:tcPr>
            <w:tcW w:w="791" w:type="dxa"/>
            <w:vMerge w:val="restart"/>
            <w:tcBorders>
              <w:tl2br w:val="nil"/>
              <w:tr2bl w:val="nil"/>
            </w:tcBorders>
            <w:shd w:val="clear" w:color="auto" w:fill="FFFFFF"/>
            <w:noWrap w:val="0"/>
            <w:vAlign w:val="center"/>
          </w:tcPr>
          <w:p>
            <w:pPr>
              <w:widowControl/>
              <w:spacing w:line="320" w:lineRule="exact"/>
              <w:jc w:val="center"/>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ind w:firstLine="240" w:firstLineChars="100"/>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both"/>
              <w:textAlignment w:val="center"/>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bidi="ar"/>
              </w:rPr>
              <w:t>2.</w:t>
            </w:r>
            <w:r>
              <w:rPr>
                <w:rFonts w:hint="eastAsia" w:ascii="仿宋_GB2312" w:hAnsi="仿宋_GB2312" w:eastAsia="仿宋_GB2312" w:cs="仿宋_GB2312"/>
                <w:b w:val="0"/>
                <w:bCs w:val="0"/>
                <w:color w:val="000000"/>
                <w:kern w:val="0"/>
                <w:sz w:val="24"/>
                <w:szCs w:val="24"/>
                <w:highlight w:val="none"/>
                <w:lang w:val="en-US" w:eastAsia="zh-CN" w:bidi="ar"/>
              </w:rPr>
              <w:t>定期</w:t>
            </w:r>
            <w:r>
              <w:rPr>
                <w:rFonts w:hint="eastAsia" w:ascii="仿宋_GB2312" w:hAnsi="仿宋_GB2312" w:eastAsia="仿宋_GB2312" w:cs="仿宋_GB2312"/>
                <w:b w:val="0"/>
                <w:bCs w:val="0"/>
                <w:color w:val="000000"/>
                <w:kern w:val="0"/>
                <w:sz w:val="24"/>
                <w:szCs w:val="24"/>
                <w:highlight w:val="none"/>
                <w:lang w:bidi="ar"/>
              </w:rPr>
              <w:t>进行相关</w:t>
            </w:r>
            <w:r>
              <w:rPr>
                <w:rFonts w:hint="eastAsia" w:ascii="仿宋_GB2312" w:hAnsi="仿宋_GB2312" w:eastAsia="仿宋_GB2312" w:cs="仿宋_GB2312"/>
                <w:b w:val="0"/>
                <w:bCs w:val="0"/>
                <w:color w:val="000000"/>
                <w:kern w:val="0"/>
                <w:sz w:val="24"/>
                <w:szCs w:val="24"/>
                <w:highlight w:val="none"/>
                <w:lang w:val="en-US" w:eastAsia="zh-CN" w:bidi="ar"/>
              </w:rPr>
              <w:t>操作</w:t>
            </w:r>
            <w:r>
              <w:rPr>
                <w:rFonts w:hint="eastAsia" w:ascii="仿宋_GB2312" w:hAnsi="仿宋_GB2312" w:eastAsia="仿宋_GB2312" w:cs="仿宋_GB2312"/>
                <w:b w:val="0"/>
                <w:bCs w:val="0"/>
                <w:color w:val="000000"/>
                <w:kern w:val="0"/>
                <w:sz w:val="24"/>
                <w:szCs w:val="24"/>
                <w:highlight w:val="none"/>
                <w:lang w:bidi="ar"/>
              </w:rPr>
              <w:t>技术培训及考核，并</w:t>
            </w:r>
            <w:r>
              <w:rPr>
                <w:rFonts w:hint="eastAsia" w:ascii="仿宋_GB2312" w:hAnsi="仿宋_GB2312" w:eastAsia="仿宋_GB2312" w:cs="仿宋_GB2312"/>
                <w:b w:val="0"/>
                <w:bCs w:val="0"/>
                <w:color w:val="000000"/>
                <w:kern w:val="0"/>
                <w:sz w:val="24"/>
                <w:szCs w:val="24"/>
                <w:highlight w:val="none"/>
                <w:lang w:eastAsia="zh-CN" w:bidi="ar"/>
              </w:rPr>
              <w:t>有</w:t>
            </w:r>
            <w:r>
              <w:rPr>
                <w:rFonts w:hint="eastAsia" w:ascii="仿宋_GB2312" w:hAnsi="仿宋_GB2312" w:eastAsia="仿宋_GB2312" w:cs="仿宋_GB2312"/>
                <w:b w:val="0"/>
                <w:bCs w:val="0"/>
                <w:color w:val="000000"/>
                <w:kern w:val="0"/>
                <w:sz w:val="24"/>
                <w:szCs w:val="24"/>
                <w:highlight w:val="none"/>
                <w:lang w:bidi="ar"/>
              </w:rPr>
              <w:t>记录（0.</w:t>
            </w:r>
            <w:r>
              <w:rPr>
                <w:rFonts w:hint="eastAsia" w:ascii="仿宋_GB2312" w:hAnsi="仿宋_GB2312" w:eastAsia="仿宋_GB2312" w:cs="仿宋_GB2312"/>
                <w:b w:val="0"/>
                <w:bCs w:val="0"/>
                <w:color w:val="000000"/>
                <w:kern w:val="0"/>
                <w:sz w:val="24"/>
                <w:szCs w:val="24"/>
                <w:highlight w:val="none"/>
                <w:lang w:val="en-US" w:eastAsia="zh-CN" w:bidi="ar"/>
              </w:rPr>
              <w:t>5分</w:t>
            </w:r>
            <w:r>
              <w:rPr>
                <w:rFonts w:hint="eastAsia" w:ascii="仿宋_GB2312" w:hAnsi="仿宋_GB2312" w:eastAsia="仿宋_GB2312" w:cs="仿宋_GB2312"/>
                <w:b w:val="0"/>
                <w:bCs w:val="0"/>
                <w:color w:val="000000"/>
                <w:kern w:val="0"/>
                <w:sz w:val="24"/>
                <w:szCs w:val="24"/>
                <w:highlight w:val="none"/>
                <w:lang w:bidi="ar"/>
              </w:rPr>
              <w:t>）</w:t>
            </w:r>
            <w:r>
              <w:rPr>
                <w:rFonts w:hint="eastAsia" w:ascii="仿宋_GB2312" w:hAnsi="仿宋_GB2312" w:eastAsia="仿宋_GB2312" w:cs="仿宋_GB2312"/>
                <w:b w:val="0"/>
                <w:bCs w:val="0"/>
                <w:color w:val="000000"/>
                <w:kern w:val="0"/>
                <w:sz w:val="24"/>
                <w:szCs w:val="24"/>
                <w:highlight w:val="none"/>
                <w:lang w:eastAsia="zh-CN" w:bidi="ar"/>
              </w:rPr>
              <w:t>；</w:t>
            </w:r>
          </w:p>
        </w:tc>
        <w:tc>
          <w:tcPr>
            <w:tcW w:w="791" w:type="dxa"/>
            <w:vMerge w:val="continue"/>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ind w:firstLine="240" w:firstLineChars="100"/>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3.医师掌握各项操作技术的适应症与禁忌证，并严格执行</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p>
        </w:tc>
        <w:tc>
          <w:tcPr>
            <w:tcW w:w="791" w:type="dxa"/>
            <w:vMerge w:val="continue"/>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ind w:firstLine="240" w:firstLineChars="100"/>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4.访谈员工知晓相关知识，相关人员无违规操作事件发生</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r>
              <w:rPr>
                <w:rFonts w:hint="eastAsia" w:ascii="仿宋_GB2312" w:hAnsi="仿宋_GB2312" w:eastAsia="仿宋_GB2312" w:cs="仿宋_GB2312"/>
                <w:b w:val="0"/>
                <w:bCs w:val="0"/>
                <w:color w:val="000000"/>
                <w:kern w:val="0"/>
                <w:sz w:val="24"/>
                <w:szCs w:val="24"/>
                <w:highlight w:val="none"/>
                <w:lang w:eastAsia="zh-CN" w:bidi="ar"/>
              </w:rPr>
              <w:t>。</w:t>
            </w:r>
          </w:p>
        </w:tc>
        <w:tc>
          <w:tcPr>
            <w:tcW w:w="791" w:type="dxa"/>
            <w:vMerge w:val="continue"/>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restart"/>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2.8.102.2</w:t>
            </w:r>
          </w:p>
        </w:tc>
        <w:tc>
          <w:tcPr>
            <w:tcW w:w="4815" w:type="dxa"/>
            <w:vMerge w:val="restart"/>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规范管理激光治疗患者，并定期进行治疗后随访和评估。</w:t>
            </w:r>
          </w:p>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restart"/>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文件查阅</w:t>
            </w:r>
          </w:p>
          <w:p>
            <w:pPr>
              <w:widowControl/>
              <w:spacing w:line="320" w:lineRule="exact"/>
              <w:jc w:val="center"/>
              <w:textAlignment w:val="center"/>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kern w:val="0"/>
                <w:sz w:val="24"/>
                <w:szCs w:val="24"/>
                <w:highlight w:val="none"/>
                <w:lang w:bidi="ar"/>
              </w:rPr>
              <w:t>查看记录</w:t>
            </w: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1.做好激光手术治疗前的知情告知并取得患者或其监护人同意，签署知情同意书</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p>
        </w:tc>
        <w:tc>
          <w:tcPr>
            <w:tcW w:w="791" w:type="dxa"/>
            <w:vMerge w:val="restart"/>
            <w:tcBorders>
              <w:tl2br w:val="nil"/>
              <w:tr2bl w:val="nil"/>
            </w:tcBorders>
            <w:shd w:val="clear" w:color="auto" w:fill="FFFFFF"/>
            <w:noWrap w:val="0"/>
            <w:vAlign w:val="center"/>
          </w:tcPr>
          <w:p>
            <w:pPr>
              <w:widowControl/>
              <w:spacing w:line="320" w:lineRule="exact"/>
              <w:jc w:val="center"/>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ind w:firstLine="240" w:firstLineChars="100"/>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2、为患者建立激光治疗档案，有专人保管</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2</w:t>
            </w:r>
            <w:r>
              <w:rPr>
                <w:rFonts w:hint="eastAsia" w:ascii="仿宋_GB2312" w:hAnsi="仿宋_GB2312" w:eastAsia="仿宋_GB2312" w:cs="仿宋_GB2312"/>
                <w:b w:val="0"/>
                <w:bCs w:val="0"/>
                <w:color w:val="000000"/>
                <w:kern w:val="0"/>
                <w:sz w:val="24"/>
                <w:szCs w:val="24"/>
                <w:highlight w:val="none"/>
                <w:lang w:bidi="ar"/>
              </w:rPr>
              <w:t>分）；</w:t>
            </w:r>
            <w:r>
              <w:rPr>
                <w:rFonts w:hint="eastAsia" w:ascii="仿宋_GB2312" w:hAnsi="仿宋_GB2312" w:eastAsia="仿宋_GB2312" w:cs="仿宋_GB2312"/>
                <w:b w:val="0"/>
                <w:bCs w:val="0"/>
                <w:color w:val="000000"/>
                <w:kern w:val="0"/>
                <w:sz w:val="24"/>
                <w:szCs w:val="24"/>
                <w:highlight w:val="none"/>
                <w:lang w:val="en-US" w:eastAsia="zh-CN" w:bidi="ar"/>
              </w:rPr>
              <w:t>并进行治疗后回访，有记录</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3</w:t>
            </w:r>
            <w:r>
              <w:rPr>
                <w:rFonts w:hint="eastAsia" w:ascii="仿宋_GB2312" w:hAnsi="仿宋_GB2312" w:eastAsia="仿宋_GB2312" w:cs="仿宋_GB2312"/>
                <w:b w:val="0"/>
                <w:bCs w:val="0"/>
                <w:color w:val="000000"/>
                <w:kern w:val="0"/>
                <w:sz w:val="24"/>
                <w:szCs w:val="24"/>
                <w:highlight w:val="none"/>
                <w:lang w:bidi="ar"/>
              </w:rPr>
              <w:t>分）；</w:t>
            </w:r>
          </w:p>
        </w:tc>
        <w:tc>
          <w:tcPr>
            <w:tcW w:w="791" w:type="dxa"/>
            <w:vMerge w:val="continue"/>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ind w:firstLine="240" w:firstLineChars="100"/>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3、医务人员为激光治疗患者进行术后科学指导并告知术后注意事项</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p>
        </w:tc>
        <w:tc>
          <w:tcPr>
            <w:tcW w:w="791" w:type="dxa"/>
            <w:vMerge w:val="continue"/>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815" w:type="dxa"/>
            <w:vMerge w:val="continue"/>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sz w:val="24"/>
                <w:szCs w:val="24"/>
                <w:highlight w:val="none"/>
                <w:lang w:val="en-US" w:eastAsia="zh-CN"/>
              </w:rPr>
            </w:pPr>
          </w:p>
        </w:tc>
        <w:tc>
          <w:tcPr>
            <w:tcW w:w="1646" w:type="dxa"/>
            <w:vMerge w:val="continue"/>
            <w:tcBorders>
              <w:tl2br w:val="nil"/>
              <w:tr2bl w:val="nil"/>
            </w:tcBorders>
            <w:shd w:val="clear" w:color="auto" w:fill="FFFFFF"/>
            <w:noWrap w:val="0"/>
            <w:vAlign w:val="center"/>
          </w:tcPr>
          <w:p>
            <w:pPr>
              <w:widowControl/>
              <w:spacing w:line="320" w:lineRule="exact"/>
              <w:ind w:firstLine="240" w:firstLineChars="100"/>
              <w:jc w:val="left"/>
              <w:textAlignment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4.科室定期开展激光手术治疗评价活动，解读评价结果，有记录</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r>
              <w:rPr>
                <w:rFonts w:hint="eastAsia" w:ascii="仿宋_GB2312" w:hAnsi="仿宋_GB2312" w:eastAsia="仿宋_GB2312" w:cs="仿宋_GB2312"/>
                <w:b w:val="0"/>
                <w:bCs w:val="0"/>
                <w:color w:val="000000"/>
                <w:kern w:val="0"/>
                <w:sz w:val="24"/>
                <w:szCs w:val="24"/>
                <w:highlight w:val="none"/>
                <w:lang w:eastAsia="zh-CN" w:bidi="ar"/>
              </w:rPr>
              <w:t>。</w:t>
            </w:r>
          </w:p>
        </w:tc>
        <w:tc>
          <w:tcPr>
            <w:tcW w:w="791" w:type="dxa"/>
            <w:vMerge w:val="continue"/>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788" w:type="dxa"/>
            <w:gridSpan w:val="5"/>
            <w:tcBorders>
              <w:tl2br w:val="nil"/>
              <w:tr2bl w:val="nil"/>
            </w:tcBorders>
            <w:shd w:val="clear" w:color="auto" w:fill="FFFFFF"/>
            <w:noWrap w:val="0"/>
            <w:vAlign w:val="center"/>
          </w:tcPr>
          <w:p>
            <w:pPr>
              <w:jc w:val="left"/>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bidi="ar"/>
              </w:rPr>
              <w:t>（一百零三）完善相关管理制度与质量安全控制指标，开展质量持续改进活动，</w:t>
            </w:r>
            <w:r>
              <w:rPr>
                <w:rFonts w:hint="eastAsia" w:ascii="仿宋_GB2312" w:hAnsi="仿宋_GB2312" w:eastAsia="仿宋_GB2312" w:cs="仿宋_GB2312"/>
                <w:b w:val="0"/>
                <w:bCs w:val="0"/>
                <w:color w:val="000000"/>
                <w:sz w:val="24"/>
                <w:szCs w:val="24"/>
                <w:highlight w:val="none"/>
              </w:rPr>
              <w:t>相关职能部门开展监管，持续改进</w:t>
            </w:r>
            <w:r>
              <w:rPr>
                <w:rFonts w:hint="eastAsia" w:ascii="仿宋_GB2312" w:hAnsi="仿宋_GB2312" w:eastAsia="仿宋_GB2312" w:cs="仿宋_GB2312"/>
                <w:b w:val="0"/>
                <w:bCs w:val="0"/>
                <w:color w:val="000000"/>
                <w:kern w:val="0"/>
                <w:sz w:val="24"/>
                <w:szCs w:val="24"/>
                <w:highlight w:val="none"/>
                <w:lang w:val="en-US" w:eastAsia="zh-CN" w:bidi="ar"/>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37" w:hRule="atLeast"/>
        </w:trPr>
        <w:tc>
          <w:tcPr>
            <w:tcW w:w="1424" w:type="dxa"/>
            <w:vMerge w:val="restart"/>
            <w:tcBorders>
              <w:tl2br w:val="nil"/>
              <w:tr2bl w:val="nil"/>
            </w:tcBorders>
            <w:shd w:val="clear" w:color="auto" w:fill="FFFFFF"/>
            <w:noWrap w:val="0"/>
            <w:vAlign w:val="center"/>
          </w:tcPr>
          <w:p>
            <w:pPr>
              <w:widowControl/>
              <w:spacing w:line="320" w:lineRule="exact"/>
              <w:jc w:val="left"/>
              <w:rPr>
                <w:rFonts w:hint="default"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2.8.103.1</w:t>
            </w:r>
          </w:p>
        </w:tc>
        <w:tc>
          <w:tcPr>
            <w:tcW w:w="4815" w:type="dxa"/>
            <w:vMerge w:val="restart"/>
            <w:tcBorders>
              <w:tl2br w:val="nil"/>
              <w:tr2bl w:val="nil"/>
            </w:tcBorders>
            <w:shd w:val="clear" w:color="auto" w:fill="FFFFFF"/>
            <w:noWrap w:val="0"/>
            <w:vAlign w:val="center"/>
          </w:tcPr>
          <w:p>
            <w:pPr>
              <w:keepNext w:val="0"/>
              <w:keepLines w:val="0"/>
              <w:widowControl/>
              <w:suppressLineNumbers w:val="0"/>
              <w:jc w:val="left"/>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kern w:val="0"/>
                <w:sz w:val="24"/>
                <w:szCs w:val="24"/>
                <w:highlight w:val="none"/>
                <w:lang w:val="en-US" w:eastAsia="zh-CN" w:bidi="ar"/>
              </w:rPr>
              <w:t>制定相关制度和质量控制指标，定期质量评价，开展质量管理与持续改进活动。</w:t>
            </w:r>
          </w:p>
          <w:p>
            <w:pPr>
              <w:widowControl/>
              <w:spacing w:line="320" w:lineRule="exact"/>
              <w:rPr>
                <w:rFonts w:hint="eastAsia" w:ascii="仿宋_GB2312" w:hAnsi="仿宋_GB2312" w:eastAsia="仿宋_GB2312" w:cs="仿宋_GB2312"/>
                <w:b w:val="0"/>
                <w:bCs w:val="0"/>
                <w:color w:val="000000"/>
                <w:sz w:val="24"/>
                <w:szCs w:val="24"/>
                <w:highlight w:val="none"/>
              </w:rPr>
            </w:pPr>
          </w:p>
        </w:tc>
        <w:tc>
          <w:tcPr>
            <w:tcW w:w="1646" w:type="dxa"/>
            <w:vMerge w:val="restart"/>
            <w:tcBorders>
              <w:tl2br w:val="nil"/>
              <w:tr2bl w:val="nil"/>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仿宋_GB2312" w:eastAsia="仿宋_GB2312" w:cs="仿宋_GB2312"/>
                <w:b w:val="0"/>
                <w:bCs w:val="0"/>
                <w:color w:val="000000"/>
                <w:kern w:val="0"/>
                <w:sz w:val="24"/>
                <w:szCs w:val="24"/>
                <w:highlight w:val="none"/>
                <w:lang w:bidi="ar"/>
              </w:rPr>
              <w:t>查看记录</w:t>
            </w:r>
          </w:p>
          <w:p>
            <w:pPr>
              <w:widowControl/>
              <w:spacing w:line="320" w:lineRule="exact"/>
              <w:jc w:val="center"/>
              <w:textAlignment w:val="center"/>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kern w:val="0"/>
                <w:sz w:val="24"/>
                <w:szCs w:val="24"/>
                <w:highlight w:val="none"/>
                <w:lang w:bidi="ar"/>
              </w:rPr>
              <w:t>病案检查</w:t>
            </w: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1.制定有科室质量与安全管理制度、</w:t>
            </w:r>
            <w:r>
              <w:rPr>
                <w:rFonts w:hint="eastAsia" w:ascii="仿宋_GB2312" w:hAnsi="仿宋_GB2312" w:eastAsia="仿宋_GB2312" w:cs="仿宋_GB2312"/>
                <w:b w:val="0"/>
                <w:bCs w:val="0"/>
                <w:color w:val="000000"/>
                <w:kern w:val="0"/>
                <w:sz w:val="24"/>
                <w:szCs w:val="24"/>
                <w:highlight w:val="none"/>
                <w:lang w:bidi="ar"/>
              </w:rPr>
              <w:t>风险管理制度</w:t>
            </w:r>
            <w:r>
              <w:rPr>
                <w:rFonts w:hint="eastAsia" w:ascii="仿宋_GB2312" w:hAnsi="仿宋_GB2312" w:eastAsia="仿宋_GB2312" w:cs="仿宋_GB2312"/>
                <w:b w:val="0"/>
                <w:bCs w:val="0"/>
                <w:color w:val="000000"/>
                <w:kern w:val="0"/>
                <w:sz w:val="24"/>
                <w:szCs w:val="24"/>
                <w:highlight w:val="none"/>
                <w:lang w:val="en-US" w:eastAsia="zh-CN" w:bidi="ar"/>
              </w:rPr>
              <w:t>（0.2分）</w:t>
            </w:r>
            <w:r>
              <w:rPr>
                <w:rFonts w:hint="eastAsia" w:ascii="仿宋_GB2312" w:hAnsi="仿宋_GB2312" w:eastAsia="仿宋_GB2312" w:cs="仿宋_GB2312"/>
                <w:b w:val="0"/>
                <w:bCs w:val="0"/>
                <w:color w:val="000000"/>
                <w:kern w:val="0"/>
                <w:sz w:val="24"/>
                <w:szCs w:val="24"/>
                <w:highlight w:val="none"/>
                <w:lang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各岗位明确职责、分工（0.3分）；</w:t>
            </w:r>
          </w:p>
        </w:tc>
        <w:tc>
          <w:tcPr>
            <w:tcW w:w="791" w:type="dxa"/>
            <w:vMerge w:val="restart"/>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rPr>
            </w:pPr>
          </w:p>
        </w:tc>
        <w:tc>
          <w:tcPr>
            <w:tcW w:w="4815"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b w:val="0"/>
                <w:bCs w:val="0"/>
                <w:color w:val="000000"/>
                <w:sz w:val="24"/>
                <w:szCs w:val="24"/>
                <w:highlight w:val="none"/>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2.制定有各项技术操作管理制度及应急处置预案</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rPr>
            </w:pPr>
          </w:p>
        </w:tc>
        <w:tc>
          <w:tcPr>
            <w:tcW w:w="4815"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b w:val="0"/>
                <w:bCs w:val="0"/>
                <w:color w:val="000000"/>
                <w:sz w:val="24"/>
                <w:szCs w:val="24"/>
                <w:highlight w:val="none"/>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3.制定有激光手术操作质量控制指标</w:t>
            </w:r>
            <w:r>
              <w:rPr>
                <w:rFonts w:hint="eastAsia" w:ascii="仿宋_GB2312" w:hAnsi="仿宋_GB2312" w:eastAsia="仿宋_GB2312" w:cs="仿宋_GB2312"/>
                <w:b w:val="0"/>
                <w:bCs w:val="0"/>
                <w:color w:val="000000"/>
                <w:kern w:val="0"/>
                <w:sz w:val="24"/>
                <w:szCs w:val="24"/>
                <w:highlight w:val="none"/>
                <w:lang w:bidi="ar"/>
              </w:rPr>
              <w:t>（0.</w:t>
            </w:r>
            <w:r>
              <w:rPr>
                <w:rFonts w:hint="eastAsia" w:ascii="仿宋_GB2312" w:hAnsi="仿宋_GB2312" w:eastAsia="仿宋_GB2312" w:cs="仿宋_GB2312"/>
                <w:b w:val="0"/>
                <w:bCs w:val="0"/>
                <w:color w:val="000000"/>
                <w:kern w:val="0"/>
                <w:sz w:val="24"/>
                <w:szCs w:val="24"/>
                <w:highlight w:val="none"/>
                <w:lang w:val="en-US" w:eastAsia="zh-CN" w:bidi="ar"/>
              </w:rPr>
              <w:t>5</w:t>
            </w:r>
            <w:r>
              <w:rPr>
                <w:rFonts w:hint="eastAsia" w:ascii="仿宋_GB2312" w:hAnsi="仿宋_GB2312" w:eastAsia="仿宋_GB2312" w:cs="仿宋_GB2312"/>
                <w:b w:val="0"/>
                <w:bCs w:val="0"/>
                <w:color w:val="000000"/>
                <w:kern w:val="0"/>
                <w:sz w:val="24"/>
                <w:szCs w:val="24"/>
                <w:highlight w:val="none"/>
                <w:lang w:bidi="ar"/>
              </w:rPr>
              <w:t>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rPr>
            </w:pPr>
          </w:p>
        </w:tc>
        <w:tc>
          <w:tcPr>
            <w:tcW w:w="4815"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b w:val="0"/>
                <w:bCs w:val="0"/>
                <w:color w:val="000000"/>
                <w:sz w:val="24"/>
                <w:szCs w:val="24"/>
                <w:highlight w:val="none"/>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4.每季度对科室质量安全进行自查（0.1分），定期分析本科室质量与安全指标及激光手术操作质量控制指标的变化趋势（0.2分），有分析与整改（0.2分）；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rPr>
            </w:pPr>
          </w:p>
        </w:tc>
        <w:tc>
          <w:tcPr>
            <w:tcW w:w="4815"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b w:val="0"/>
                <w:bCs w:val="0"/>
                <w:color w:val="000000"/>
                <w:sz w:val="24"/>
                <w:szCs w:val="24"/>
                <w:highlight w:val="none"/>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5.有主管部门对科室医疗质量落实情况、改进效果监督检查，对存在问题有改进措施（0.5分）；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37" w:hRule="atLeast"/>
        </w:trPr>
        <w:tc>
          <w:tcPr>
            <w:tcW w:w="1424" w:type="dxa"/>
            <w:vMerge w:val="continue"/>
            <w:tcBorders>
              <w:tl2br w:val="nil"/>
              <w:tr2bl w:val="nil"/>
            </w:tcBorders>
            <w:shd w:val="clear" w:color="auto" w:fill="FFFFFF"/>
            <w:noWrap w:val="0"/>
            <w:vAlign w:val="center"/>
          </w:tcPr>
          <w:p>
            <w:pPr>
              <w:widowControl/>
              <w:spacing w:line="320" w:lineRule="exact"/>
              <w:jc w:val="left"/>
              <w:rPr>
                <w:rFonts w:hint="eastAsia" w:ascii="仿宋_GB2312" w:hAnsi="仿宋_GB2312" w:eastAsia="仿宋_GB2312" w:cs="仿宋_GB2312"/>
                <w:b w:val="0"/>
                <w:bCs w:val="0"/>
                <w:color w:val="000000"/>
                <w:sz w:val="24"/>
                <w:szCs w:val="24"/>
                <w:highlight w:val="none"/>
              </w:rPr>
            </w:pPr>
          </w:p>
        </w:tc>
        <w:tc>
          <w:tcPr>
            <w:tcW w:w="4815" w:type="dxa"/>
            <w:vMerge w:val="continue"/>
            <w:tcBorders>
              <w:tl2br w:val="nil"/>
              <w:tr2bl w:val="nil"/>
            </w:tcBorders>
            <w:shd w:val="clear" w:color="auto" w:fill="FFFFFF"/>
            <w:noWrap w:val="0"/>
            <w:vAlign w:val="center"/>
          </w:tcPr>
          <w:p>
            <w:pPr>
              <w:widowControl/>
              <w:spacing w:line="320" w:lineRule="exact"/>
              <w:rPr>
                <w:rFonts w:hint="eastAsia" w:ascii="仿宋_GB2312" w:hAnsi="仿宋_GB2312" w:eastAsia="仿宋_GB2312" w:cs="仿宋_GB2312"/>
                <w:b w:val="0"/>
                <w:bCs w:val="0"/>
                <w:color w:val="000000"/>
                <w:sz w:val="24"/>
                <w:szCs w:val="24"/>
                <w:highlight w:val="none"/>
              </w:rPr>
            </w:pPr>
          </w:p>
        </w:tc>
        <w:tc>
          <w:tcPr>
            <w:tcW w:w="1646" w:type="dxa"/>
            <w:vMerge w:val="continue"/>
            <w:tcBorders>
              <w:tl2br w:val="nil"/>
              <w:tr2bl w:val="nil"/>
            </w:tcBorders>
            <w:shd w:val="clear" w:color="auto" w:fill="FFFFFF"/>
            <w:noWrap w:val="0"/>
            <w:vAlign w:val="center"/>
          </w:tcPr>
          <w:p>
            <w:pPr>
              <w:widowControl/>
              <w:spacing w:line="320" w:lineRule="exact"/>
              <w:jc w:val="center"/>
              <w:rPr>
                <w:rFonts w:hint="eastAsia" w:ascii="仿宋_GB2312" w:hAnsi="仿宋_GB2312" w:eastAsia="仿宋_GB2312" w:cs="仿宋_GB2312"/>
                <w:b w:val="0"/>
                <w:bCs w:val="0"/>
                <w:color w:val="000000"/>
                <w:sz w:val="24"/>
                <w:szCs w:val="24"/>
                <w:highlight w:val="none"/>
              </w:rPr>
            </w:pPr>
          </w:p>
        </w:tc>
        <w:tc>
          <w:tcPr>
            <w:tcW w:w="6112" w:type="dxa"/>
            <w:tcBorders>
              <w:tl2br w:val="nil"/>
              <w:tr2bl w:val="nil"/>
            </w:tcBorders>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6.持续改进有成效，相关人员无医疗事故发生（0.5分）。</w:t>
            </w:r>
          </w:p>
        </w:tc>
        <w:tc>
          <w:tcPr>
            <w:tcW w:w="791" w:type="dxa"/>
            <w:vMerge w:val="continue"/>
            <w:tcBorders>
              <w:tl2br w:val="nil"/>
              <w:tr2bl w:val="nil"/>
            </w:tcBorders>
            <w:shd w:val="clear" w:color="auto" w:fill="FFFFFF"/>
            <w:noWrap w:val="0"/>
            <w:vAlign w:val="center"/>
          </w:tcPr>
          <w:p>
            <w:pPr>
              <w:jc w:val="center"/>
              <w:rPr>
                <w:rFonts w:hint="eastAsia" w:ascii="仿宋_GB2312" w:hAnsi="仿宋_GB2312" w:eastAsia="仿宋_GB2312" w:cs="仿宋_GB2312"/>
                <w:b w:val="0"/>
                <w:bCs w:val="0"/>
                <w:color w:val="000000"/>
                <w:sz w:val="24"/>
                <w:szCs w:val="24"/>
                <w:highlight w:val="none"/>
              </w:rPr>
            </w:pPr>
          </w:p>
        </w:tc>
      </w:tr>
    </w:tbl>
    <w:p>
      <w:pPr>
        <w:rPr>
          <w:color w:val="000000"/>
          <w:sz w:val="24"/>
          <w:szCs w:val="24"/>
        </w:rPr>
      </w:pPr>
    </w:p>
    <w:p>
      <w:pPr>
        <w:pStyle w:val="5"/>
        <w:bidi w:val="0"/>
        <w:rPr>
          <w:color w:val="000000"/>
        </w:rPr>
      </w:pPr>
      <w:bookmarkStart w:id="176" w:name="_Toc29985"/>
      <w:bookmarkStart w:id="177" w:name="_Toc914"/>
      <w:r>
        <w:rPr>
          <w:rFonts w:hint="eastAsia"/>
          <w:color w:val="000000"/>
          <w:lang w:val="en-US" w:eastAsia="zh-CN"/>
        </w:rPr>
        <w:t>九</w:t>
      </w:r>
      <w:r>
        <w:rPr>
          <w:rFonts w:hint="eastAsia"/>
          <w:color w:val="000000"/>
        </w:rPr>
        <w:t>、中西医结合</w:t>
      </w:r>
      <w:r>
        <w:rPr>
          <w:rFonts w:hint="eastAsia"/>
          <w:color w:val="000000"/>
          <w:lang w:val="en-US" w:eastAsia="zh-CN"/>
        </w:rPr>
        <w:t>科</w:t>
      </w:r>
      <w:r>
        <w:rPr>
          <w:rFonts w:hint="eastAsia"/>
          <w:color w:val="000000"/>
        </w:rPr>
        <w:t>诊疗质量保障与持续改进（</w:t>
      </w:r>
      <w:r>
        <w:rPr>
          <w:rFonts w:hint="eastAsia"/>
          <w:color w:val="000000"/>
          <w:lang w:val="en-US" w:eastAsia="zh-CN"/>
        </w:rPr>
        <w:t>13</w:t>
      </w:r>
      <w:r>
        <w:rPr>
          <w:rFonts w:hint="eastAsia"/>
          <w:color w:val="000000"/>
        </w:rPr>
        <w:t>分）</w:t>
      </w:r>
      <w:bookmarkEnd w:id="176"/>
      <w:bookmarkEnd w:id="177"/>
    </w:p>
    <w:tbl>
      <w:tblPr>
        <w:tblStyle w:val="14"/>
        <w:tblW w:w="147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7"/>
        <w:gridCol w:w="4730"/>
        <w:gridCol w:w="1694"/>
        <w:gridCol w:w="6113"/>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blHeader/>
        </w:trPr>
        <w:tc>
          <w:tcPr>
            <w:tcW w:w="6207" w:type="dxa"/>
            <w:gridSpan w:val="2"/>
            <w:tcBorders>
              <w:tl2br w:val="nil"/>
              <w:tr2bl w:val="nil"/>
            </w:tcBorders>
            <w:shd w:val="clear" w:color="auto" w:fill="FEF2CC"/>
            <w:noWrap w:val="0"/>
            <w:vAlign w:val="center"/>
          </w:tcPr>
          <w:p>
            <w:pPr>
              <w:widowControl/>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评审指标细则</w:t>
            </w:r>
          </w:p>
        </w:tc>
        <w:tc>
          <w:tcPr>
            <w:tcW w:w="1694" w:type="dxa"/>
            <w:tcBorders>
              <w:tl2br w:val="nil"/>
              <w:tr2bl w:val="nil"/>
            </w:tcBorders>
            <w:shd w:val="clear" w:color="auto" w:fill="FEF2CC"/>
            <w:noWrap w:val="0"/>
            <w:vAlign w:val="center"/>
          </w:tcPr>
          <w:p>
            <w:pPr>
              <w:widowControl/>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评审方法</w:t>
            </w:r>
          </w:p>
        </w:tc>
        <w:tc>
          <w:tcPr>
            <w:tcW w:w="6113" w:type="dxa"/>
            <w:tcBorders>
              <w:tl2br w:val="nil"/>
              <w:tr2bl w:val="nil"/>
            </w:tcBorders>
            <w:shd w:val="clear" w:color="auto" w:fill="FEF2CC"/>
            <w:noWrap w:val="0"/>
            <w:vAlign w:val="center"/>
          </w:tcPr>
          <w:p>
            <w:pPr>
              <w:widowControl/>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评分细则</w:t>
            </w:r>
          </w:p>
        </w:tc>
        <w:tc>
          <w:tcPr>
            <w:tcW w:w="758" w:type="dxa"/>
            <w:tcBorders>
              <w:tl2br w:val="nil"/>
              <w:tr2bl w:val="nil"/>
            </w:tcBorders>
            <w:shd w:val="clear" w:color="auto" w:fill="FEF2CC"/>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2" w:type="dxa"/>
            <w:gridSpan w:val="5"/>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（一百零四）中西医结合科诊疗科室设置应当满足诊疗要求，所设置的中药房应当符合相关法律法规的要求（4分）。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2.9.104.1</w:t>
            </w:r>
          </w:p>
        </w:tc>
        <w:tc>
          <w:tcPr>
            <w:tcW w:w="4730"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中西医结合科诊疗科室人员配备合理、资质符合要求，能满足诊疗需求。</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现场检查</w:t>
            </w: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1.中西医结合科为医院的一级临床科室，设立中西医结合门诊（0.5分）；</w:t>
            </w:r>
          </w:p>
        </w:tc>
        <w:tc>
          <w:tcPr>
            <w:tcW w:w="758"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2.中西医结合科负责人具有高级技术职称，从事中西医结合诊疗工作5年以上（0.5分）；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3.护士长具有高级技术职称，从事中西医结合护理工作 5年以上(0.5分)；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4.中西医结合科室医师具备中医类别任职资格（0.5分）。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477"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2.9.104.2</w:t>
            </w:r>
          </w:p>
        </w:tc>
        <w:tc>
          <w:tcPr>
            <w:tcW w:w="4730"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中药房设置符合相关法律法规的要求。</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员工访谈</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现场检查</w:t>
            </w: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1.中药房布局合理（0.5分）；</w:t>
            </w:r>
          </w:p>
        </w:tc>
        <w:tc>
          <w:tcPr>
            <w:tcW w:w="758"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2.有中药房管理制度及操作规范、流程（0.5分）；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3.中药房药师资质符合要求（0.5分）；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4.现场查看工作人员熟悉操作流程 （0.5分）。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2" w:type="dxa"/>
            <w:gridSpan w:val="5"/>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（一百零五）建立中西医结合诊疗规范，开展皮肤中西医特色护理，提供具有皮肤中西医特色的康复和健康指导等服务（6.5分）。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2.9.105.1</w:t>
            </w:r>
          </w:p>
        </w:tc>
        <w:tc>
          <w:tcPr>
            <w:tcW w:w="4730"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建立皮肤病中西医结合诊疗技术规范，推进中西医结合诊疗服务。</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员工访谈</w:t>
            </w:r>
          </w:p>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1.根据国家中医药相关指南，建立常见皮肤病的中西医诊疗技术规范（0.5分）；</w:t>
            </w:r>
          </w:p>
        </w:tc>
        <w:tc>
          <w:tcPr>
            <w:tcW w:w="758"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2.能为患者提供具有中西医特色的皮肤病康复和诊疗项目（0.5分）；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3.定期开展医护人员的诊疗技术规范培训，培训记录完整（0.5分）；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4.访谈科室医师知晓皮肤病中西医结合诊疗技术规范（0.5分）。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2.9.105.2</w:t>
            </w:r>
          </w:p>
        </w:tc>
        <w:tc>
          <w:tcPr>
            <w:tcW w:w="473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严格掌握中西医结合诊疗技术的适应症和禁忌证，履行知情同意，尊重就医者隐私权，保障就医者安全。</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员工访谈</w:t>
            </w: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1、各级医师掌握中西医结合诊疗技术的适应症与禁忌证，并严格执行（0.5分）；</w:t>
            </w:r>
          </w:p>
        </w:tc>
        <w:tc>
          <w:tcPr>
            <w:tcW w:w="758"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2.在实施治疗前，必须向就医者本人或亲属书面告知治疗的适应症、禁忌证、医疗风险和注意事项等，并取得就医者本人或监护人的签字同意（0.5分）；</w:t>
            </w:r>
          </w:p>
        </w:tc>
        <w:tc>
          <w:tcPr>
            <w:tcW w:w="758"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3、相关医师对上述要求知晓率 100%，相关人员无违规操作事件发生（0.5分）。</w:t>
            </w:r>
          </w:p>
        </w:tc>
        <w:tc>
          <w:tcPr>
            <w:tcW w:w="758"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2.9.105.3</w:t>
            </w:r>
          </w:p>
        </w:tc>
        <w:tc>
          <w:tcPr>
            <w:tcW w:w="473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开展皮肤病中西医特色护理。</w:t>
            </w:r>
          </w:p>
        </w:tc>
        <w:tc>
          <w:tcPr>
            <w:tcW w:w="169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员工访谈</w:t>
            </w: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1.制定皮肤病中西医特色的护理常规、操作规程，体现辨证施护和中西医结合特色（0.5分）；</w:t>
            </w:r>
          </w:p>
        </w:tc>
        <w:tc>
          <w:tcPr>
            <w:tcW w:w="758"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2.定期开展护理人员的操作规程培训，培训记录完整（0.5分）；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3.访谈护士知晓皮肤病中西医护理规范（0.5分）。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2.9.105.4</w:t>
            </w:r>
          </w:p>
        </w:tc>
        <w:tc>
          <w:tcPr>
            <w:tcW w:w="473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提供具有皮肤病中西医特色的康复和健康指导等服务。</w:t>
            </w:r>
          </w:p>
        </w:tc>
        <w:tc>
          <w:tcPr>
            <w:tcW w:w="169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1.制定皮肤病中西医特色的康复和健康指导规范（0.5分）；</w:t>
            </w:r>
          </w:p>
        </w:tc>
        <w:tc>
          <w:tcPr>
            <w:tcW w:w="758"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2.定期开展皮肤病中医特色的康复和健康指导培训，记录完整（0.5分）；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3.有皮肤病中西医结合特色的康复和健康指导资料，为患者提供具有皮肤病中西医结合特色的康复和健康指导（0.5分）。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477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（一百零六）开展质量管理与持续改进活动，对皮肤中西医临床诊疗技术进行医疗质量管理与评价，保障医疗安全（2.5分）。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47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2.9.106.1</w:t>
            </w:r>
          </w:p>
        </w:tc>
        <w:tc>
          <w:tcPr>
            <w:tcW w:w="473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开展质量控制，定期质量评价。应用质量管理工具开展质量管理与持续改进活动。</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查看记录</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病案检查</w:t>
            </w: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1.制定皮肤中西医诊疗技术质量安全控制指标（0.2分）；</w:t>
            </w:r>
          </w:p>
        </w:tc>
        <w:tc>
          <w:tcPr>
            <w:tcW w:w="758"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2.定期进行质量安全自查（0.5分），总结分析本科室质量与安全指标的变化趋势（0.3分），有分析与整改（0.5分）；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 xml:space="preserve">3.有主管部门对科室医疗质量落实情况、改进效果监督检查，对存在问题有改进措施（0.5分）； </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1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4.持续改进有成效，相关人员无医疗质量安全不良事件发生（0.5分）。</w:t>
            </w:r>
          </w:p>
        </w:tc>
        <w:tc>
          <w:tcPr>
            <w:tcW w:w="75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bl>
    <w:p>
      <w:pPr>
        <w:pStyle w:val="4"/>
        <w:bidi w:val="0"/>
        <w:ind w:firstLine="602" w:firstLineChars="200"/>
        <w:jc w:val="left"/>
        <w:rPr>
          <w:rFonts w:hint="eastAsia"/>
          <w:color w:val="000000"/>
          <w:lang w:val="en-US" w:eastAsia="zh-CN"/>
        </w:rPr>
      </w:pPr>
      <w:bookmarkStart w:id="178" w:name="_Toc30722"/>
      <w:bookmarkStart w:id="179" w:name="_Toc21800"/>
      <w:r>
        <w:rPr>
          <w:rFonts w:hint="eastAsia"/>
          <w:color w:val="000000"/>
          <w:lang w:val="en-US" w:eastAsia="zh-CN"/>
        </w:rPr>
        <w:t>十、性传播疾病管理与持续改进（15.5分）</w:t>
      </w:r>
      <w:bookmarkEnd w:id="178"/>
      <w:bookmarkEnd w:id="179"/>
    </w:p>
    <w:tbl>
      <w:tblPr>
        <w:tblStyle w:val="14"/>
        <w:tblW w:w="1479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783"/>
        <w:gridCol w:w="1694"/>
        <w:gridCol w:w="60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trPr>
        <w:tc>
          <w:tcPr>
            <w:tcW w:w="6201" w:type="dxa"/>
            <w:gridSpan w:val="2"/>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kern w:val="0"/>
                <w:sz w:val="24"/>
                <w:szCs w:val="24"/>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评审指标细则</w:t>
            </w:r>
          </w:p>
        </w:tc>
        <w:tc>
          <w:tcPr>
            <w:tcW w:w="1694" w:type="dxa"/>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kern w:val="0"/>
                <w:sz w:val="24"/>
                <w:szCs w:val="24"/>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评审方法</w:t>
            </w:r>
          </w:p>
        </w:tc>
        <w:tc>
          <w:tcPr>
            <w:tcW w:w="6096" w:type="dxa"/>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kern w:val="0"/>
                <w:sz w:val="24"/>
                <w:szCs w:val="24"/>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评分细则</w:t>
            </w:r>
          </w:p>
        </w:tc>
        <w:tc>
          <w:tcPr>
            <w:tcW w:w="807" w:type="dxa"/>
            <w:tcBorders>
              <w:tl2br w:val="nil"/>
              <w:tr2bl w:val="nil"/>
            </w:tcBorders>
            <w:shd w:val="clear" w:color="auto" w:fill="FEF2CC"/>
            <w:noWrap w:val="0"/>
            <w:vAlign w:val="center"/>
          </w:tcPr>
          <w:p>
            <w:pPr>
              <w:widowControl/>
              <w:spacing w:line="320" w:lineRule="exact"/>
              <w:jc w:val="center"/>
              <w:textAlignment w:val="center"/>
              <w:rPr>
                <w:rFonts w:hint="eastAsia" w:ascii="仿宋_GB2312" w:hAnsi="仿宋_GB2312" w:eastAsia="仿宋_GB2312" w:cs="仿宋_GB2312"/>
                <w:b/>
                <w:bCs/>
                <w:color w:val="000000"/>
                <w:kern w:val="0"/>
                <w:sz w:val="24"/>
                <w:szCs w:val="24"/>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798" w:type="dxa"/>
            <w:gridSpan w:val="5"/>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（一百零七）规范设置性病科，根据《广西壮族自治区医疗机构性病诊疗质量评价标准》（2011年版）制定规范和技术标准，定期开展技术培训，提升性病诊疗服务质量（5分）。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2.10.107.1</w:t>
            </w:r>
          </w:p>
        </w:tc>
        <w:tc>
          <w:tcPr>
            <w:tcW w:w="4783"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性病科建设规范、医疗设备和设施满足临床需要，人员应该符合国家有关规定。</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现场查看</w:t>
            </w: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1.医院设置有性病科，并配备有相应的诊疗设备（0.5分）；</w:t>
            </w:r>
          </w:p>
        </w:tc>
        <w:tc>
          <w:tcPr>
            <w:tcW w:w="807"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2.按自治区相关文件设置规范化性病门诊，并通过验收（0.5分）；</w:t>
            </w:r>
          </w:p>
        </w:tc>
        <w:tc>
          <w:tcPr>
            <w:tcW w:w="807"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3.性病门诊设有性病诊查、候诊场所，配备1对1独立诊查室，便于保护患者隐私（0.5分）；</w:t>
            </w:r>
          </w:p>
        </w:tc>
        <w:tc>
          <w:tcPr>
            <w:tcW w:w="807"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4.有性病诊查、候诊场所，符合医院感染预防与控制要求。（0.5分）。</w:t>
            </w:r>
          </w:p>
        </w:tc>
        <w:tc>
          <w:tcPr>
            <w:tcW w:w="807"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2.10.107.2</w:t>
            </w:r>
          </w:p>
        </w:tc>
        <w:tc>
          <w:tcPr>
            <w:tcW w:w="4783"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性病门诊从业人员配置合理，具备相应资质，有能力开展相关工作。</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现场检查</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数据核查</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1.至少配备四名以上固定医护人员。医师接受过规范化性病门诊从业人员培训，具有性传播疾病的诊断能力（0.5分）；</w:t>
            </w:r>
          </w:p>
        </w:tc>
        <w:tc>
          <w:tcPr>
            <w:tcW w:w="807"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2.有诊治神经梅毒能力，能开展腰椎穿刺、脑脊液检查等相关检查（0.5分）；</w:t>
            </w:r>
          </w:p>
        </w:tc>
        <w:tc>
          <w:tcPr>
            <w:tcW w:w="807"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3.开展相关工作数据或案例（0.5分）。</w:t>
            </w:r>
          </w:p>
        </w:tc>
        <w:tc>
          <w:tcPr>
            <w:tcW w:w="807" w:type="dxa"/>
            <w:vMerge w:val="continue"/>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18"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2.10.107.3</w:t>
            </w:r>
          </w:p>
        </w:tc>
        <w:tc>
          <w:tcPr>
            <w:tcW w:w="4783"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开展性传播疾病相关法律法规及诊疗规范等相关知识培训，提高医务人员诊治水平。</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查看记录</w:t>
            </w: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1.建立科室业务学习培训制度和年度学习计划（0.5分）；</w:t>
            </w:r>
          </w:p>
        </w:tc>
        <w:tc>
          <w:tcPr>
            <w:tcW w:w="807"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2.定期开展学习《性病管理办法》等法律法规、诊疗规范、操作规程的培训、考核（0.5分）；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3.每年对培训、学习效果进行总结分析，有持续改进措施（0.5分）。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798" w:type="dxa"/>
            <w:gridSpan w:val="5"/>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（一百零八）根据《梅毒诊断》标准（WS273-2018）规范诊治神经梅毒，按照技术适应症规范技术操作并开展质量控制（2.5分）。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2.10.108.1</w:t>
            </w:r>
          </w:p>
        </w:tc>
        <w:tc>
          <w:tcPr>
            <w:tcW w:w="4783"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建立神经梅毒腰椎穿刺操作流程，定期质量评价，总结分析、持续改进活动。</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查看记录</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病案检查</w:t>
            </w: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1.根据行业指南制定神经梅毒腰椎穿刺操作规范（0.2分）和流程（0.3分）；有腰椎穿刺严重不良反应处置预案（0.5分）；</w:t>
            </w:r>
          </w:p>
        </w:tc>
        <w:tc>
          <w:tcPr>
            <w:tcW w:w="807"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2.现场检查病案，神经梅毒诊疗、腰椎穿刺适应症符合诊疗规范（0.5分）；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 xml:space="preserve">3.科室开展质量控制（0.2分），定期对神经梅毒腰椎穿刺工作进行回顾性总结，对存在问题有分析、整改（0.3分）； </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both"/>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4.持续改进有成效，相关人员无重大医疗事故发生（0.5分）。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798" w:type="dxa"/>
            <w:gridSpan w:val="5"/>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（一百零九）贯彻落实《性病管理办法》等法律法规规范管理性传播疾病，持续改进管理质量（4分）。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18"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2.10.109.1</w:t>
            </w:r>
          </w:p>
        </w:tc>
        <w:tc>
          <w:tcPr>
            <w:tcW w:w="4783"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建立健全相关制度、流程、诊疗规范，有部门或专人负责性病疫情报告与管理工作，持续改进质量工作。</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现场检查</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数据核查</w:t>
            </w: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1.制定性病管理相关制度、流程、诊疗规范（0.5分）；</w:t>
            </w:r>
          </w:p>
        </w:tc>
        <w:tc>
          <w:tcPr>
            <w:tcW w:w="807"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2.有部门或专人负责性病疫情报告与管理工作（0.5分）；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3.有性病网络信息管理相关规定，明确疫情查询使用的权限（0.5分）；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4.建立并使用STD门诊日志（0.5分），有规范的性病疫情报告卡和性病疫情登记簿（0.5分），有性病门诊量统计表（0.5分）；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5.每季度至少进行1次性病疫情报告漏报调查，有漏报调查工作记录（0.5分）；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6.主管部门对疫情管理工作进行检查、分析、反馈，并对存在问题及时整改（0.5分）。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798" w:type="dxa"/>
            <w:gridSpan w:val="5"/>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（一百一十）开展性病门诊就诊者健康教育和咨询管理（4分）。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2.10.110.1</w:t>
            </w:r>
          </w:p>
        </w:tc>
        <w:tc>
          <w:tcPr>
            <w:tcW w:w="4783" w:type="dxa"/>
            <w:vMerge w:val="restart"/>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性病门诊开展性传播疾病防治知识宣传、健康教育，具备相应的科普技能，开展或参与防治性病的义诊活动。</w:t>
            </w:r>
          </w:p>
        </w:tc>
        <w:tc>
          <w:tcPr>
            <w:tcW w:w="1694"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文件查阅</w:t>
            </w:r>
          </w:p>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记录查看</w:t>
            </w:r>
            <w:r>
              <w:rPr>
                <w:rFonts w:hint="eastAsia" w:ascii="仿宋_GB2312" w:hAnsi="仿宋_GB2312" w:eastAsia="仿宋_GB2312" w:cs="仿宋_GB2312"/>
                <w:b w:val="0"/>
                <w:bCs w:val="0"/>
                <w:color w:val="000000"/>
                <w:kern w:val="0"/>
                <w:sz w:val="24"/>
                <w:szCs w:val="24"/>
                <w:highlight w:val="none"/>
                <w:lang w:val="en-US" w:eastAsia="zh-CN" w:bidi="ar"/>
              </w:rPr>
              <w:br w:type="textWrapping"/>
            </w:r>
            <w:r>
              <w:rPr>
                <w:rFonts w:hint="eastAsia" w:ascii="仿宋_GB2312" w:hAnsi="仿宋_GB2312" w:eastAsia="仿宋_GB2312" w:cs="仿宋_GB2312"/>
                <w:b w:val="0"/>
                <w:bCs w:val="0"/>
                <w:color w:val="000000"/>
                <w:kern w:val="0"/>
                <w:sz w:val="24"/>
                <w:szCs w:val="24"/>
                <w:highlight w:val="none"/>
                <w:lang w:val="en-US" w:eastAsia="zh-CN" w:bidi="ar"/>
              </w:rPr>
              <w:t>员工访谈</w:t>
            </w:r>
            <w:r>
              <w:rPr>
                <w:rFonts w:hint="eastAsia" w:ascii="仿宋_GB2312" w:hAnsi="仿宋_GB2312" w:eastAsia="仿宋_GB2312" w:cs="仿宋_GB2312"/>
                <w:b w:val="0"/>
                <w:bCs w:val="0"/>
                <w:color w:val="000000"/>
                <w:kern w:val="0"/>
                <w:sz w:val="24"/>
                <w:szCs w:val="24"/>
                <w:highlight w:val="none"/>
                <w:lang w:val="en-US" w:eastAsia="zh-CN" w:bidi="ar"/>
              </w:rPr>
              <w:br w:type="textWrapping"/>
            </w:r>
            <w:r>
              <w:rPr>
                <w:rFonts w:hint="eastAsia" w:ascii="仿宋_GB2312" w:hAnsi="仿宋_GB2312" w:eastAsia="仿宋_GB2312" w:cs="仿宋_GB2312"/>
                <w:b w:val="0"/>
                <w:bCs w:val="0"/>
                <w:color w:val="000000"/>
                <w:kern w:val="0"/>
                <w:sz w:val="24"/>
                <w:szCs w:val="24"/>
                <w:highlight w:val="none"/>
                <w:lang w:val="en-US" w:eastAsia="zh-CN" w:bidi="ar"/>
              </w:rPr>
              <w:t>现场检查</w:t>
            </w: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1.性病门诊设有性病艾滋病固定宣传栏（橱窗、展板），每年至少更换2版（0.5分）；</w:t>
            </w:r>
          </w:p>
        </w:tc>
        <w:tc>
          <w:tcPr>
            <w:tcW w:w="807" w:type="dxa"/>
            <w:vMerge w:val="restart"/>
            <w:tcBorders>
              <w:tl2br w:val="nil"/>
              <w:tr2bl w:val="nil"/>
            </w:tcBorders>
            <w:noWrap w:val="0"/>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2.通过官网、公众号等新媒体进行性病防治宣传，定期向公众投放性病防治科普作品（0.5分）；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3.有向公众开展健康教育和咨询的资料，每年组织或参加有关防治性病、艾滋病宣传义诊活动，有相关工作记录（1分）；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4.技能测试：健康教育室护士熟练掌握安全套使用基本技能，现场模拟规范使用安全套演示（1分）；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5、性病门诊备有并免费向患者发放自治区统一制作的性病健康教育干预服务包或安全套（0.5分）；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8"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4783"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1694"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c>
          <w:tcPr>
            <w:tcW w:w="6096" w:type="dxa"/>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6、性病门诊健康教育室备有性病防治宣传折页、演示用的安全套、模型、操作图（0.5分）。</w:t>
            </w:r>
          </w:p>
        </w:tc>
        <w:tc>
          <w:tcPr>
            <w:tcW w:w="807" w:type="dxa"/>
            <w:vMerge w:val="continue"/>
            <w:tcBorders>
              <w:tl2br w:val="nil"/>
              <w:tr2bl w:val="nil"/>
            </w:tcBorders>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highlight w:val="none"/>
                <w:lang w:val="en-US" w:eastAsia="zh-CN" w:bidi="ar"/>
              </w:rPr>
            </w:pPr>
          </w:p>
        </w:tc>
      </w:tr>
    </w:tbl>
    <w:p>
      <w:pPr>
        <w:pStyle w:val="5"/>
        <w:bidi w:val="0"/>
        <w:rPr>
          <w:rFonts w:hint="eastAsia"/>
          <w:color w:val="000000"/>
          <w:lang w:val="en-US"/>
        </w:rPr>
      </w:pPr>
      <w:bookmarkStart w:id="180" w:name="_Toc21753"/>
      <w:r>
        <w:rPr>
          <w:rFonts w:hint="eastAsia"/>
          <w:color w:val="000000"/>
          <w:lang w:val="en-US" w:eastAsia="zh-CN"/>
        </w:rPr>
        <w:br w:type="page"/>
      </w:r>
      <w:r>
        <w:rPr>
          <w:rFonts w:hint="eastAsia"/>
          <w:color w:val="000000"/>
          <w:lang w:val="en-US" w:eastAsia="zh-CN"/>
        </w:rPr>
        <w:t>十一</w:t>
      </w:r>
      <w:r>
        <w:rPr>
          <w:rFonts w:hint="eastAsia"/>
          <w:color w:val="000000"/>
          <w:lang w:eastAsia="zh-CN"/>
        </w:rPr>
        <w:t>、</w:t>
      </w:r>
      <w:r>
        <w:rPr>
          <w:rFonts w:hint="eastAsia"/>
          <w:color w:val="000000"/>
        </w:rPr>
        <w:t>护理质量保障与持续改进</w:t>
      </w:r>
      <w:r>
        <w:rPr>
          <w:rFonts w:hint="eastAsia"/>
          <w:color w:val="000000"/>
          <w:lang w:val="en-US" w:eastAsia="zh-CN"/>
        </w:rPr>
        <w:t>（23分）</w:t>
      </w:r>
      <w:bookmarkEnd w:id="170"/>
      <w:bookmarkEnd w:id="180"/>
    </w:p>
    <w:tbl>
      <w:tblPr>
        <w:tblStyle w:val="14"/>
        <w:tblW w:w="14693" w:type="dxa"/>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45"/>
        <w:gridCol w:w="4735"/>
        <w:gridCol w:w="1617"/>
        <w:gridCol w:w="6136"/>
        <w:gridCol w:w="7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blHeader/>
        </w:trPr>
        <w:tc>
          <w:tcPr>
            <w:tcW w:w="6180" w:type="dxa"/>
            <w:gridSpan w:val="2"/>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评审指标细则</w:t>
            </w:r>
          </w:p>
        </w:tc>
        <w:tc>
          <w:tcPr>
            <w:tcW w:w="1617"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评审方法</w:t>
            </w:r>
          </w:p>
        </w:tc>
        <w:tc>
          <w:tcPr>
            <w:tcW w:w="6136"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评分细则</w:t>
            </w:r>
          </w:p>
        </w:tc>
        <w:tc>
          <w:tcPr>
            <w:tcW w:w="760"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6"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（一百一十一）建立扁平高效的护理管理体系，</w:t>
            </w:r>
            <w:r>
              <w:rPr>
                <w:rStyle w:val="28"/>
                <w:rFonts w:hint="eastAsia" w:ascii="仿宋_GB2312" w:hAnsi="仿宋_GB2312" w:eastAsia="仿宋_GB2312" w:cs="仿宋_GB2312"/>
                <w:b w:val="0"/>
                <w:bCs w:val="0"/>
                <w:color w:val="000000"/>
                <w:sz w:val="24"/>
                <w:szCs w:val="24"/>
                <w:highlight w:val="none"/>
                <w:lang w:val="en-US" w:eastAsia="zh-CN" w:bidi="ar"/>
              </w:rPr>
              <w:t>建立护理管理委员会，由医院人事、财务、医务、护理、后勤等相关部门主要负责人组成，主任委员由医疗机构主要负责人或者分管护理工作的负责人担任。</w:t>
            </w:r>
            <w:r>
              <w:rPr>
                <w:rStyle w:val="29"/>
                <w:rFonts w:hint="eastAsia" w:ascii="仿宋_GB2312" w:hAnsi="仿宋_GB2312" w:eastAsia="仿宋_GB2312" w:cs="仿宋_GB2312"/>
                <w:b w:val="0"/>
                <w:bCs w:val="0"/>
                <w:color w:val="000000"/>
                <w:sz w:val="24"/>
                <w:szCs w:val="24"/>
                <w:highlight w:val="none"/>
                <w:lang w:val="en-US" w:eastAsia="zh-CN" w:bidi="ar"/>
              </w:rPr>
              <w:t>依据法律法规、行业指南、标准，</w:t>
            </w:r>
            <w:r>
              <w:rPr>
                <w:rStyle w:val="28"/>
                <w:rFonts w:hint="eastAsia" w:ascii="仿宋_GB2312" w:hAnsi="仿宋_GB2312" w:eastAsia="仿宋_GB2312" w:cs="仿宋_GB2312"/>
                <w:b w:val="0"/>
                <w:bCs w:val="0"/>
                <w:color w:val="000000"/>
                <w:sz w:val="24"/>
                <w:szCs w:val="24"/>
                <w:highlight w:val="none"/>
                <w:lang w:val="en-US" w:eastAsia="zh-CN" w:bidi="ar"/>
              </w:rPr>
              <w:t>制定本单位护理工作发展规划、护理制度、常规和操作规程，实施护理管理、质量改进等工作</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（3分）</w:t>
            </w:r>
            <w:r>
              <w:rPr>
                <w:rStyle w:val="28"/>
                <w:rFonts w:hint="eastAsia" w:ascii="仿宋_GB2312" w:hAnsi="仿宋_GB2312" w:eastAsia="仿宋_GB2312" w:cs="仿宋_GB2312"/>
                <w:b w:val="0"/>
                <w:bCs w:val="0"/>
                <w:color w:val="000000"/>
                <w:sz w:val="24"/>
                <w:szCs w:val="24"/>
                <w:highlight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8"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2.11.111.1</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简洁高效的护理管理体系。有本单位管理委员会的指导下，实行三级或二级管理层级，明确各级护理管理岗位任职条件。有护理工作发展规划、年度计划，符合医院总体规划和护理学科发展方向并有效执行，有总结评价。</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1.护理管理体系健全，在护理管理委员会的指导下实行护理部—大科—科室或护理部—科室护理管理层级。（0.2分）；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4"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0"/>
                <w:rFonts w:hint="eastAsia" w:ascii="仿宋_GB2312" w:hAnsi="仿宋_GB2312" w:eastAsia="仿宋_GB2312" w:cs="仿宋_GB2312"/>
                <w:b w:val="0"/>
                <w:bCs w:val="0"/>
                <w:color w:val="000000"/>
                <w:sz w:val="24"/>
                <w:szCs w:val="24"/>
                <w:highlight w:val="none"/>
                <w:lang w:val="en-US" w:eastAsia="zh-CN" w:bidi="ar"/>
              </w:rPr>
              <w:t>护理工作发展规划、年度计划与医院总体规划和护理学科发展方向一致</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3.查看护理发展规划和年度计划总结，体现有效执行（0.2分）；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4.访谈护理各级管理人员知晓规划、计划内容（0.2分）。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6"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2.11.111.2</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建立护理管理委员会。委员会成员应包含与护理工作密切相关的部门，并制订委员会职责和工作制度，定期研究护理质量与安全问题，提出改进策略并落实。</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1.建立护理管理委员会，由医院人事、财务、医务、护理、后勤等相关部门主要负责人组成，主任委员由医疗机构主要负责人或者分管护理工作的负责人担任（0.2分）；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2.护理管理委员会职责、工作制度明确（0.2分）；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2"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3.至少每半年一次召开护理管理委员会议（0.2分）；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4"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4.委员会会议有会议记录、会议纪要、决议执行单，执行效果追踪等（0.2分）。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2.11.111.3</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根据法律法规、行业标准、指南制定医院护理制度、护理常规和操作规程，定期修订。并根据科室执行落实情况，开展护理质量管理工作，有监测、分析、反馈，指导改进。</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1.查阅医院护理制度、护理常规和操作规程、护理质量评价标准与现行的法律法规、行业标准、指南一致，并及时修改（0.3分）；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9"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0"/>
                <w:rFonts w:hint="eastAsia" w:ascii="仿宋_GB2312" w:hAnsi="仿宋_GB2312" w:eastAsia="仿宋_GB2312" w:cs="仿宋_GB2312"/>
                <w:b w:val="0"/>
                <w:bCs w:val="0"/>
                <w:color w:val="000000"/>
                <w:sz w:val="24"/>
                <w:szCs w:val="24"/>
                <w:highlight w:val="none"/>
                <w:lang w:val="en-US" w:eastAsia="zh-CN" w:bidi="ar"/>
              </w:rPr>
              <w:t>.护理部、大科、科室或护理部、科室对落实情况进行监测、分析、反馈、指导改进</w:t>
            </w:r>
            <w:r>
              <w:rPr>
                <w:rStyle w:val="29"/>
                <w:rFonts w:hint="eastAsia" w:ascii="仿宋_GB2312" w:hAnsi="仿宋_GB2312" w:eastAsia="仿宋_GB2312" w:cs="仿宋_GB2312"/>
                <w:b w:val="0"/>
                <w:bCs w:val="0"/>
                <w:color w:val="000000"/>
                <w:sz w:val="24"/>
                <w:szCs w:val="24"/>
                <w:highlight w:val="none"/>
                <w:lang w:val="en-US" w:eastAsia="zh-CN" w:bidi="ar"/>
              </w:rPr>
              <w:t>（0.3分）；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9"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3.落实护理敏感质量指标监管，有统计分析（0.3分）；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1"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4.访谈护理人员制度、护理常规（0.3分）；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5.考核护理操作（0.2分）。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（一百一十二）护理人力资源配备与医院功能和任务相适应，有护理单元护理人员的配置原则，以临床护理工作量为基础，根据收住患者特点、护理级别比例、床位使用情况对护理人力资源实行弹性调配。</w:t>
            </w:r>
            <w:r>
              <w:rPr>
                <w:rStyle w:val="28"/>
                <w:rFonts w:hint="eastAsia" w:ascii="仿宋_GB2312" w:hAnsi="仿宋_GB2312" w:eastAsia="仿宋_GB2312" w:cs="仿宋_GB2312"/>
                <w:b w:val="0"/>
                <w:bCs w:val="0"/>
                <w:color w:val="000000"/>
                <w:sz w:val="24"/>
                <w:szCs w:val="24"/>
                <w:highlight w:val="none"/>
                <w:lang w:val="en-US" w:eastAsia="zh-CN" w:bidi="ar"/>
              </w:rPr>
              <w:t>临床护理岗位护士数量占全院护士数量不低于95%。</w:t>
            </w:r>
            <w:r>
              <w:rPr>
                <w:rStyle w:val="29"/>
                <w:rFonts w:hint="eastAsia" w:ascii="仿宋_GB2312" w:hAnsi="仿宋_GB2312" w:eastAsia="仿宋_GB2312" w:cs="仿宋_GB2312"/>
                <w:b w:val="0"/>
                <w:bCs w:val="0"/>
                <w:color w:val="000000"/>
                <w:sz w:val="24"/>
                <w:szCs w:val="24"/>
                <w:highlight w:val="none"/>
                <w:lang w:val="en-US" w:eastAsia="zh-CN" w:bidi="ar"/>
              </w:rPr>
              <w:t>有紧急状态下调配护理人力资源的预案</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（1.6分）</w:t>
            </w:r>
            <w:r>
              <w:rPr>
                <w:rStyle w:val="29"/>
                <w:rFonts w:hint="eastAsia" w:ascii="仿宋_GB2312" w:hAnsi="仿宋_GB2312" w:eastAsia="仿宋_GB2312" w:cs="仿宋_GB2312"/>
                <w:b w:val="0"/>
                <w:bCs w:val="0"/>
                <w:color w:val="000000"/>
                <w:sz w:val="24"/>
                <w:szCs w:val="24"/>
                <w:highlight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2.11.112.1</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护理人力资源配备与医院功能和任务相适应，有护理单元护理人员的配置原则，以临床护理工作量为基础，根据收住患者特点、护理级别比例、床位使用情况对护理人力资源实行弹性调配。</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1.制定有护理单元护理人员的配置原则及护理人力资源实行弹性调配方案（0.2分）；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2.核实全院病区护理人员总数与实际床位比不低于0.6∶1，皮肤科急危重症病房护理人员与实际开放床位比不低于2:1（0.2分）；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3.有护理人力资源弹性调配记录（0.2分）；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4.人事科、护理部落实护理人员配置情况监管并追踪整改（0.2分）。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9"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2.11.112.2</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有人力资源调配的应急预案，并有演练。</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1.查阅紧急状态下调配护理人力资源的预案及演练记录（0.2分）；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2.访谈护理人员紧急护理人力资源调配规定的主要内容与流程（0.2分）；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3.模拟抽查：紧急状态下护理人力资源调配流程（0.2分）。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44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2.11.112.3</w:t>
            </w:r>
          </w:p>
        </w:tc>
        <w:tc>
          <w:tcPr>
            <w:tcW w:w="473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临床护理岗位护士数量占全院护士数量不低于95%。</w:t>
            </w:r>
          </w:p>
        </w:tc>
        <w:tc>
          <w:tcPr>
            <w:tcW w:w="1617"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1.核查全院护士花名册，岗位设置一览表，临床护理岗位护士数量占全院护士数量不低于95%（0.2分）。</w:t>
            </w:r>
          </w:p>
        </w:tc>
        <w:tc>
          <w:tcPr>
            <w:tcW w:w="760"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一十三）护理人员依法执业，实行分层级管理，有护理人员管理规定实行岗位管理制度，明确岗位设置、岗位职责、岗位技术能力要求和工作标准。有护理人员在职继续医学教育计划，保障措施到位，并有实施记录（3.4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4"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2.11.113.1</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根据《护士条例》及《护士执业注册管理办法》等相关法律法规和规定，制定护理人员资质管理制度和审核程序，落实依法执业。</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1.查阅护理人员执业准入、特殊护理岗位资质、技术能力要求、夜班准入管理等护理人员资质管理制度和审核程序（0.2分）；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5"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 查看护理部、大科、科室</w:t>
            </w:r>
            <w:r>
              <w:rPr>
                <w:rStyle w:val="28"/>
                <w:rFonts w:hint="eastAsia" w:ascii="仿宋_GB2312" w:hAnsi="仿宋_GB2312" w:eastAsia="仿宋_GB2312" w:cs="仿宋_GB2312"/>
                <w:b w:val="0"/>
                <w:bCs w:val="0"/>
                <w:color w:val="000000"/>
                <w:sz w:val="24"/>
                <w:szCs w:val="24"/>
                <w:highlight w:val="none"/>
                <w:lang w:val="en-US" w:eastAsia="zh-CN" w:bidi="ar"/>
              </w:rPr>
              <w:t>或护理部、科室人员</w:t>
            </w:r>
            <w:r>
              <w:rPr>
                <w:rStyle w:val="29"/>
                <w:rFonts w:hint="eastAsia" w:ascii="仿宋_GB2312" w:hAnsi="仿宋_GB2312" w:eastAsia="仿宋_GB2312" w:cs="仿宋_GB2312"/>
                <w:b w:val="0"/>
                <w:bCs w:val="0"/>
                <w:color w:val="000000"/>
                <w:sz w:val="24"/>
                <w:szCs w:val="24"/>
                <w:highlight w:val="none"/>
                <w:lang w:val="en-US" w:eastAsia="zh-CN" w:bidi="ar"/>
              </w:rPr>
              <w:t>执业准入管理记录（0.2分）；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3.护理部、大科、科室</w:t>
            </w:r>
            <w:r>
              <w:rPr>
                <w:rStyle w:val="28"/>
                <w:rFonts w:hint="eastAsia" w:ascii="仿宋_GB2312" w:hAnsi="仿宋_GB2312" w:eastAsia="仿宋_GB2312" w:cs="仿宋_GB2312"/>
                <w:b w:val="0"/>
                <w:bCs w:val="0"/>
                <w:color w:val="000000"/>
                <w:sz w:val="24"/>
                <w:szCs w:val="24"/>
                <w:highlight w:val="none"/>
                <w:lang w:val="en-US" w:eastAsia="zh-CN" w:bidi="ar"/>
              </w:rPr>
              <w:t>或护理部、科室</w:t>
            </w:r>
            <w:r>
              <w:rPr>
                <w:rStyle w:val="29"/>
                <w:rFonts w:hint="eastAsia" w:ascii="仿宋_GB2312" w:hAnsi="仿宋_GB2312" w:eastAsia="仿宋_GB2312" w:cs="仿宋_GB2312"/>
                <w:b w:val="0"/>
                <w:bCs w:val="0"/>
                <w:color w:val="000000"/>
                <w:sz w:val="24"/>
                <w:szCs w:val="24"/>
                <w:highlight w:val="none"/>
                <w:lang w:val="en-US" w:eastAsia="zh-CN" w:bidi="ar"/>
              </w:rPr>
              <w:t>落实监管并追踪整改，体现持续改进（0.2分）；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4.护理人员依法执业（0.2分）；不符合不得分。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2.11.113.2</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实行岗位管理制度，明确岗位设置、岗位职责、岗位技术能力和工作标准。</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1.查阅护理岗位管理制度，岗位设置、岗位职责、岗位技术能力要求和工作标准（0.2分）；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0"/>
                <w:rFonts w:hint="eastAsia" w:ascii="仿宋_GB2312" w:hAnsi="仿宋_GB2312" w:eastAsia="仿宋_GB2312" w:cs="仿宋_GB2312"/>
                <w:b w:val="0"/>
                <w:bCs w:val="0"/>
                <w:color w:val="000000"/>
                <w:sz w:val="24"/>
                <w:szCs w:val="24"/>
                <w:highlight w:val="none"/>
                <w:lang w:val="en-US" w:eastAsia="zh-CN" w:bidi="ar"/>
              </w:rPr>
              <w:t>现场核查</w:t>
            </w:r>
            <w:r>
              <w:rPr>
                <w:rStyle w:val="29"/>
                <w:rFonts w:hint="eastAsia" w:ascii="仿宋_GB2312" w:hAnsi="仿宋_GB2312" w:eastAsia="仿宋_GB2312" w:cs="仿宋_GB2312"/>
                <w:b w:val="0"/>
                <w:bCs w:val="0"/>
                <w:color w:val="000000"/>
                <w:sz w:val="24"/>
                <w:szCs w:val="24"/>
                <w:highlight w:val="none"/>
                <w:lang w:val="en-US" w:eastAsia="zh-CN" w:bidi="ar"/>
              </w:rPr>
              <w:t>科室岗位设置</w:t>
            </w:r>
            <w:r>
              <w:rPr>
                <w:rStyle w:val="30"/>
                <w:rFonts w:hint="eastAsia" w:ascii="仿宋_GB2312" w:hAnsi="仿宋_GB2312" w:eastAsia="仿宋_GB2312" w:cs="仿宋_GB2312"/>
                <w:b w:val="0"/>
                <w:bCs w:val="0"/>
                <w:color w:val="000000"/>
                <w:sz w:val="24"/>
                <w:szCs w:val="24"/>
                <w:highlight w:val="none"/>
                <w:lang w:val="en-US" w:eastAsia="zh-CN" w:bidi="ar"/>
              </w:rPr>
              <w:t>符合情况</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5"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w:t>
            </w:r>
            <w:r>
              <w:rPr>
                <w:rStyle w:val="30"/>
                <w:rFonts w:hint="eastAsia" w:ascii="仿宋_GB2312" w:hAnsi="仿宋_GB2312" w:eastAsia="仿宋_GB2312" w:cs="仿宋_GB2312"/>
                <w:b w:val="0"/>
                <w:bCs w:val="0"/>
                <w:color w:val="000000"/>
                <w:sz w:val="24"/>
                <w:szCs w:val="24"/>
                <w:highlight w:val="none"/>
                <w:lang w:val="en-US" w:eastAsia="zh-CN" w:bidi="ar"/>
              </w:rPr>
              <w:t>职能部门</w:t>
            </w:r>
            <w:r>
              <w:rPr>
                <w:rStyle w:val="29"/>
                <w:rFonts w:hint="eastAsia" w:ascii="仿宋_GB2312" w:hAnsi="仿宋_GB2312" w:eastAsia="仿宋_GB2312" w:cs="仿宋_GB2312"/>
                <w:b w:val="0"/>
                <w:bCs w:val="0"/>
                <w:color w:val="000000"/>
                <w:sz w:val="24"/>
                <w:szCs w:val="24"/>
                <w:highlight w:val="none"/>
                <w:lang w:val="en-US" w:eastAsia="zh-CN" w:bidi="ar"/>
              </w:rPr>
              <w:t>定期监管并追踪整改落实（0.2分）；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4.</w:t>
            </w:r>
            <w:r>
              <w:rPr>
                <w:rStyle w:val="30"/>
                <w:rFonts w:hint="eastAsia" w:ascii="仿宋_GB2312" w:hAnsi="仿宋_GB2312" w:eastAsia="仿宋_GB2312" w:cs="仿宋_GB2312"/>
                <w:b w:val="0"/>
                <w:bCs w:val="0"/>
                <w:color w:val="000000"/>
                <w:sz w:val="24"/>
                <w:szCs w:val="24"/>
                <w:highlight w:val="none"/>
                <w:lang w:val="en-US" w:eastAsia="zh-CN" w:bidi="ar"/>
              </w:rPr>
              <w:t>员工知晓</w:t>
            </w:r>
            <w:r>
              <w:rPr>
                <w:rStyle w:val="29"/>
                <w:rFonts w:hint="eastAsia" w:ascii="仿宋_GB2312" w:hAnsi="仿宋_GB2312" w:eastAsia="仿宋_GB2312" w:cs="仿宋_GB2312"/>
                <w:b w:val="0"/>
                <w:bCs w:val="0"/>
                <w:color w:val="000000"/>
                <w:sz w:val="24"/>
                <w:szCs w:val="24"/>
                <w:highlight w:val="none"/>
                <w:lang w:val="en-US" w:eastAsia="zh-CN" w:bidi="ar"/>
              </w:rPr>
              <w:t>岗位职责、岗位技术能力要求和工作标准（0.2分）。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2.11.113.3</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制定护理人员管理规定，根据临床护理能力、专业技术水平、工作年限、职称和学历等实行分级管理，各层级护士职业晋升路径及标准清晰。</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1.查阅护理人员管理规定（0.2分）；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2.科室根据临床护理能力、专业技术水平、工作年限、职称和学历等实行护士分级管理（0.2分）；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3"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3.层级护士职业晋升路径及标准清晰（0.2分）；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4.访谈护士：分层级管理内容（0.2分）。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2.11.113.4</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根据医院业务发展、岗位需求和护士职业成长规律制定护理人员在职继续医学教育计划 ，保障措施到位，并有实施记录。</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1.查阅护理部、大科、科室</w:t>
            </w:r>
            <w:r>
              <w:rPr>
                <w:rStyle w:val="28"/>
                <w:rFonts w:hint="eastAsia" w:ascii="仿宋_GB2312" w:hAnsi="仿宋_GB2312" w:eastAsia="仿宋_GB2312" w:cs="仿宋_GB2312"/>
                <w:b w:val="0"/>
                <w:bCs w:val="0"/>
                <w:color w:val="000000"/>
                <w:sz w:val="24"/>
                <w:szCs w:val="24"/>
                <w:highlight w:val="none"/>
                <w:lang w:val="en-US" w:eastAsia="zh-CN" w:bidi="ar"/>
              </w:rPr>
              <w:t>或护理部、科室</w:t>
            </w:r>
            <w:r>
              <w:rPr>
                <w:rStyle w:val="29"/>
                <w:rFonts w:hint="eastAsia" w:ascii="仿宋_GB2312" w:hAnsi="仿宋_GB2312" w:eastAsia="仿宋_GB2312" w:cs="仿宋_GB2312"/>
                <w:b w:val="0"/>
                <w:bCs w:val="0"/>
                <w:color w:val="000000"/>
                <w:sz w:val="24"/>
                <w:szCs w:val="24"/>
                <w:highlight w:val="none"/>
                <w:lang w:val="en-US" w:eastAsia="zh-CN" w:bidi="ar"/>
              </w:rPr>
              <w:t>护士在职继续教育计划，计划与医院业务发展、岗位需求和护士职业成长规律一致并落实（0.2分）；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3"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2.培训经费、设备设施完善（0.2分）；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3.科室定期自查、分析、整改并落实（0.3分）；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4.护理部定期监管及追踪整改（0.3分）。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一十四）建立基于护理工作量、质量、患者满意度并结合护理难度、技术要求等要素并以考核护理人员实际工作能力为核心的绩效考核制度，考核结果与护理人员的评优、晋升、薪酬分配相结合，调动护理人员积极性（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7"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2.11.114.1</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建立基于护理工作量、质量、患者满意度并结合护理难度、技术要求等要素为核心的绩效考核制度。绩效考核制度应充分征求护士的意见和建议，并能提供多种途径方便查询。</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1.查阅绩效考核制度及实施方案（0.3分）；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2.绩效方案征求护理人员意见和建议（0.3分）；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3"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3.绩效考核方案可以通过多种途径查询（0.2分）；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4.访谈护士知晓（0.2分）。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2.11.114.2</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考核结果与护理人员的评优、晋升、薪酬分配相结合，体现同岗同酬、多劳多得、优绩优酬，调动护理人员积极性。</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1.绩效考核结果与评优、晋升、薪酬挂钩（0.5分）；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2.绩效分配体现同岗同酬、多劳多得、优绩优酬（0.5分）。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（一百一十五）依据《护士条例》等相关法律法规和规定，规范护理工作，落实优质护理服务。实施责任制整体护理，为患者提供全面、全程、专业、人性化的护理服务（3分）。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9"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2.11.115.1</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依据《护士条例》等相关法律法规和规定，规范护理工作，落实优质护理服务。</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患者访谈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1.查阅优质护理服务工作计划；优质护理服务的保障制度、措施及激励机制（0.3分）；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4"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2.定期征求患者及医护人员意见，对存在问题落实改进追踪（0.3分）；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3.护理部、大科、科室或护理部、科室定期监管及追踪整改（0.3分）；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4.优质护理服务常态化开展并持续改进（0.3分）；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2"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5.访谈员工、患者对优质护理服务工作满意（0.3分）。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2.11.115.2</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实施责任制整体护理，为患者提供全面、全程、专业、人性化的护理服务。</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1.查阅“以患者为中心”的责任制整体护理实施方案（0.3分）；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0"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2.依据患者需求制定个性化护理计划（0.3分）；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3.现场查看责任制整体护理落实（0.3分）；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4.开展延续护理实例（0.3分）；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6"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5.访谈护士</w:t>
            </w:r>
            <w:r>
              <w:rPr>
                <w:rStyle w:val="30"/>
                <w:rFonts w:hint="eastAsia" w:ascii="仿宋_GB2312" w:hAnsi="仿宋_GB2312" w:eastAsia="仿宋_GB2312" w:cs="仿宋_GB2312"/>
                <w:b w:val="0"/>
                <w:bCs w:val="0"/>
                <w:color w:val="000000"/>
                <w:sz w:val="24"/>
                <w:szCs w:val="24"/>
                <w:highlight w:val="none"/>
                <w:lang w:val="en-US" w:eastAsia="zh-CN" w:bidi="ar"/>
              </w:rPr>
              <w:t>知晓</w:t>
            </w:r>
            <w:r>
              <w:rPr>
                <w:rStyle w:val="29"/>
                <w:rFonts w:hint="eastAsia" w:ascii="仿宋_GB2312" w:hAnsi="仿宋_GB2312" w:eastAsia="仿宋_GB2312" w:cs="仿宋_GB2312"/>
                <w:b w:val="0"/>
                <w:bCs w:val="0"/>
                <w:color w:val="000000"/>
                <w:sz w:val="24"/>
                <w:szCs w:val="24"/>
                <w:highlight w:val="none"/>
                <w:lang w:val="en-US" w:eastAsia="zh-CN" w:bidi="ar"/>
              </w:rPr>
              <w:t>患者诊疗信息（0.3分）。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14693"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（一百一十六）根据《综合医院分级护理指导原则》《护理分级》（WS/T431-2013)的原则和要求，进行护理分级，并且按护理级别实施分级护理。有危重患者护理常规，护理措施落实到位（4分）。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2.11.116.1</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根据《综合医院分级护理指导原则》《护理分级》（WS/T 431-2013)的原则和要求，进行护理分级。</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1.查阅分级护理制度（结合医院与专科实际制定）（0.5分）；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2.根据患者病情和自理能力确定护理级别并动态调整（0.5分）；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3.访谈护士：分级护理的内容（0.5分）。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2.11.116.2</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按护理级别实施分级护理，护理措施符合患者实际需要并落实。</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1.实地查看病区分级护理落实</w:t>
            </w:r>
            <w:r>
              <w:rPr>
                <w:rStyle w:val="28"/>
                <w:rFonts w:hint="eastAsia" w:ascii="仿宋_GB2312" w:hAnsi="仿宋_GB2312" w:eastAsia="仿宋_GB2312" w:cs="仿宋_GB2312"/>
                <w:b w:val="0"/>
                <w:bCs w:val="0"/>
                <w:color w:val="000000"/>
                <w:sz w:val="24"/>
                <w:szCs w:val="24"/>
                <w:highlight w:val="none"/>
                <w:lang w:val="en-US" w:eastAsia="zh-CN" w:bidi="ar"/>
              </w:rPr>
              <w:t>（0.5分）；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2.护理部、大科、科室或护理部、科室定期监管</w:t>
            </w:r>
            <w:r>
              <w:rPr>
                <w:rStyle w:val="28"/>
                <w:rFonts w:hint="eastAsia" w:ascii="仿宋_GB2312" w:hAnsi="仿宋_GB2312" w:eastAsia="仿宋_GB2312" w:cs="仿宋_GB2312"/>
                <w:b w:val="0"/>
                <w:bCs w:val="0"/>
                <w:color w:val="000000"/>
                <w:sz w:val="24"/>
                <w:szCs w:val="24"/>
                <w:highlight w:val="none"/>
                <w:lang w:val="en-US" w:eastAsia="zh-CN" w:bidi="ar"/>
              </w:rPr>
              <w:t>（0.5分）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6"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3.抽查1个检查中发现的问题跟踪，对整改措施、整改效果进行评价（0.5分）。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2.11.116.3</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制定危重患者护理常规并落实。</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1.查阅危重患者护理常规、技术规范、风险评估、应急预案和安全防范制度及措施（0.2分）；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2.开展危重患者护理的相关理论知识与操作技能培训考核（0.2分）；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3.现场查看危重患者护理措施落实（0.2分）；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4.护理部、大科、科室或护理部、科室落实监管并追踪整改，体现持续改进（0.2分）；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9"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5.考核护士心肺复苏、心电监护仪、呼吸机、除颤仪、简易呼吸囊操作（0.2分）。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3" w:hRule="atLeast"/>
        </w:trPr>
        <w:tc>
          <w:tcPr>
            <w:tcW w:w="14693"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（一百一十七）护理文书、护理查房、护理会诊和护理病例讨论制度参照《医疗质量安全核心制度要点》执行（2.5分）。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3"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2.11.117.1</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护理文书参照《医疗质量安全核心制度要点》执行。</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1.查阅护理文书书写规范及书写质量考核标准（0.2分）；</w:t>
            </w:r>
          </w:p>
        </w:tc>
        <w:tc>
          <w:tcPr>
            <w:tcW w:w="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4"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2.按照规范完成日常护理文书记录（0.2分）；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3"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3.护理部、大科、科室或</w:t>
            </w:r>
            <w:r>
              <w:rPr>
                <w:rStyle w:val="28"/>
                <w:rFonts w:hint="eastAsia" w:ascii="仿宋_GB2312" w:hAnsi="仿宋_GB2312" w:eastAsia="仿宋_GB2312" w:cs="仿宋_GB2312"/>
                <w:b w:val="0"/>
                <w:bCs w:val="0"/>
                <w:color w:val="000000"/>
                <w:sz w:val="24"/>
                <w:szCs w:val="24"/>
                <w:highlight w:val="none"/>
                <w:lang w:val="en-US" w:eastAsia="zh-CN" w:bidi="ar"/>
              </w:rPr>
              <w:t>护理部、科室</w:t>
            </w:r>
            <w:r>
              <w:rPr>
                <w:rStyle w:val="29"/>
                <w:rFonts w:hint="eastAsia" w:ascii="仿宋_GB2312" w:hAnsi="仿宋_GB2312" w:eastAsia="仿宋_GB2312" w:cs="仿宋_GB2312"/>
                <w:b w:val="0"/>
                <w:bCs w:val="0"/>
                <w:color w:val="000000"/>
                <w:sz w:val="24"/>
                <w:szCs w:val="24"/>
                <w:highlight w:val="none"/>
                <w:lang w:val="en-US" w:eastAsia="zh-CN" w:bidi="ar"/>
              </w:rPr>
              <w:t>落实监管并追踪整改，体现持续改进（0.2分）。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2.11.117.2</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护理查房参照《医疗质量安全核心制度要点》执行。</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1.查阅护理查房制度、年度临床科室查房计划、三级护理业务查房标准（0.3分）；</w:t>
            </w:r>
          </w:p>
        </w:tc>
        <w:tc>
          <w:tcPr>
            <w:tcW w:w="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6"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2.组织开展护理查房（0.2分）；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8"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3.护理部落实监管，追踪整改（0.2分）。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2"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2.11.117.3</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护理会诊参照《医疗质量安全核心制度要点》执行。</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1.查阅护理会诊制度；建立护理MDT团队协作机制和流程，有效解决护理问题（0.2分）；</w:t>
            </w:r>
          </w:p>
        </w:tc>
        <w:tc>
          <w:tcPr>
            <w:tcW w:w="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3"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2.护理会诊记录完善，护理方案有针对性（0.2分）；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8"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3.护理部落实监管，追踪整改（0.2分）。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2.11.117.4</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护理病例讨论制度参照《医疗质量安全核心制度要点》执行。</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1.查阅护理病例讨论制度（0.2分）；</w:t>
            </w:r>
          </w:p>
        </w:tc>
        <w:tc>
          <w:tcPr>
            <w:tcW w:w="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2.组织开展护理病例讨论（0.2分）；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3.护理部落实监管，追踪整改（0.2分）。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14693"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（一百一十八）有临床护理技术操作常见并发症的预防与处理规范。有紧急意外情况的护理应急预案和处理流程，有培训与演练（2分）。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14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2.11.118.1</w:t>
            </w:r>
          </w:p>
        </w:tc>
        <w:tc>
          <w:tcPr>
            <w:tcW w:w="47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制定临床护理技术操作常见并发症的预防与处理规范。</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1.查阅临床护理技术操作常见并发症的预防与处理规范（0.3分）；</w:t>
            </w:r>
          </w:p>
        </w:tc>
        <w:tc>
          <w:tcPr>
            <w:tcW w:w="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2.查看培训计划及落实（0.2分）；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3.科室落实情况的成效有评价并持续改进（0.2分）；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4.护理部、科室定期监管及追踪整改（0.2分）；</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7" w:hRule="atLeast"/>
        </w:trPr>
        <w:tc>
          <w:tcPr>
            <w:tcW w:w="1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5.现场考核护士：常见技术操作及并发症预防、处理流程</w:t>
            </w:r>
            <w:r>
              <w:rPr>
                <w:rStyle w:val="28"/>
                <w:rFonts w:hint="eastAsia" w:ascii="仿宋_GB2312" w:hAnsi="仿宋_GB2312" w:eastAsia="仿宋_GB2312" w:cs="仿宋_GB2312"/>
                <w:b w:val="0"/>
                <w:bCs w:val="0"/>
                <w:color w:val="000000"/>
                <w:sz w:val="24"/>
                <w:szCs w:val="24"/>
                <w:highlight w:val="none"/>
                <w:lang w:val="en-US" w:eastAsia="zh-CN" w:bidi="ar"/>
              </w:rPr>
              <w:t>（0.2分）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2.11.118.2</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制定紧急意外情况如患者突发昏迷、心跳骤停、职业暴露等的护理应急预案和处理流程。</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1.查阅紧急意外情况如患者突发昏迷、心跳骤停、职业暴露等的护理应急预案和处理流程（0.3分）；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2.访谈护士</w:t>
            </w:r>
            <w:r>
              <w:rPr>
                <w:rStyle w:val="30"/>
                <w:rFonts w:hint="eastAsia" w:ascii="仿宋_GB2312" w:hAnsi="仿宋_GB2312" w:eastAsia="仿宋_GB2312" w:cs="仿宋_GB2312"/>
                <w:b w:val="0"/>
                <w:bCs w:val="0"/>
                <w:color w:val="000000"/>
                <w:sz w:val="24"/>
                <w:szCs w:val="24"/>
                <w:highlight w:val="none"/>
                <w:lang w:val="en-US" w:eastAsia="zh-CN" w:bidi="ar"/>
              </w:rPr>
              <w:t>知晓</w:t>
            </w:r>
            <w:r>
              <w:rPr>
                <w:rStyle w:val="29"/>
                <w:rFonts w:hint="eastAsia" w:ascii="仿宋_GB2312" w:hAnsi="仿宋_GB2312" w:eastAsia="仿宋_GB2312" w:cs="仿宋_GB2312"/>
                <w:b w:val="0"/>
                <w:bCs w:val="0"/>
                <w:color w:val="000000"/>
                <w:sz w:val="24"/>
                <w:szCs w:val="24"/>
                <w:highlight w:val="none"/>
                <w:lang w:val="en-US" w:eastAsia="zh-CN" w:bidi="ar"/>
              </w:rPr>
              <w:t>护理应急预案和处理流程（0.2分）。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2.11.118.3</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定期实施相关培训与演练。</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1.查看护理应急预案和处理流程及演练培训（0.2分）；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2.针对演练存在的问题有分析、改进（0.2分）。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(一百一十九)完善洁净手术间护理质量管理与监测相关规定及措施，组织实施并持续改进（1.5分）。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1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2.11.119.1</w:t>
            </w:r>
          </w:p>
        </w:tc>
        <w:tc>
          <w:tcPr>
            <w:tcW w:w="473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完善洁净手术间护理质量管理与监测相关规定及措施，组织实施并持续改进。</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1.现场查看洁净手术间建筑布局，工作流程符合要求（0.3分）；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2.核查洁净手术间护理人员与洁净手术间之比不低于1∶1；洁净手术间工作经历2年以内护理数占总数≤20%；手术室护士长具备主管护师及以上专业技术职务任职资格和5年及以上洁净手术间工作经验（0.2分）；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3.查阅洁净手术间制度、职责、操作流程、应急预案，按计划落实培训（0.2分）；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4.现场查看</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洁净手术间</w:t>
            </w:r>
            <w:r>
              <w:rPr>
                <w:rStyle w:val="29"/>
                <w:rFonts w:hint="eastAsia" w:ascii="仿宋_GB2312" w:hAnsi="仿宋_GB2312" w:eastAsia="仿宋_GB2312" w:cs="仿宋_GB2312"/>
                <w:b w:val="0"/>
                <w:bCs w:val="0"/>
                <w:color w:val="000000"/>
                <w:sz w:val="24"/>
                <w:szCs w:val="24"/>
                <w:highlight w:val="none"/>
                <w:lang w:val="en-US" w:eastAsia="zh-CN" w:bidi="ar"/>
              </w:rPr>
              <w:t>护理质量管理与监测：随机抽查1台手术患者交接、安全核查、体位安全、手术物品清点、标本管理等</w:t>
            </w:r>
            <w:r>
              <w:rPr>
                <w:rStyle w:val="28"/>
                <w:rFonts w:hint="eastAsia" w:ascii="仿宋_GB2312" w:hAnsi="仿宋_GB2312" w:eastAsia="仿宋_GB2312" w:cs="仿宋_GB2312"/>
                <w:b w:val="0"/>
                <w:bCs w:val="0"/>
                <w:color w:val="000000"/>
                <w:sz w:val="24"/>
                <w:szCs w:val="24"/>
                <w:highlight w:val="none"/>
                <w:lang w:val="en-US" w:eastAsia="zh-CN" w:bidi="ar"/>
              </w:rPr>
              <w:t>（0.2分）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1"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5.现场查洁净手术间感染预防与控制管理制度落实：定期开展空气质量、环境、手术器械等监测（0.2分）；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2"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6.院感、护理部、科室或</w:t>
            </w:r>
            <w:r>
              <w:rPr>
                <w:rStyle w:val="28"/>
                <w:rFonts w:hint="eastAsia" w:ascii="仿宋_GB2312" w:hAnsi="仿宋_GB2312" w:eastAsia="仿宋_GB2312" w:cs="仿宋_GB2312"/>
                <w:b w:val="0"/>
                <w:bCs w:val="0"/>
                <w:color w:val="000000"/>
                <w:sz w:val="24"/>
                <w:szCs w:val="24"/>
                <w:highlight w:val="none"/>
                <w:lang w:val="en-US" w:eastAsia="zh-CN" w:bidi="ar"/>
              </w:rPr>
              <w:t>护理部、科室</w:t>
            </w:r>
            <w:r>
              <w:rPr>
                <w:rStyle w:val="29"/>
                <w:rFonts w:hint="eastAsia" w:ascii="仿宋_GB2312" w:hAnsi="仿宋_GB2312" w:eastAsia="仿宋_GB2312" w:cs="仿宋_GB2312"/>
                <w:b w:val="0"/>
                <w:bCs w:val="0"/>
                <w:color w:val="000000"/>
                <w:sz w:val="24"/>
                <w:szCs w:val="24"/>
                <w:highlight w:val="none"/>
                <w:lang w:val="en-US" w:eastAsia="zh-CN" w:bidi="ar"/>
              </w:rPr>
              <w:t>落实监管并追踪整改，体现持续改进（0.2分）；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1445"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3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7.员工操作及访谈（0.2分）。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bl>
    <w:p>
      <w:pPr>
        <w:pStyle w:val="5"/>
        <w:bidi w:val="0"/>
        <w:rPr>
          <w:rFonts w:hint="eastAsia"/>
          <w:color w:val="000000"/>
          <w:lang w:eastAsia="zh-CN"/>
        </w:rPr>
      </w:pPr>
    </w:p>
    <w:p>
      <w:pPr>
        <w:pStyle w:val="5"/>
        <w:bidi w:val="0"/>
        <w:rPr>
          <w:rFonts w:hint="default"/>
          <w:color w:val="000000"/>
          <w:lang w:val="en-US"/>
        </w:rPr>
      </w:pPr>
      <w:bookmarkStart w:id="181" w:name="_Toc24812"/>
      <w:bookmarkStart w:id="182" w:name="_Toc601"/>
      <w:r>
        <w:rPr>
          <w:rFonts w:hint="eastAsia"/>
          <w:color w:val="000000"/>
          <w:lang w:val="en-US" w:eastAsia="zh-CN"/>
        </w:rPr>
        <w:t>十二</w:t>
      </w:r>
      <w:r>
        <w:rPr>
          <w:rFonts w:hint="eastAsia"/>
          <w:color w:val="000000"/>
          <w:lang w:eastAsia="zh-CN"/>
        </w:rPr>
        <w:t>、</w:t>
      </w:r>
      <w:r>
        <w:rPr>
          <w:rFonts w:hint="eastAsia"/>
          <w:color w:val="000000"/>
        </w:rPr>
        <w:t>药事管理与临床药学服务质量保障与持续改进</w:t>
      </w:r>
      <w:r>
        <w:rPr>
          <w:rFonts w:hint="eastAsia"/>
          <w:color w:val="000000"/>
          <w:lang w:val="en-US" w:eastAsia="zh-CN"/>
        </w:rPr>
        <w:t>（12分）</w:t>
      </w:r>
      <w:bookmarkEnd w:id="181"/>
      <w:bookmarkEnd w:id="182"/>
      <w:r>
        <w:rPr>
          <w:rFonts w:hint="eastAsia"/>
          <w:color w:val="000000"/>
          <w:lang w:val="en-US" w:eastAsia="zh-CN"/>
        </w:rPr>
        <w:t xml:space="preserve">  </w:t>
      </w:r>
    </w:p>
    <w:tbl>
      <w:tblPr>
        <w:tblStyle w:val="14"/>
        <w:tblW w:w="14693"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03"/>
        <w:gridCol w:w="4677"/>
        <w:gridCol w:w="1617"/>
        <w:gridCol w:w="6136"/>
        <w:gridCol w:w="7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8" w:hRule="atLeast"/>
          <w:tblHeader/>
        </w:trPr>
        <w:tc>
          <w:tcPr>
            <w:tcW w:w="6180" w:type="dxa"/>
            <w:gridSpan w:val="2"/>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评审指标细则</w:t>
            </w:r>
          </w:p>
        </w:tc>
        <w:tc>
          <w:tcPr>
            <w:tcW w:w="1617"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评审方法</w:t>
            </w:r>
          </w:p>
        </w:tc>
        <w:tc>
          <w:tcPr>
            <w:tcW w:w="6136"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评分细则</w:t>
            </w:r>
          </w:p>
        </w:tc>
        <w:tc>
          <w:tcPr>
            <w:tcW w:w="760"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（一百二十）医院药事管理工作和药学部门设置以及人员配备符合国家相关法律、法规及规章制度的要求；建立与完善医院药事管理组织，完善药事管理与临床药学服务各项规章制度并组织实施（2.8分）。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5"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2.12.120.1</w:t>
            </w:r>
          </w:p>
        </w:tc>
        <w:tc>
          <w:tcPr>
            <w:tcW w:w="4677"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建立与完善医院药事管理组织，有工作职责、制度和计划，并落实。</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1.建立健全药事管理与药物治疗学委员会，制定委员会制度、职责（0.2分）；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r>
              <w:rPr>
                <w:rFonts w:hint="eastAsia" w:ascii="仿宋_GB2312" w:hAnsi="仿宋_GB2312" w:eastAsia="仿宋_GB2312" w:cs="仿宋_GB2312"/>
                <w:b w:val="0"/>
                <w:bCs w:val="0"/>
                <w:i w:val="0"/>
                <w:iCs w:val="0"/>
                <w:color w:val="000000"/>
                <w:kern w:val="0"/>
                <w:sz w:val="24"/>
                <w:szCs w:val="24"/>
                <w:highlight w:val="none"/>
                <w:u w:val="none"/>
                <w:shd w:val="clear" w:color="auto" w:fill="auto"/>
                <w:lang w:val="en-US" w:eastAsia="zh-CN" w:bidi="ar"/>
              </w:rPr>
              <w:t>.组织架构合理，体现医务部门专人负责与医疗机构药物治疗相关性的管理工作（0.2分）；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3.定期（一年不少于4次）召开委员会常规会议</w:t>
            </w:r>
            <w:r>
              <w:rPr>
                <w:rStyle w:val="28"/>
                <w:rFonts w:hint="eastAsia" w:ascii="仿宋_GB2312" w:hAnsi="仿宋_GB2312" w:eastAsia="仿宋_GB2312" w:cs="仿宋_GB2312"/>
                <w:b w:val="0"/>
                <w:bCs w:val="0"/>
                <w:color w:val="000000"/>
                <w:sz w:val="24"/>
                <w:szCs w:val="24"/>
                <w:highlight w:val="none"/>
                <w:lang w:val="en-US" w:eastAsia="zh-CN" w:bidi="ar"/>
              </w:rPr>
              <w:t>；</w:t>
            </w:r>
            <w:r>
              <w:rPr>
                <w:rStyle w:val="30"/>
                <w:rFonts w:hint="eastAsia" w:ascii="仿宋_GB2312" w:hAnsi="仿宋_GB2312" w:eastAsia="仿宋_GB2312" w:cs="仿宋_GB2312"/>
                <w:b w:val="0"/>
                <w:bCs w:val="0"/>
                <w:color w:val="000000"/>
                <w:sz w:val="24"/>
                <w:szCs w:val="24"/>
                <w:highlight w:val="none"/>
                <w:lang w:val="en-US" w:eastAsia="zh-CN" w:bidi="ar"/>
              </w:rPr>
              <w:t>委员会会议有会议记录、会议纪要、决议执行单，执行效果追踪等</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8"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4.药事管理工作有年度计划和总结，对未完成的计划有分析，并有措施（0.2分）；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5.访谈员工知晓（0.2分）。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2.12.120.2</w:t>
            </w:r>
          </w:p>
        </w:tc>
        <w:tc>
          <w:tcPr>
            <w:tcW w:w="4677"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医院药事管理机构和药学部门设置以及人员配备符合国家相关法律、法规及规章制度的要求。</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1.药事管理工作机构和药学部门设置符合要求（0.3分）；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2"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2.药学部负责人资质符合要求（0.3分）；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3.在药学部门从事药学技术工作的人员配备达标，</w:t>
            </w:r>
            <w:r>
              <w:rPr>
                <w:rStyle w:val="28"/>
                <w:rFonts w:hint="eastAsia" w:ascii="仿宋_GB2312" w:hAnsi="仿宋_GB2312" w:eastAsia="仿宋_GB2312" w:cs="仿宋_GB2312"/>
                <w:b w:val="0"/>
                <w:bCs w:val="0"/>
                <w:color w:val="000000"/>
                <w:sz w:val="24"/>
                <w:szCs w:val="24"/>
                <w:highlight w:val="none"/>
                <w:lang w:val="en-US" w:eastAsia="zh-CN" w:bidi="ar"/>
              </w:rPr>
              <w:t>每百张病床药师人数配备不少于6名</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0"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2.12.120.3</w:t>
            </w:r>
          </w:p>
        </w:tc>
        <w:tc>
          <w:tcPr>
            <w:tcW w:w="4677"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完善药事管理与临床药学服务各项规章制度并组织实施。</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1.药事管理与临床药学服务各项规章制度完善</w:t>
            </w:r>
            <w:r>
              <w:rPr>
                <w:rStyle w:val="28"/>
                <w:rFonts w:hint="eastAsia" w:ascii="仿宋_GB2312" w:hAnsi="仿宋_GB2312" w:eastAsia="仿宋_GB2312" w:cs="仿宋_GB2312"/>
                <w:b w:val="0"/>
                <w:bCs w:val="0"/>
                <w:color w:val="000000"/>
                <w:sz w:val="24"/>
                <w:szCs w:val="24"/>
                <w:highlight w:val="none"/>
                <w:lang w:val="en-US" w:eastAsia="zh-CN" w:bidi="ar"/>
              </w:rPr>
              <w:t>（0.3分）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0"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2.有药事管理与临床药学服务工作记录和总结</w:t>
            </w:r>
            <w:r>
              <w:rPr>
                <w:rStyle w:val="28"/>
                <w:rFonts w:hint="eastAsia" w:ascii="仿宋_GB2312" w:hAnsi="仿宋_GB2312" w:eastAsia="仿宋_GB2312" w:cs="仿宋_GB2312"/>
                <w:b w:val="0"/>
                <w:bCs w:val="0"/>
                <w:color w:val="000000"/>
                <w:sz w:val="24"/>
                <w:szCs w:val="24"/>
                <w:highlight w:val="none"/>
                <w:lang w:val="en-US" w:eastAsia="zh-CN" w:bidi="ar"/>
              </w:rPr>
              <w:t>（0.4分）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1"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3.访谈员工知晓（0.3分）。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2"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（一百二十一）加强药品管理，规范药品遴选、采购、储存、调剂，建立全流程监测系统，保障药品质量和供应（1分）。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2"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2.12.121.1</w:t>
            </w:r>
          </w:p>
        </w:tc>
        <w:tc>
          <w:tcPr>
            <w:tcW w:w="4677"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加强药品管理，规范药品遴选、采购、储存、调剂、召回工作，建立全流程监测系统，保障药品质量和供应。</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1.有保障药品供应保障与质量管理制度体系，应包括有药品遴选制度、药品采购管理、药品贮存相关制度、药品有效期管理相关制度、药品调剂制度、召回等并落实（0.2分）；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1"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28"/>
                <w:rFonts w:hint="eastAsia" w:ascii="仿宋_GB2312" w:hAnsi="仿宋_GB2312" w:eastAsia="仿宋_GB2312" w:cs="仿宋_GB2312"/>
                <w:b w:val="0"/>
                <w:bCs w:val="0"/>
                <w:color w:val="000000"/>
                <w:sz w:val="24"/>
                <w:szCs w:val="24"/>
                <w:highlight w:val="none"/>
                <w:lang w:val="en-US" w:eastAsia="zh-CN" w:bidi="ar"/>
              </w:rPr>
              <w:t>医院HIS系统或者合理用药系统能查阅药品说明书，品规数符合规定（0.2分）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8"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3.药品贮存场所、设施与设备满足药品质量要求（0.2分）；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4.药品有全流程监测信息系统支持（0.2分）；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7"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5.有适宜的合理用药监控系统（0.1分）；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6.访谈员工知晓（0.1分）。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1"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（一百二十二）实施临床药师制，积极参与临床药物治疗，促进合理用药，拓展药学服务范围。加强临床药师队伍建设和培训，提高临床药学服务能力和水平（1分）。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8"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2.12.122.1</w:t>
            </w:r>
          </w:p>
        </w:tc>
        <w:tc>
          <w:tcPr>
            <w:tcW w:w="4677"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实施临床药师制，按相关规定配备药师，积极参与临床药物治疗，促进合理用药，拓展药学服务范围。</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1.建立临床药师制（0.1分）；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2.临床药师配备数量符合国家相关规定，</w:t>
            </w:r>
            <w:r>
              <w:rPr>
                <w:rStyle w:val="28"/>
                <w:rFonts w:hint="eastAsia" w:ascii="仿宋_GB2312" w:hAnsi="仿宋_GB2312" w:eastAsia="仿宋_GB2312" w:cs="仿宋_GB2312"/>
                <w:b w:val="0"/>
                <w:bCs w:val="0"/>
                <w:color w:val="000000"/>
                <w:sz w:val="24"/>
                <w:szCs w:val="24"/>
                <w:highlight w:val="none"/>
                <w:lang w:val="en-US" w:eastAsia="zh-CN" w:bidi="ar"/>
              </w:rPr>
              <w:t>每百张病床临床药师人数配备不少于0.6名（0.1分）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3.至少在2类药物的临床应用中设有临床药师，其工作至少覆盖2个以上临床专业科室（0.1分）；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4.临床药师按有关规定参与临床药物治疗相关工作的时间＞85%（0.1分）；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5.临床药师日常性药物治疗工作有记录，（0.1分）；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8"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6.访谈医生、护士、患者对临床药师及其工作知晓（0.1分）；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3"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7.病历和病案，体现药师参与临床药物治疗（0.1分）；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8.有开设药学门诊，或开展社区药学服务、在线药学咨询等工作（0.1分）。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3" w:hRule="atLeast"/>
        </w:trPr>
        <w:tc>
          <w:tcPr>
            <w:tcW w:w="150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2.12.122.2</w:t>
            </w:r>
          </w:p>
        </w:tc>
        <w:tc>
          <w:tcPr>
            <w:tcW w:w="467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加强临床药师队伍建设和培训，提高临床药学服务能力和水平。</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1.有临床药师培养计划</w:t>
            </w:r>
            <w:r>
              <w:rPr>
                <w:rStyle w:val="30"/>
                <w:rFonts w:hint="eastAsia" w:ascii="仿宋_GB2312" w:hAnsi="仿宋_GB2312" w:eastAsia="仿宋_GB2312" w:cs="仿宋_GB2312"/>
                <w:b w:val="0"/>
                <w:bCs w:val="0"/>
                <w:color w:val="000000"/>
                <w:sz w:val="24"/>
                <w:szCs w:val="24"/>
                <w:highlight w:val="none"/>
                <w:lang w:val="en-US" w:eastAsia="zh-CN" w:bidi="ar"/>
              </w:rPr>
              <w:t>并落实</w:t>
            </w:r>
            <w:r>
              <w:rPr>
                <w:rStyle w:val="29"/>
                <w:rFonts w:hint="eastAsia" w:ascii="仿宋_GB2312" w:hAnsi="仿宋_GB2312" w:eastAsia="仿宋_GB2312" w:cs="仿宋_GB2312"/>
                <w:b w:val="0"/>
                <w:bCs w:val="0"/>
                <w:color w:val="000000"/>
                <w:sz w:val="24"/>
                <w:szCs w:val="24"/>
                <w:highlight w:val="none"/>
                <w:lang w:val="en-US" w:eastAsia="zh-CN" w:bidi="ar"/>
              </w:rPr>
              <w:t>（0.05分）；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9"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2.临床药师参与医院各临床科室诊疗（0.05分）；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3.临床药师参与皮肤病专科疾病药学服务（0.05分）；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4"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4.访谈员工知晓（0.05分）。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8" w:hRule="atLeast"/>
        </w:trPr>
        <w:tc>
          <w:tcPr>
            <w:tcW w:w="14693"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（一百二十三）按照有关法律法规、部门规章及临床用药指南和标准，加强抗菌药物、麻醉药品和精神药品、毒性药品、激素类药物、重点监控药物、基本药物、中药注射剂临床应用规范化管理（3.7分）。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0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2.12.123.1</w:t>
            </w:r>
          </w:p>
        </w:tc>
        <w:tc>
          <w:tcPr>
            <w:tcW w:w="467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按照有关法律法规、部门规章及临床用药指南和原则，加强抗菌药物临床应用规范化管理。</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1.成立抗菌药物管理小组，制定管理小组制度和职责（0.2分）；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2.有抗菌药物临床应用和管理相关制度和规定，培训和考核资料，</w:t>
            </w:r>
            <w:r>
              <w:rPr>
                <w:rStyle w:val="28"/>
                <w:rFonts w:hint="eastAsia" w:ascii="仿宋_GB2312" w:hAnsi="仿宋_GB2312" w:eastAsia="仿宋_GB2312" w:cs="仿宋_GB2312"/>
                <w:b w:val="0"/>
                <w:bCs w:val="0"/>
                <w:color w:val="000000"/>
                <w:sz w:val="24"/>
                <w:szCs w:val="24"/>
                <w:highlight w:val="none"/>
                <w:lang w:val="en-US" w:eastAsia="zh-CN" w:bidi="ar"/>
              </w:rPr>
              <w:t>每年至少一次培训</w:t>
            </w:r>
            <w:r>
              <w:rPr>
                <w:rStyle w:val="29"/>
                <w:rFonts w:hint="eastAsia" w:ascii="仿宋_GB2312" w:hAnsi="仿宋_GB2312" w:eastAsia="仿宋_GB2312" w:cs="仿宋_GB2312"/>
                <w:b w:val="0"/>
                <w:bCs w:val="0"/>
                <w:color w:val="000000"/>
                <w:sz w:val="24"/>
                <w:szCs w:val="24"/>
                <w:highlight w:val="none"/>
                <w:lang w:val="en-US" w:eastAsia="zh-CN" w:bidi="ar"/>
              </w:rPr>
              <w:t>（0.3分）；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7"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3.抗菌药物品规数、抗菌药物点评情况、抗菌药物合理使用指标符合要求（0.2分）；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6"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4.访谈员工知晓（0.2分）；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5.病历和病案有体现应用规范化管理（0.1分）。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7" w:hRule="atLeast"/>
        </w:trPr>
        <w:tc>
          <w:tcPr>
            <w:tcW w:w="150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2.12.123.2</w:t>
            </w:r>
          </w:p>
        </w:tc>
        <w:tc>
          <w:tcPr>
            <w:tcW w:w="467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按照有关法律法规、部门规章及临床用药指南和原则，加强麻醉药品和精神药品、毒性药品临床应用规范化管理。</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1.有麻醉药品、精神药品、毒性药品临床应用和管理相关制度和规定，培训和考核资料，</w:t>
            </w:r>
            <w:r>
              <w:rPr>
                <w:rStyle w:val="28"/>
                <w:rFonts w:hint="eastAsia" w:ascii="仿宋_GB2312" w:hAnsi="仿宋_GB2312" w:eastAsia="仿宋_GB2312" w:cs="仿宋_GB2312"/>
                <w:b w:val="0"/>
                <w:bCs w:val="0"/>
                <w:color w:val="000000"/>
                <w:sz w:val="24"/>
                <w:szCs w:val="24"/>
                <w:highlight w:val="none"/>
                <w:lang w:val="en-US" w:eastAsia="zh-CN" w:bidi="ar"/>
              </w:rPr>
              <w:t>每年至少一次培训</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6"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2.现场检查药学部门和临床使用部门“麻醉药品、第一类精神药品或第二类精神药品”储存和管理，符合相关管理规定（0.3分）；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3.访谈员工知晓（0.2分）。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150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2.12.123.3</w:t>
            </w:r>
          </w:p>
        </w:tc>
        <w:tc>
          <w:tcPr>
            <w:tcW w:w="467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按照有关法律法规、部门规章及临床用药指南和原则，加强激素类药物临床应用规范化管理。</w:t>
            </w:r>
          </w:p>
        </w:tc>
        <w:tc>
          <w:tcPr>
            <w:tcW w:w="16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1.有激素类药物，培训和考核资料</w:t>
            </w:r>
            <w:r>
              <w:rPr>
                <w:rStyle w:val="28"/>
                <w:rFonts w:hint="eastAsia" w:ascii="仿宋_GB2312" w:hAnsi="仿宋_GB2312" w:eastAsia="仿宋_GB2312" w:cs="仿宋_GB2312"/>
                <w:b w:val="0"/>
                <w:bCs w:val="0"/>
                <w:color w:val="000000"/>
                <w:sz w:val="24"/>
                <w:szCs w:val="24"/>
                <w:highlight w:val="none"/>
                <w:lang w:val="en-US" w:eastAsia="zh-CN" w:bidi="ar"/>
              </w:rPr>
              <w:t>（0.2分）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6"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2.有激素类药物分级管理目录（0.2分）；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3.访谈员工知晓（0.3分）；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1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4.病历有体现应用规范化管理（0.3分）。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2.12.123.4</w:t>
            </w:r>
          </w:p>
        </w:tc>
        <w:tc>
          <w:tcPr>
            <w:tcW w:w="4677"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按照有关法律法规、部门规章及临床用药指南</w:t>
            </w:r>
            <w:r>
              <w:rPr>
                <w:rStyle w:val="28"/>
                <w:rFonts w:hint="eastAsia" w:ascii="仿宋_GB2312" w:hAnsi="仿宋_GB2312" w:eastAsia="仿宋_GB2312" w:cs="仿宋_GB2312"/>
                <w:b w:val="0"/>
                <w:bCs w:val="0"/>
                <w:color w:val="000000"/>
                <w:sz w:val="24"/>
                <w:szCs w:val="24"/>
                <w:highlight w:val="none"/>
                <w:lang w:val="en-US" w:eastAsia="zh-CN" w:bidi="ar"/>
              </w:rPr>
              <w:t>和原则</w:t>
            </w:r>
            <w:r>
              <w:rPr>
                <w:rStyle w:val="29"/>
                <w:rFonts w:hint="eastAsia" w:ascii="仿宋_GB2312" w:hAnsi="仿宋_GB2312" w:eastAsia="仿宋_GB2312" w:cs="仿宋_GB2312"/>
                <w:b w:val="0"/>
                <w:bCs w:val="0"/>
                <w:color w:val="000000"/>
                <w:sz w:val="24"/>
                <w:szCs w:val="24"/>
                <w:highlight w:val="none"/>
                <w:lang w:val="en-US" w:eastAsia="zh-CN" w:bidi="ar"/>
              </w:rPr>
              <w:t>，加强重点监控药物、基本药物、中药注射剂临床应用规范化管理。</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1.在评审周期内，有重点监控药物、基本药物、中药注射剂相应的管理制度和规定（0.2分）；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2.重点监控药物药品目录符合规定（0.2分）；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1"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3.重点监控药物使用金额符合规定（0.2分）；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3"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4.访谈员工知晓（0.2分）；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5.病历有体现应用规范化管理（0.2分）。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4"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（一百二十四）依照《处方管理办法》等有关规定，规范开展处方审核和处方点评，并持续改进（2分）。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2.12.124.1</w:t>
            </w:r>
          </w:p>
        </w:tc>
        <w:tc>
          <w:tcPr>
            <w:tcW w:w="4677"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依照《处方管理办法》等有关规定，规范开展处方审核、处方点评，并持续改进。</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1.有医院处方管理制度、处方审核和医院处方点评制度（0.2分）；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2.每年至少培训1次，有记录有考核（0.2分）；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3.按规定授予处方开具和调剂权限（0.2分）；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3"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4.落实处方点评制度，开展点评处方（病历）数符合相关规定（0.2分）；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5.对不合理处方有分析、有总结，有干预，有记录（0.2分）；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6.</w:t>
            </w:r>
            <w:r>
              <w:rPr>
                <w:rStyle w:val="30"/>
                <w:rFonts w:hint="eastAsia" w:ascii="仿宋_GB2312" w:hAnsi="仿宋_GB2312" w:eastAsia="仿宋_GB2312" w:cs="仿宋_GB2312"/>
                <w:b w:val="0"/>
                <w:bCs w:val="0"/>
                <w:color w:val="000000"/>
                <w:sz w:val="24"/>
                <w:szCs w:val="24"/>
                <w:highlight w:val="none"/>
                <w:lang w:val="en-US" w:eastAsia="zh-CN" w:bidi="ar"/>
              </w:rPr>
              <w:t>职能部门</w:t>
            </w:r>
            <w:r>
              <w:rPr>
                <w:rStyle w:val="29"/>
                <w:rFonts w:hint="eastAsia" w:ascii="仿宋_GB2312" w:hAnsi="仿宋_GB2312" w:eastAsia="仿宋_GB2312" w:cs="仿宋_GB2312"/>
                <w:b w:val="0"/>
                <w:bCs w:val="0"/>
                <w:color w:val="000000"/>
                <w:sz w:val="24"/>
                <w:szCs w:val="24"/>
                <w:highlight w:val="none"/>
                <w:lang w:val="en-US" w:eastAsia="zh-CN" w:bidi="ar"/>
              </w:rPr>
              <w:t>对处方点评工作进行监管</w:t>
            </w:r>
            <w:r>
              <w:rPr>
                <w:rStyle w:val="30"/>
                <w:rFonts w:hint="eastAsia" w:ascii="仿宋_GB2312" w:hAnsi="仿宋_GB2312" w:eastAsia="仿宋_GB2312" w:cs="仿宋_GB2312"/>
                <w:b w:val="0"/>
                <w:bCs w:val="0"/>
                <w:color w:val="000000"/>
                <w:sz w:val="24"/>
                <w:szCs w:val="24"/>
                <w:highlight w:val="none"/>
                <w:lang w:val="en-US" w:eastAsia="zh-CN" w:bidi="ar"/>
              </w:rPr>
              <w:t>并体现持续改进</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4"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7.医师处方签名或签章式样，在医务部门备案、药学部存档；医师在处方和用药医嘱中的签字或签章与留样一致；实施电子签名的有相应管理措施（0.2分）；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8.访谈员工知晓（0.2分）；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7"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9.病历和病案检查处方合理（0.2分）；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10.现场检查员工操作规范（0.2分）。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1"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（一百二十五）建立药物监测和警戒制度，观察用药过程，监测用药效果，按规定报告药物不良反应并反馈临床，不良反应情况应记入病历1.5分）。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7"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2.12.125.1</w:t>
            </w:r>
          </w:p>
        </w:tc>
        <w:tc>
          <w:tcPr>
            <w:tcW w:w="4677"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建立药物监测和警戒制度，实现药品不良反应监测信息与国家药品监管数据共享平台的对接。观察用药过程，监测用药效果，按规定报告药物不良反应并反馈临床。</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w:t>
            </w:r>
            <w:r>
              <w:rPr>
                <w:rStyle w:val="30"/>
                <w:rFonts w:hint="eastAsia" w:ascii="仿宋_GB2312" w:hAnsi="仿宋_GB2312" w:eastAsia="仿宋_GB2312" w:cs="仿宋_GB2312"/>
                <w:b w:val="0"/>
                <w:bCs w:val="0"/>
                <w:color w:val="000000"/>
                <w:sz w:val="24"/>
                <w:szCs w:val="24"/>
                <w:highlight w:val="none"/>
                <w:lang w:val="en-US" w:eastAsia="zh-CN" w:bidi="ar"/>
              </w:rPr>
              <w:t>建立</w:t>
            </w:r>
            <w:r>
              <w:rPr>
                <w:rStyle w:val="29"/>
                <w:rFonts w:hint="eastAsia" w:ascii="仿宋_GB2312" w:hAnsi="仿宋_GB2312" w:eastAsia="仿宋_GB2312" w:cs="仿宋_GB2312"/>
                <w:b w:val="0"/>
                <w:bCs w:val="0"/>
                <w:color w:val="000000"/>
                <w:sz w:val="24"/>
                <w:szCs w:val="24"/>
                <w:highlight w:val="none"/>
                <w:lang w:val="en-US" w:eastAsia="zh-CN" w:bidi="ar"/>
              </w:rPr>
              <w:t>有药物监测和警戒制度（0.2分）；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2.有观察用药过程，监测用药效果记录（0.2分）；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3.开展药品不良反应监测，实现药品不良反应监测信息与国家药品监管数据共享平台的对接，按规定报告（0.2分）；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4.药品不良反应监测定期总结和反馈（0.2分）；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2"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5.访谈员工知晓（0.2分）。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4" w:hRule="atLeast"/>
        </w:trPr>
        <w:tc>
          <w:tcPr>
            <w:tcW w:w="150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2.12.125.2</w:t>
            </w:r>
          </w:p>
        </w:tc>
        <w:tc>
          <w:tcPr>
            <w:tcW w:w="4677"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不良反应情况应记入病历。</w:t>
            </w:r>
          </w:p>
        </w:tc>
        <w:tc>
          <w:tcPr>
            <w:tcW w:w="1617"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color w:val="000000"/>
                <w:sz w:val="24"/>
                <w:szCs w:val="24"/>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现场检查已上报不良反应的病案，病历有记录（0.1分）。</w:t>
            </w:r>
          </w:p>
        </w:tc>
        <w:tc>
          <w:tcPr>
            <w:tcW w:w="760"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9" w:hRule="atLeast"/>
        </w:trPr>
        <w:tc>
          <w:tcPr>
            <w:tcW w:w="150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2.12.125.3</w:t>
            </w:r>
          </w:p>
        </w:tc>
        <w:tc>
          <w:tcPr>
            <w:tcW w:w="4677"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发现药品质量问题时，药学部门应当立即进行药品追溯和质量评估，查清原因，必要时可立即暂停使用相关药品。</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1.有药品质量管理相关制度和相应的应急预案与流程（0.2分）；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7" w:hRule="atLeast"/>
        </w:trPr>
        <w:tc>
          <w:tcPr>
            <w:tcW w:w="150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677"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2.发现药品质量问题时，药学部门应当立即进行药品追溯和质量评估，查清原因，必要时可立即暂停使用相关药品，有记录（0.2分）。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bl>
    <w:p>
      <w:pPr>
        <w:pStyle w:val="5"/>
        <w:bidi w:val="0"/>
        <w:outlineLvl w:val="9"/>
        <w:rPr>
          <w:rFonts w:hint="eastAsia"/>
          <w:color w:val="000000"/>
          <w:lang w:eastAsia="zh-CN"/>
        </w:rPr>
      </w:pPr>
    </w:p>
    <w:p>
      <w:pPr>
        <w:pStyle w:val="5"/>
        <w:bidi w:val="0"/>
        <w:rPr>
          <w:rFonts w:hint="eastAsia"/>
          <w:color w:val="000000"/>
          <w:lang w:val="en-US"/>
        </w:rPr>
      </w:pPr>
      <w:bookmarkStart w:id="183" w:name="_Toc15197"/>
      <w:bookmarkStart w:id="184" w:name="_Toc8065"/>
      <w:r>
        <w:rPr>
          <w:rFonts w:hint="eastAsia"/>
          <w:color w:val="000000"/>
          <w:lang w:val="en-US" w:eastAsia="zh-CN"/>
        </w:rPr>
        <w:br w:type="page"/>
      </w:r>
      <w:r>
        <w:rPr>
          <w:rFonts w:hint="eastAsia"/>
          <w:color w:val="000000"/>
          <w:lang w:val="en-US" w:eastAsia="zh-CN"/>
        </w:rPr>
        <w:t>十三</w:t>
      </w:r>
      <w:r>
        <w:rPr>
          <w:rFonts w:hint="eastAsia"/>
          <w:color w:val="000000"/>
          <w:lang w:eastAsia="zh-CN"/>
        </w:rPr>
        <w:t>、检查检验质量保障与持续改进</w:t>
      </w:r>
      <w:r>
        <w:rPr>
          <w:rFonts w:hint="eastAsia"/>
          <w:color w:val="000000"/>
          <w:lang w:val="en-US" w:eastAsia="zh-CN"/>
        </w:rPr>
        <w:t>（14分）</w:t>
      </w:r>
      <w:bookmarkEnd w:id="183"/>
      <w:bookmarkEnd w:id="184"/>
      <w:r>
        <w:rPr>
          <w:rFonts w:hint="eastAsia"/>
          <w:color w:val="000000"/>
          <w:lang w:val="en-US" w:eastAsia="zh-CN"/>
        </w:rPr>
        <w:t xml:space="preserve"> </w:t>
      </w:r>
    </w:p>
    <w:tbl>
      <w:tblPr>
        <w:tblStyle w:val="14"/>
        <w:tblW w:w="14693"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28"/>
        <w:gridCol w:w="4752"/>
        <w:gridCol w:w="1617"/>
        <w:gridCol w:w="6136"/>
        <w:gridCol w:w="7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9" w:hRule="atLeast"/>
          <w:tblHeader/>
        </w:trPr>
        <w:tc>
          <w:tcPr>
            <w:tcW w:w="6180" w:type="dxa"/>
            <w:gridSpan w:val="2"/>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评审指标细则</w:t>
            </w:r>
          </w:p>
        </w:tc>
        <w:tc>
          <w:tcPr>
            <w:tcW w:w="1617"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评审方法</w:t>
            </w:r>
          </w:p>
        </w:tc>
        <w:tc>
          <w:tcPr>
            <w:tcW w:w="6136"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评分细则</w:t>
            </w:r>
          </w:p>
        </w:tc>
        <w:tc>
          <w:tcPr>
            <w:tcW w:w="760"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（一百二十六）临床检验部门、病理部门、医学影像部门设置布局、设备设施分别符合相应规范标准，服务满足临床需要（1.5分）。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2.13.126.1</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临床检验部门、病理部门、医学影像部门设置布局符合相应规范标准，服务满足临床需要。</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1.各部门区域布局符合国家相应规范，人、物、标本和污物流向无交叉污染、避免辐射且方便工作（0.1分）；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3"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2.人员配置合理、满足工作需要（0.2分）；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3.服务流程合理，无相关质量安全隐患（0.2分）。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9"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2.13.126.2</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临床检验部门、病理部门、医学影像部门设备设施符合相应规范标准，服务满足临床需要。</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1.具备相应的设备设施，满足临床检验检查需要，大型检查等待时间合理（0.2分）；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2.设备、设施定期检测报告或记录（0.2分）；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8"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3.特殊场所有警告标志：如影像检查室门口设置电离辐射警告标志、实验室有禁入标识及生物安全标识（0.2分）；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w:t>
            </w:r>
            <w:r>
              <w:rPr>
                <w:rStyle w:val="35"/>
                <w:rFonts w:hint="eastAsia" w:ascii="仿宋_GB2312" w:hAnsi="仿宋_GB2312" w:eastAsia="仿宋_GB2312" w:cs="仿宋_GB2312"/>
                <w:b w:val="0"/>
                <w:bCs w:val="0"/>
                <w:color w:val="000000"/>
                <w:sz w:val="24"/>
                <w:szCs w:val="24"/>
                <w:highlight w:val="none"/>
                <w:lang w:val="en-US" w:eastAsia="zh-CN" w:bidi="ar"/>
              </w:rPr>
              <w:t>服务项目</w:t>
            </w:r>
            <w:r>
              <w:rPr>
                <w:rStyle w:val="29"/>
                <w:rFonts w:hint="eastAsia" w:ascii="仿宋_GB2312" w:hAnsi="仿宋_GB2312" w:eastAsia="仿宋_GB2312" w:cs="仿宋_GB2312"/>
                <w:b w:val="0"/>
                <w:bCs w:val="0"/>
                <w:color w:val="000000"/>
                <w:sz w:val="24"/>
                <w:szCs w:val="24"/>
                <w:highlight w:val="none"/>
                <w:lang w:val="en-US" w:eastAsia="zh-CN" w:bidi="ar"/>
              </w:rPr>
              <w:t>与医疗机构执业许可登记诊疗科目一致（0.2分）。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4" w:hRule="atLeast"/>
        </w:trPr>
        <w:tc>
          <w:tcPr>
            <w:tcW w:w="1428" w:type="dxa"/>
            <w:vMerge w:val="restart"/>
            <w:tcBorders>
              <w:tl2br w:val="nil"/>
              <w:tr2bl w:val="nil"/>
            </w:tcBorders>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2.13.126.3</w:t>
            </w:r>
          </w:p>
        </w:tc>
        <w:tc>
          <w:tcPr>
            <w:tcW w:w="4752"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临床检验和医学影像提供24小时急诊诊断服务。</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1.向住院病人提供24小时急诊检验和医学影像服务；急诊项目和范围明确（0.1分）；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1428" w:type="dxa"/>
            <w:vMerge w:val="continue"/>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sz w:val="24"/>
                <w:szCs w:val="24"/>
                <w:highlight w:val="none"/>
              </w:rPr>
            </w:pPr>
          </w:p>
        </w:tc>
        <w:tc>
          <w:tcPr>
            <w:tcW w:w="4752" w:type="dxa"/>
            <w:vMerge w:val="continue"/>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sz w:val="24"/>
                <w:szCs w:val="24"/>
                <w:highlight w:val="none"/>
              </w:rPr>
            </w:pPr>
          </w:p>
        </w:tc>
        <w:tc>
          <w:tcPr>
            <w:tcW w:w="1617" w:type="dxa"/>
            <w:vMerge w:val="continue"/>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sz w:val="24"/>
                <w:szCs w:val="24"/>
                <w:highlight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2.查阅急诊报告时限符合要求（0.1分）。</w:t>
            </w:r>
          </w:p>
        </w:tc>
        <w:tc>
          <w:tcPr>
            <w:tcW w:w="760" w:type="dxa"/>
            <w:vMerge w:val="continue"/>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（一百二十七）从事临床检验、病理和医学影像诊断工作和技术工作的人员资质应该按照有关规定取得相应专业技术职务任职资格（1.1分）。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1"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2.13.127.1</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从事临床检验、病理和医学影像诊断工作和技术工作的人员应该具备必要的专业知识和能力，具有相应专业技术职务任职资格。</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1.查阅从事临床检验、病理和医学影像诊断工作和技术工作的人员取得任职资格，工作有授权，定期接受培训（0.2）；</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2.科主任应具备副主任医师（技师）以上专业技术任职资格及能力（0.2分）；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3.设若干专业组；专业组长、质量负责人、技术负责人、安全负责人至少具有中级职称（0.2分）；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4.专业组设置合理及人员梯队结构合理（0.2分）。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2.13.127.2</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分子生物学、特殊岗位（HIV初筛实验等）检验人员等国家有特殊规定的，应具备符合国家规定的资质方可独立工作。</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特殊岗位有特殊培训和资质要求。实验室正副主任应经省级以上卫生行政部门或临检中心组织的临床实验室管理培训合格；临床基因检测、高通量测序、HIV初筛等国家有特殊专业规定的工作人员应有相应培训合格的资质证明</w:t>
            </w:r>
            <w:r>
              <w:rPr>
                <w:rStyle w:val="35"/>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8"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2.按要求参加进修学习，取得规定学分（0.1分）。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（一百二十八）有临床检验、病理实验室和医学影像诊疗场所管理制度、安全程序、标准操作流程和技术操作规范，遵照实施并准确记录（1.7分）。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4"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2.13.128.1</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有临床检验、病理实验室和医学影像诊疗场所管理制度、安全程序，遵照实施并准确记录。</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1.有临床检验、病理实验室和医学影像诊疗场所管理制度、安全程序（0.2分）；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2.遵守生物安全准入或备案管理规定，生物安全等级标志和警示标识完善，有门禁系统及外来人员入出登记</w:t>
            </w:r>
            <w:r>
              <w:rPr>
                <w:rStyle w:val="28"/>
                <w:rFonts w:hint="eastAsia" w:ascii="仿宋_GB2312" w:hAnsi="仿宋_GB2312" w:eastAsia="仿宋_GB2312" w:cs="仿宋_GB2312"/>
                <w:b w:val="0"/>
                <w:bCs w:val="0"/>
                <w:color w:val="000000"/>
                <w:sz w:val="24"/>
                <w:szCs w:val="24"/>
                <w:highlight w:val="none"/>
                <w:lang w:val="en-US" w:eastAsia="zh-CN" w:bidi="ar"/>
              </w:rPr>
              <w:t>（0.3分）；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4"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3.医学影像诊疗场所配备紧急抢救药品器材，相关人员经过急救培训（有记录），具备紧急抢救能力（0.2分）。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2"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2.13.128.2</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有临床检验、病理实验室和医学影像诊疗标准操作流程和技术操作规范，遵照实施并准确记录。</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r>
              <w:rPr>
                <w:rStyle w:val="30"/>
                <w:rFonts w:hint="eastAsia" w:ascii="仿宋_GB2312" w:hAnsi="仿宋_GB2312" w:eastAsia="仿宋_GB2312" w:cs="仿宋_GB2312"/>
                <w:b w:val="0"/>
                <w:bCs w:val="0"/>
                <w:color w:val="000000"/>
                <w:sz w:val="24"/>
                <w:szCs w:val="24"/>
                <w:highlight w:val="none"/>
                <w:lang w:val="en-US" w:eastAsia="zh-CN" w:bidi="ar"/>
              </w:rPr>
              <w:t>.制定有质量安全管理体系文件并及时更新</w:t>
            </w:r>
            <w:r>
              <w:rPr>
                <w:rStyle w:val="29"/>
                <w:rFonts w:hint="eastAsia" w:ascii="仿宋_GB2312" w:hAnsi="仿宋_GB2312" w:eastAsia="仿宋_GB2312" w:cs="仿宋_GB2312"/>
                <w:b w:val="0"/>
                <w:bCs w:val="0"/>
                <w:color w:val="000000"/>
                <w:sz w:val="24"/>
                <w:szCs w:val="24"/>
                <w:highlight w:val="none"/>
                <w:lang w:val="en-US" w:eastAsia="zh-CN" w:bidi="ar"/>
              </w:rPr>
              <w:t>，含质量安全手册、程序文件、SOP和记录（0.2分）；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0"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2.定期对</w:t>
            </w:r>
            <w:r>
              <w:rPr>
                <w:rStyle w:val="30"/>
                <w:rFonts w:hint="eastAsia" w:ascii="仿宋_GB2312" w:hAnsi="仿宋_GB2312" w:eastAsia="仿宋_GB2312" w:cs="仿宋_GB2312"/>
                <w:b w:val="0"/>
                <w:bCs w:val="0"/>
                <w:color w:val="000000"/>
                <w:sz w:val="24"/>
                <w:szCs w:val="24"/>
                <w:highlight w:val="none"/>
                <w:lang w:val="en-US" w:eastAsia="zh-CN" w:bidi="ar"/>
              </w:rPr>
              <w:t>质量安全管理体系文件培训（0.2分），员工知晓（0.2分）；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3.现场查看员工操作符合SOP要求（0.2分）；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6"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4.记录内容准确、完整、可追溯（0.2分）。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6"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（一百二十九）临床检验、病理和医学影像报告及时、准确、规范，并严格执行审核制度。建立临床沟通机制，提供便捷、及时的检查检验信息服务（2.2分）。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3"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2.13.129.1</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临床检验、病理和医学影像报告及时、准确、规范，并严格执行审核制度。</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1.有报告审核制度与报告发放制度，包含保证报告准确、及时和信息完整，保护患者隐私的内容（0.2分）；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0"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2.报告审核者应是经验丰富、技术水平和业务能力较高的人员（0.2分）；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3.报告单格式及内容符合国家规定及行业标准；建立并执行复检制度（0.2分）；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6"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30"/>
                <w:rFonts w:hint="eastAsia" w:ascii="仿宋_GB2312" w:hAnsi="仿宋_GB2312" w:eastAsia="仿宋_GB2312" w:cs="仿宋_GB2312"/>
                <w:b w:val="0"/>
                <w:bCs w:val="0"/>
                <w:color w:val="000000"/>
                <w:sz w:val="24"/>
                <w:szCs w:val="24"/>
                <w:highlight w:val="none"/>
                <w:lang w:val="en-US" w:eastAsia="zh-CN" w:bidi="ar"/>
              </w:rPr>
              <w:t>4.有明确报告时限</w:t>
            </w:r>
            <w:r>
              <w:rPr>
                <w:rStyle w:val="35"/>
                <w:rFonts w:hint="eastAsia" w:ascii="仿宋_GB2312" w:hAnsi="仿宋_GB2312" w:eastAsia="仿宋_GB2312" w:cs="仿宋_GB2312"/>
                <w:b w:val="0"/>
                <w:bCs w:val="0"/>
                <w:color w:val="000000"/>
                <w:sz w:val="24"/>
                <w:szCs w:val="24"/>
                <w:highlight w:val="none"/>
                <w:lang w:val="en-US" w:eastAsia="zh-CN" w:bidi="ar"/>
              </w:rPr>
              <w:t>公示</w:t>
            </w:r>
            <w:r>
              <w:rPr>
                <w:rStyle w:val="30"/>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5.科室定期对报告质量情况进行自查、分析和整改</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6.查阅报告单符合规定（0.2分）。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2.13.129.2</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建立和临床的沟通机制，根据临床需求开展相应服务，由执业医师提供检验结果及诊断报告的解释和咨询服务。</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患者访谈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1.有建立与临床病例讨论机制，接受临床咨询、进行检验结果解释，与临床沟通方便快捷及时（如网络和电话）（0.2分）；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2.定期召开由科主任或副主任医师以上人员主持的疑难病例讨论与读片会（0.2分）；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5"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3.通过参与临床病例讨论、会诊查房、现场宣讲等途径有效解决临床诊疗困难和需求；定期对咨询情况和沟通信息进行总结分析，针对共性问题开展培训（0.2分）。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4"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2.13.129.3</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提供便捷、及时的检验、检查信息服务。</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患者访谈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1.提供检验、检查报告和查询服务。实验室LIS系统、影像PACS系统贯穿检验检查前中后全过程管理（0.2分）；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6"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2.检验报告、数据及图像、病理蜡块保存和管理完善，能提供3年内报告在线查询；提供24小时自助取单或检验报告信息主动推送或网络自主查询服务（0.2分）。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7"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（一百三十）落实全面质量管理与改进制度，开展室内质量控制和室间质量评价。相关检查检验设备（含床旁检查检验设备）按照要求定期检测（2.6分）。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8"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2.13.130.1</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落实全面质量管理与改进制度，开展室内质量控制和室间质量评价。</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1.建立全面质量管理与改进制度。有科室主任牵头、各专业组负责人参加的质量管理小组，有切实的质量目标和覆盖检验检查全过程的量化质量指标、质量管理工作计划（0.2分）；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6"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2.室内质控应覆盖全部检测项目。全部检测项目及不同标本类型均应开展室内质控并记录（无法用质控品的项目通过有效的替代方法进行日常质控）（0.2分）；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4"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3.室内质控失控应及时分析处理，确保失控点前后标本检测结果准确，记录完整（</w:t>
            </w:r>
            <w:r>
              <w:rPr>
                <w:rStyle w:val="30"/>
                <w:rFonts w:hint="eastAsia" w:ascii="仿宋_GB2312" w:hAnsi="仿宋_GB2312" w:eastAsia="仿宋_GB2312" w:cs="仿宋_GB2312"/>
                <w:b w:val="0"/>
                <w:bCs w:val="0"/>
                <w:color w:val="000000"/>
                <w:sz w:val="24"/>
                <w:szCs w:val="24"/>
                <w:highlight w:val="none"/>
                <w:lang w:val="en-US" w:eastAsia="zh-CN" w:bidi="ar"/>
              </w:rPr>
              <w:t>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6"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4.按要求参加省级或国家级临床检验中心室间质量评价；未参加室间质评的检验项目应通过实验室间比对保证检测一致性和准确性（0.2分）；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质控记录可追溯。每一份标本从采集到检测和结果报告记录可追溯；室内质控的原始结果可追溯；每一个室间质评和比对的原始结果可追溯；上报的临床检验质量指标原始数据可追溯、应纳入统计的数据无遗漏、无偏向性选择（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6.采取多种形式，开展图像质量评价活动</w:t>
            </w:r>
            <w:r>
              <w:rPr>
                <w:rStyle w:val="30"/>
                <w:rFonts w:hint="eastAsia" w:ascii="仿宋_GB2312" w:hAnsi="仿宋_GB2312" w:eastAsia="仿宋_GB2312" w:cs="仿宋_GB2312"/>
                <w:b w:val="0"/>
                <w:bCs w:val="0"/>
                <w:color w:val="000000"/>
                <w:sz w:val="24"/>
                <w:szCs w:val="24"/>
                <w:highlight w:val="none"/>
                <w:lang w:val="en-US" w:eastAsia="zh-CN" w:bidi="ar"/>
              </w:rPr>
              <w:t>（0.2分）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7.科室定期自查，至少每季度召开质量管理工作会议，对存在问题有分析、整改（0.2分）。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4"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2.13.130.2</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相关检查检验设备（含床旁检查检验设备）按照要求定期检测并有记录。</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1.所有检查检验设备（含床旁检查检验设备）应具有明显的状态标识和校准标识（0.2分）；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8"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对国家规定强制检定的计量器应定期由计量检定部门检定，提供相关证书，有明显的检定合格标识，并由职能部门定期校验，校验后的设备必须有校验标签及有效期，显示校验设备的准确性和可追溯性（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1"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3.对非强制检定的计量器具（含关键测量设备）应定期校准或校验，提供相关证明（0.2分）；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4.新安装或修复后的检验设备正式启用前，实验室应验证其性能符合相应检验要求（0.2分）；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3"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5.有全院POCT管理的制度，对每一POCT设备统一编号；专人协调和督促厂商定期对本院的POCT设备进行巡回质量检查和检测；对所有POCT设备组织每半年一次统一比对或室间质评（0.2分）；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6.建立设备的维护制度，定期对检查检验设备进行维护保养，保证设备符合预期使用要求（0.2分）。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（一百三十一）按照有关规定建立临床检验、病理和医学影像环境保护及人员职业安全防护制度，遵照实施并准确记录（3.6分）。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9"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2.13.131.1</w:t>
            </w:r>
          </w:p>
        </w:tc>
        <w:tc>
          <w:tcPr>
            <w:tcW w:w="4752"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按照国家法律法规和行业规范，建立临床检验、病理和医学影像部门相关制度、流程，保障环境安全、生物安全和消防安全。</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1.建立临床检验、病理和医学影像部门相关制度、流程（环境安全、生物安全和消防安全）</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5"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2.访谈员工知晓相关规定</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2.13.131.2</w:t>
            </w:r>
          </w:p>
        </w:tc>
        <w:tc>
          <w:tcPr>
            <w:tcW w:w="4752"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定期对医学影像（放射）机房及环境进行放射防护检测，保证辐射水平符合国家规定或者标准。</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1.科室定期对医学影像（放射）机房及环境进行放射防护检测，有记录、分析、整改措施（0.2分）；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2.有专业机构定期医学设备场所定期检测相关记录、报告（0.2分）。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1"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2.13.131.3</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按照国家法律法规和行业规范建立员工的职业安全保障制度，并落实。</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1.有防护器材、个人防护用品管理制度（0.2分）；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2.有员工职业安全保障制度（包括职业风险评估、风险防范、卫生津贴和健康档案等）并执行（0.2分）；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6"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3.据不同工作性质按规范进行充分的个人防护；提供符合国家标准的消毒与防护用品，配备完整、数量充足，便于获取和使用（0.2分）；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4.有人员防护档案与健康档案（0.2分）；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5.实验污染区出口处有洗手和更衣（鞋）设施；衣鞋洁污分开放置（0.2分）；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6"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6.专人负责菌（毒）种管理；有菌种、毒株的管理规定与流程、应急预案；菌种、毒株收集、取用有相应的过程记录（0.2分）；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7.针对实验室工作可能的传染病有职业暴露应急措施和处置流程并培训（0.2分）；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0"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8.有安全事件应急预案，有辐射等损伤具体处置流程和规范，并组织相关人员培训、演练（0.2分）。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2.13.131.4</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病原微生物实验室应当符合生物安全国家标准和要求。从事病原微生物实验活动，应当严格遵守有关国家标准和实验室技术规范、操作规程，采取安全防范措施。</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文件查阅</w:t>
            </w:r>
          </w:p>
          <w:p>
            <w:pPr>
              <w:keepNext w:val="0"/>
              <w:keepLines w:val="0"/>
              <w:widowControl/>
              <w:suppressLineNumbers w:val="0"/>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记录查看</w:t>
            </w:r>
          </w:p>
          <w:p>
            <w:pPr>
              <w:keepNext w:val="0"/>
              <w:keepLines w:val="0"/>
              <w:widowControl/>
              <w:suppressLineNumbers w:val="0"/>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现场检查</w:t>
            </w:r>
          </w:p>
          <w:p>
            <w:pPr>
              <w:keepNext w:val="0"/>
              <w:keepLines w:val="0"/>
              <w:widowControl/>
              <w:suppressLineNumbers w:val="0"/>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员工操作</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30"/>
                <w:rFonts w:hint="eastAsia" w:ascii="仿宋_GB2312" w:hAnsi="仿宋_GB2312" w:eastAsia="仿宋_GB2312" w:cs="仿宋_GB2312"/>
                <w:b w:val="0"/>
                <w:bCs w:val="0"/>
                <w:color w:val="000000"/>
                <w:sz w:val="24"/>
                <w:szCs w:val="24"/>
                <w:highlight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1.制定有相应的程序文件及标准操作规程（0.2分）；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2.操作人员经过培训考核（0.2分）；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2"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3.员工熟练掌握操作流程及生物安全防护知识，掌握实验室应急处理流程（0.2分）。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8"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2.13.131.5</w:t>
            </w:r>
          </w:p>
        </w:tc>
        <w:tc>
          <w:tcPr>
            <w:tcW w:w="4752"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从事病原微生物实验活动应当在相应等级的实验室进行。按照生物安全备案等级设置生物安全分区，有警示标识。</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1.获批相应级别的生物安全实验室备案证明（0.2分）；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3"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2.按照生物安全备案等级设置生物安全分区，有警示标识（0.2分）；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3.操作人员严格遵守操作规程，无生物污染事件发生，无实验室医源性感染（0.2分）。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14693"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（一百三十二）建立健全本机构内的检查检验结果互认工作管理制度，加强人员培训，规范工作流程，为医务人员开展互认工作提供必要的设备设施及保障措施（1.3分）。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2.13.132.1</w:t>
            </w:r>
          </w:p>
        </w:tc>
        <w:tc>
          <w:tcPr>
            <w:tcW w:w="4752"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按照国家法律法规和行业规范，建立检查检验结果互认工作管理制度。</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1.建立本院检查检验结果互认的工作管理制度（0.2分）；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 xml:space="preserve">2.公示检验检查结果互认项目清单，便于社会公众查询了解（0.1分）。                    </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9"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2.13.132.2</w:t>
            </w:r>
          </w:p>
        </w:tc>
        <w:tc>
          <w:tcPr>
            <w:tcW w:w="4752"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组织员工进行培训，并有规范的工作流程及记录。</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1.定期对员工开展培训（0.2分）；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2.现场查看检验检查结果互认工作流程规范、顺畅（0.1分）；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3.互认的检查检验项目应当标注其相应的互认范围+互认标识（0.1分）；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7"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4.医务人员加强医患沟通，对于检查检验项目未予互认的，充分告知复检的目的及必要性（0.1分）；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5.访谈员工知晓相关内容（0.1分）。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9" w:hRule="atLeast"/>
        </w:trPr>
        <w:tc>
          <w:tcPr>
            <w:tcW w:w="14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2.13.132.3</w:t>
            </w:r>
          </w:p>
        </w:tc>
        <w:tc>
          <w:tcPr>
            <w:tcW w:w="4752"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配置有与互认工作相匹配的，有效、便捷的设备和设施，并定期反馈使用情况。</w:t>
            </w:r>
          </w:p>
        </w:tc>
        <w:tc>
          <w:tcPr>
            <w:tcW w:w="161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1.加强信息平台建设，提供方便、快捷、有效的查询服务（0.2分）；</w:t>
            </w:r>
          </w:p>
        </w:tc>
        <w:tc>
          <w:tcPr>
            <w:tcW w:w="760"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9" w:hRule="atLeast"/>
        </w:trPr>
        <w:tc>
          <w:tcPr>
            <w:tcW w:w="142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752"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17"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2.科室有定期自查，分析，职能部门有督查、反馈、整改（0.2分）。</w:t>
            </w:r>
          </w:p>
        </w:tc>
        <w:tc>
          <w:tcPr>
            <w:tcW w:w="760"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bl>
    <w:p>
      <w:pPr>
        <w:pStyle w:val="5"/>
        <w:bidi w:val="0"/>
        <w:rPr>
          <w:rFonts w:hint="eastAsia"/>
          <w:color w:val="000000"/>
          <w:lang w:eastAsia="zh-CN"/>
        </w:rPr>
      </w:pPr>
      <w:bookmarkStart w:id="185" w:name="_Toc22030"/>
      <w:bookmarkStart w:id="186" w:name="_Toc7078"/>
      <w:bookmarkStart w:id="187" w:name="_Toc25084"/>
      <w:r>
        <w:rPr>
          <w:rFonts w:hint="eastAsia"/>
          <w:color w:val="000000"/>
        </w:rPr>
        <w:br w:type="page"/>
      </w:r>
      <w:r>
        <w:rPr>
          <w:rFonts w:hint="eastAsia"/>
          <w:color w:val="000000"/>
        </w:rPr>
        <w:t>十</w:t>
      </w:r>
      <w:r>
        <w:rPr>
          <w:rFonts w:hint="eastAsia"/>
          <w:color w:val="000000"/>
          <w:lang w:val="en-US" w:eastAsia="zh-CN"/>
        </w:rPr>
        <w:t>四</w:t>
      </w:r>
      <w:r>
        <w:rPr>
          <w:rFonts w:hint="eastAsia"/>
          <w:color w:val="000000"/>
        </w:rPr>
        <w:t>、皮肤病理管理与持续改进</w:t>
      </w:r>
      <w:r>
        <w:rPr>
          <w:rFonts w:hint="eastAsia"/>
          <w:color w:val="000000"/>
          <w:lang w:eastAsia="zh-CN"/>
        </w:rPr>
        <w:t>（</w:t>
      </w:r>
      <w:r>
        <w:rPr>
          <w:rFonts w:hint="eastAsia"/>
          <w:color w:val="000000"/>
          <w:lang w:val="en-US" w:eastAsia="zh-CN"/>
        </w:rPr>
        <w:t>8.5分</w:t>
      </w:r>
      <w:r>
        <w:rPr>
          <w:rFonts w:hint="eastAsia"/>
          <w:color w:val="000000"/>
          <w:lang w:eastAsia="zh-CN"/>
        </w:rPr>
        <w:t>）</w:t>
      </w:r>
      <w:bookmarkEnd w:id="185"/>
      <w:bookmarkEnd w:id="186"/>
    </w:p>
    <w:tbl>
      <w:tblPr>
        <w:tblStyle w:val="14"/>
        <w:tblW w:w="1479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783"/>
        <w:gridCol w:w="1694"/>
        <w:gridCol w:w="60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6201" w:type="dxa"/>
            <w:gridSpan w:val="2"/>
            <w:shd w:val="clear" w:color="auto" w:fill="FFF2CD"/>
            <w:noWrap w:val="0"/>
            <w:vAlign w:val="center"/>
          </w:tcPr>
          <w:p>
            <w:pPr>
              <w:widowControl/>
              <w:spacing w:line="32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评审指标细则</w:t>
            </w:r>
          </w:p>
        </w:tc>
        <w:tc>
          <w:tcPr>
            <w:tcW w:w="1694" w:type="dxa"/>
            <w:shd w:val="clear" w:color="auto" w:fill="FFF2CD"/>
            <w:noWrap w:val="0"/>
            <w:vAlign w:val="center"/>
          </w:tcPr>
          <w:p>
            <w:pPr>
              <w:widowControl/>
              <w:spacing w:line="32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6096" w:type="dxa"/>
            <w:shd w:val="clear" w:color="auto" w:fill="FFF2CD"/>
            <w:noWrap w:val="0"/>
            <w:vAlign w:val="center"/>
          </w:tcPr>
          <w:p>
            <w:pPr>
              <w:widowControl/>
              <w:spacing w:line="32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807" w:type="dxa"/>
            <w:shd w:val="clear" w:color="auto" w:fill="FFF2CD"/>
            <w:noWrap w:val="0"/>
            <w:vAlign w:val="center"/>
          </w:tcPr>
          <w:p>
            <w:pPr>
              <w:widowControl/>
              <w:spacing w:line="32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798" w:type="dxa"/>
            <w:gridSpan w:val="5"/>
            <w:noWrap w:val="0"/>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（一百</w:t>
            </w:r>
            <w:r>
              <w:rPr>
                <w:rFonts w:hint="eastAsia" w:ascii="仿宋_GB2312" w:hAnsi="仿宋_GB2312" w:eastAsia="仿宋_GB2312" w:cs="仿宋_GB2312"/>
                <w:color w:val="000000"/>
                <w:kern w:val="0"/>
                <w:sz w:val="24"/>
                <w:szCs w:val="24"/>
                <w:lang w:val="en-US" w:eastAsia="zh-CN"/>
              </w:rPr>
              <w:t>三十三</w:t>
            </w:r>
            <w:r>
              <w:rPr>
                <w:rFonts w:hint="eastAsia" w:ascii="仿宋_GB2312" w:hAnsi="仿宋_GB2312" w:eastAsia="仿宋_GB2312" w:cs="仿宋_GB2312"/>
                <w:color w:val="000000"/>
                <w:kern w:val="0"/>
                <w:sz w:val="24"/>
                <w:szCs w:val="24"/>
              </w:rPr>
              <w:t>）病理科设置、布局、设备设施合理，服务项目能满足临床诊疗需要，规范开展工作（</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restart"/>
            <w:noWrap w:val="0"/>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33</w:t>
            </w:r>
            <w:r>
              <w:rPr>
                <w:rFonts w:hint="eastAsia" w:ascii="仿宋_GB2312" w:hAnsi="仿宋_GB2312" w:eastAsia="仿宋_GB2312" w:cs="仿宋_GB2312"/>
                <w:color w:val="000000"/>
                <w:kern w:val="0"/>
                <w:sz w:val="24"/>
                <w:szCs w:val="24"/>
              </w:rPr>
              <w:t>.1</w:t>
            </w:r>
          </w:p>
        </w:tc>
        <w:tc>
          <w:tcPr>
            <w:tcW w:w="4783" w:type="dxa"/>
            <w:vMerge w:val="restart"/>
            <w:noWrap w:val="0"/>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病理科设置满足医院功能任务需要，开展的服务项目与其功能相适应。</w:t>
            </w:r>
          </w:p>
        </w:tc>
        <w:tc>
          <w:tcPr>
            <w:tcW w:w="1694" w:type="dxa"/>
            <w:vMerge w:val="restart"/>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记录查看</w:t>
            </w:r>
          </w:p>
          <w:p>
            <w:pPr>
              <w:widowControl/>
              <w:jc w:val="center"/>
              <w:rPr>
                <w:color w:val="000000"/>
                <w:sz w:val="24"/>
                <w:szCs w:val="24"/>
              </w:rPr>
            </w:pPr>
            <w:r>
              <w:rPr>
                <w:rFonts w:hint="eastAsia" w:ascii="仿宋_GB2312" w:hAnsi="仿宋_GB2312" w:eastAsia="仿宋_GB2312" w:cs="仿宋_GB2312"/>
                <w:color w:val="000000"/>
                <w:kern w:val="0"/>
                <w:sz w:val="24"/>
                <w:szCs w:val="24"/>
              </w:rPr>
              <w:t>现场查看</w:t>
            </w:r>
          </w:p>
        </w:tc>
        <w:tc>
          <w:tcPr>
            <w:tcW w:w="6096" w:type="dxa"/>
            <w:noWrap w:val="0"/>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1.病理科布局合理，符合生物安全的要求，污染区、半污染区和清洁区划分明确，有缓冲区，有严格的消毒及核查制度（0.5分）；</w:t>
            </w:r>
          </w:p>
        </w:tc>
        <w:tc>
          <w:tcPr>
            <w:tcW w:w="807"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jc w:val="center"/>
              <w:rPr>
                <w:rFonts w:ascii="仿宋_GB2312" w:hAnsi="仿宋_GB2312" w:eastAsia="仿宋_GB2312" w:cs="仿宋_GB2312"/>
                <w:color w:val="000000"/>
                <w:sz w:val="24"/>
                <w:szCs w:val="24"/>
              </w:rPr>
            </w:pPr>
          </w:p>
        </w:tc>
        <w:tc>
          <w:tcPr>
            <w:tcW w:w="4783" w:type="dxa"/>
            <w:vMerge w:val="continue"/>
            <w:noWrap w:val="0"/>
            <w:vAlign w:val="center"/>
          </w:tcPr>
          <w:p>
            <w:pPr>
              <w:widowControl/>
              <w:jc w:val="center"/>
              <w:rPr>
                <w:rFonts w:ascii="仿宋_GB2312" w:hAnsi="仿宋_GB2312" w:eastAsia="仿宋_GB2312" w:cs="仿宋_GB2312"/>
                <w:color w:val="000000"/>
                <w:sz w:val="24"/>
                <w:szCs w:val="24"/>
              </w:rPr>
            </w:pPr>
          </w:p>
        </w:tc>
        <w:tc>
          <w:tcPr>
            <w:tcW w:w="1694" w:type="dxa"/>
            <w:vMerge w:val="continue"/>
            <w:noWrap w:val="0"/>
            <w:vAlign w:val="center"/>
          </w:tcPr>
          <w:p>
            <w:pPr>
              <w:widowControl/>
              <w:jc w:val="center"/>
              <w:rPr>
                <w:rFonts w:ascii="仿宋_GB2312" w:hAnsi="仿宋_GB2312" w:eastAsia="仿宋_GB2312" w:cs="仿宋_GB2312"/>
                <w:color w:val="000000"/>
                <w:sz w:val="24"/>
                <w:szCs w:val="24"/>
              </w:rPr>
            </w:pPr>
          </w:p>
        </w:tc>
        <w:tc>
          <w:tcPr>
            <w:tcW w:w="6096" w:type="dxa"/>
            <w:noWrap w:val="0"/>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2.配备有专业的设备、设施，并有目录表（0</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5</w:t>
            </w:r>
            <w:r>
              <w:rPr>
                <w:rFonts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bidi="ar"/>
              </w:rPr>
              <w:t>），使用的仪器、试剂和耗材符合国家有关规定。（0.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jc w:val="center"/>
              <w:rPr>
                <w:rFonts w:ascii="仿宋_GB2312" w:hAnsi="仿宋_GB2312" w:eastAsia="仿宋_GB2312" w:cs="仿宋_GB2312"/>
                <w:color w:val="000000"/>
                <w:sz w:val="24"/>
                <w:szCs w:val="24"/>
              </w:rPr>
            </w:pPr>
          </w:p>
        </w:tc>
        <w:tc>
          <w:tcPr>
            <w:tcW w:w="4783" w:type="dxa"/>
            <w:vMerge w:val="continue"/>
            <w:noWrap w:val="0"/>
            <w:vAlign w:val="center"/>
          </w:tcPr>
          <w:p>
            <w:pPr>
              <w:widowControl/>
              <w:jc w:val="center"/>
              <w:rPr>
                <w:rFonts w:ascii="仿宋_GB2312" w:hAnsi="仿宋_GB2312" w:eastAsia="仿宋_GB2312" w:cs="仿宋_GB2312"/>
                <w:color w:val="000000"/>
                <w:sz w:val="24"/>
                <w:szCs w:val="24"/>
              </w:rPr>
            </w:pPr>
          </w:p>
        </w:tc>
        <w:tc>
          <w:tcPr>
            <w:tcW w:w="1694" w:type="dxa"/>
            <w:vMerge w:val="continue"/>
            <w:noWrap w:val="0"/>
            <w:vAlign w:val="center"/>
          </w:tcPr>
          <w:p>
            <w:pPr>
              <w:widowControl/>
              <w:jc w:val="center"/>
              <w:rPr>
                <w:rFonts w:ascii="仿宋_GB2312" w:hAnsi="仿宋_GB2312" w:eastAsia="仿宋_GB2312" w:cs="仿宋_GB2312"/>
                <w:color w:val="000000"/>
                <w:sz w:val="24"/>
                <w:szCs w:val="24"/>
              </w:rPr>
            </w:pPr>
          </w:p>
        </w:tc>
        <w:tc>
          <w:tcPr>
            <w:tcW w:w="6096" w:type="dxa"/>
            <w:noWrap w:val="0"/>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3.对专业技术设备定期维护保养（0</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rPr>
              <w:t>），发现问题及时整改（0.</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restart"/>
            <w:noWrap w:val="0"/>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33</w:t>
            </w:r>
            <w:r>
              <w:rPr>
                <w:rFonts w:hint="eastAsia" w:ascii="仿宋_GB2312" w:hAnsi="仿宋_GB2312" w:eastAsia="仿宋_GB2312" w:cs="仿宋_GB2312"/>
                <w:color w:val="000000"/>
                <w:kern w:val="0"/>
                <w:sz w:val="24"/>
                <w:szCs w:val="24"/>
              </w:rPr>
              <w:t>.2</w:t>
            </w:r>
          </w:p>
        </w:tc>
        <w:tc>
          <w:tcPr>
            <w:tcW w:w="4783" w:type="dxa"/>
            <w:vMerge w:val="restart"/>
            <w:noWrap w:val="0"/>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从事病理诊断和技术工作的人员资质符合要求。</w:t>
            </w:r>
          </w:p>
        </w:tc>
        <w:tc>
          <w:tcPr>
            <w:tcW w:w="1694" w:type="dxa"/>
            <w:vMerge w:val="restart"/>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ind w:left="105" w:leftChars="50" w:right="105" w:rightChars="5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6096" w:type="dxa"/>
            <w:noWrap w:val="0"/>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rPr>
              <w:t>至少配备有2</w:t>
            </w:r>
            <w:r>
              <w:rPr>
                <w:rFonts w:ascii="仿宋_GB2312" w:hAnsi="仿宋_GB2312" w:eastAsia="仿宋_GB2312" w:cs="仿宋_GB2312"/>
                <w:color w:val="000000"/>
                <w:kern w:val="0"/>
                <w:sz w:val="24"/>
                <w:szCs w:val="24"/>
              </w:rPr>
              <w:t>名以</w:t>
            </w:r>
            <w:r>
              <w:rPr>
                <w:rFonts w:hint="eastAsia" w:ascii="仿宋_GB2312" w:hAnsi="仿宋_GB2312" w:eastAsia="仿宋_GB2312" w:cs="仿宋_GB2312"/>
                <w:color w:val="000000"/>
                <w:kern w:val="0"/>
                <w:sz w:val="24"/>
                <w:szCs w:val="24"/>
              </w:rPr>
              <w:t>上病理诊断和技术工作人员</w:t>
            </w:r>
            <w:r>
              <w:rPr>
                <w:rFonts w:ascii="仿宋_GB2312" w:hAnsi="仿宋_GB2312" w:eastAsia="仿宋_GB2312" w:cs="仿宋_GB2312"/>
                <w:color w:val="000000"/>
                <w:kern w:val="0"/>
                <w:sz w:val="24"/>
                <w:szCs w:val="24"/>
              </w:rPr>
              <w:t>，能满足工作需要</w:t>
            </w:r>
            <w:r>
              <w:rPr>
                <w:rFonts w:hint="eastAsia" w:ascii="仿宋_GB2312" w:hAnsi="仿宋_GB2312" w:eastAsia="仿宋_GB2312" w:cs="仿宋_GB2312"/>
                <w:color w:val="000000"/>
                <w:kern w:val="0"/>
                <w:sz w:val="24"/>
                <w:szCs w:val="24"/>
              </w:rPr>
              <w:t>，岗位职责</w:t>
            </w:r>
            <w:r>
              <w:rPr>
                <w:rFonts w:hint="eastAsia" w:ascii="仿宋_GB2312" w:hAnsi="仿宋_GB2312" w:eastAsia="仿宋_GB2312" w:cs="仿宋_GB2312"/>
                <w:color w:val="000000"/>
                <w:kern w:val="0"/>
                <w:sz w:val="24"/>
                <w:szCs w:val="24"/>
                <w:lang w:val="en-US" w:eastAsia="zh-CN"/>
              </w:rPr>
              <w:t>明确</w:t>
            </w:r>
            <w:r>
              <w:rPr>
                <w:rFonts w:hint="eastAsia" w:ascii="仿宋_GB2312" w:hAnsi="仿宋_GB2312" w:eastAsia="仿宋_GB2312" w:cs="仿宋_GB2312"/>
                <w:color w:val="000000"/>
                <w:kern w:val="0"/>
                <w:sz w:val="24"/>
                <w:szCs w:val="24"/>
              </w:rPr>
              <w:t>（0.5</w:t>
            </w:r>
            <w:r>
              <w:rPr>
                <w:rFonts w:hint="eastAsia" w:ascii="仿宋_GB2312" w:hAnsi="仿宋_GB2312" w:eastAsia="仿宋_GB2312" w:cs="仿宋_GB2312"/>
                <w:color w:val="000000"/>
                <w:kern w:val="0"/>
                <w:sz w:val="24"/>
                <w:szCs w:val="24"/>
                <w:lang w:val="en-US" w:eastAsia="zh-CN"/>
              </w:rPr>
              <w:t>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p>
        </w:tc>
        <w:tc>
          <w:tcPr>
            <w:tcW w:w="807"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rPr>
                <w:rFonts w:ascii="仿宋_GB2312" w:hAnsi="仿宋_GB2312" w:eastAsia="仿宋_GB2312" w:cs="仿宋_GB2312"/>
                <w:color w:val="000000"/>
                <w:kern w:val="0"/>
                <w:sz w:val="24"/>
                <w:szCs w:val="24"/>
              </w:rPr>
            </w:pPr>
          </w:p>
        </w:tc>
        <w:tc>
          <w:tcPr>
            <w:tcW w:w="4783" w:type="dxa"/>
            <w:vMerge w:val="continue"/>
            <w:noWrap w:val="0"/>
            <w:vAlign w:val="center"/>
          </w:tcPr>
          <w:p>
            <w:pPr>
              <w:widowControl/>
              <w:rPr>
                <w:rFonts w:ascii="仿宋_GB2312" w:hAnsi="仿宋_GB2312" w:eastAsia="仿宋_GB2312" w:cs="仿宋_GB2312"/>
                <w:color w:val="000000"/>
                <w:kern w:val="0"/>
                <w:sz w:val="24"/>
                <w:szCs w:val="24"/>
              </w:rPr>
            </w:pPr>
          </w:p>
        </w:tc>
        <w:tc>
          <w:tcPr>
            <w:tcW w:w="1694" w:type="dxa"/>
            <w:vMerge w:val="continue"/>
            <w:noWrap w:val="0"/>
            <w:vAlign w:val="center"/>
          </w:tcPr>
          <w:p>
            <w:pPr>
              <w:widowControl/>
              <w:jc w:val="center"/>
              <w:rPr>
                <w:rFonts w:ascii="仿宋_GB2312" w:hAnsi="仿宋_GB2312" w:eastAsia="仿宋_GB2312" w:cs="仿宋_GB2312"/>
                <w:color w:val="000000"/>
                <w:kern w:val="0"/>
                <w:sz w:val="24"/>
                <w:szCs w:val="24"/>
              </w:rPr>
            </w:pPr>
          </w:p>
        </w:tc>
        <w:tc>
          <w:tcPr>
            <w:tcW w:w="6096" w:type="dxa"/>
            <w:noWrap w:val="0"/>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2.从事病理诊断工作的人员应具备病理学诊断资质（0.5分）；</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jc w:val="center"/>
              <w:rPr>
                <w:rFonts w:ascii="仿宋_GB2312" w:hAnsi="仿宋_GB2312" w:eastAsia="仿宋_GB2312" w:cs="仿宋_GB2312"/>
                <w:color w:val="000000"/>
                <w:sz w:val="24"/>
                <w:szCs w:val="24"/>
              </w:rPr>
            </w:pPr>
          </w:p>
        </w:tc>
        <w:tc>
          <w:tcPr>
            <w:tcW w:w="4783" w:type="dxa"/>
            <w:vMerge w:val="continue"/>
            <w:noWrap w:val="0"/>
            <w:vAlign w:val="center"/>
          </w:tcPr>
          <w:p>
            <w:pPr>
              <w:widowControl/>
              <w:jc w:val="center"/>
              <w:rPr>
                <w:rFonts w:ascii="仿宋_GB2312" w:hAnsi="仿宋_GB2312" w:eastAsia="仿宋_GB2312" w:cs="仿宋_GB2312"/>
                <w:color w:val="000000"/>
                <w:sz w:val="24"/>
                <w:szCs w:val="24"/>
              </w:rPr>
            </w:pPr>
          </w:p>
        </w:tc>
        <w:tc>
          <w:tcPr>
            <w:tcW w:w="1694" w:type="dxa"/>
            <w:vMerge w:val="continue"/>
            <w:noWrap w:val="0"/>
            <w:vAlign w:val="center"/>
          </w:tcPr>
          <w:p>
            <w:pPr>
              <w:widowControl/>
              <w:jc w:val="center"/>
              <w:rPr>
                <w:rFonts w:ascii="仿宋_GB2312" w:hAnsi="仿宋_GB2312" w:eastAsia="仿宋_GB2312" w:cs="仿宋_GB2312"/>
                <w:color w:val="000000"/>
                <w:sz w:val="24"/>
                <w:szCs w:val="24"/>
              </w:rPr>
            </w:pPr>
          </w:p>
        </w:tc>
        <w:tc>
          <w:tcPr>
            <w:tcW w:w="6096" w:type="dxa"/>
            <w:noWrap w:val="0"/>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3.科主任具有病理学专业高级技术职称</w:t>
            </w:r>
            <w:r>
              <w:rPr>
                <w:rFonts w:hint="eastAsia" w:ascii="仿宋_GB2312" w:hAnsi="仿宋_GB2312" w:eastAsia="仿宋_GB2312" w:cs="仿宋_GB2312"/>
                <w:color w:val="000000"/>
                <w:kern w:val="0"/>
                <w:sz w:val="24"/>
                <w:szCs w:val="24"/>
                <w:lang w:val="en-US" w:eastAsia="zh-CN"/>
              </w:rPr>
              <w:t>并从事病理专业工作5年以上</w:t>
            </w:r>
            <w:r>
              <w:rPr>
                <w:rFonts w:hint="eastAsia" w:ascii="仿宋_GB2312" w:hAnsi="仿宋_GB2312" w:eastAsia="仿宋_GB2312" w:cs="仿宋_GB2312"/>
                <w:color w:val="000000"/>
                <w:kern w:val="0"/>
                <w:sz w:val="24"/>
                <w:szCs w:val="24"/>
              </w:rPr>
              <w:t>（0.5分）。</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restart"/>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33</w:t>
            </w:r>
            <w:r>
              <w:rPr>
                <w:rFonts w:hint="eastAsia" w:ascii="仿宋_GB2312" w:hAnsi="仿宋_GB2312" w:eastAsia="仿宋_GB2312" w:cs="仿宋_GB2312"/>
                <w:color w:val="000000"/>
                <w:sz w:val="24"/>
                <w:szCs w:val="24"/>
                <w:lang w:val="en-US" w:eastAsia="zh-CN"/>
              </w:rPr>
              <w:t>.3</w:t>
            </w:r>
          </w:p>
        </w:tc>
        <w:tc>
          <w:tcPr>
            <w:tcW w:w="4783" w:type="dxa"/>
            <w:vMerge w:val="restart"/>
            <w:noWrap w:val="0"/>
            <w:vAlign w:val="center"/>
          </w:tcPr>
          <w:p>
            <w:pPr>
              <w:widowControl/>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建立完善相关工作制度，保证病理</w:t>
            </w:r>
            <w:r>
              <w:rPr>
                <w:rFonts w:hint="eastAsia" w:ascii="仿宋_GB2312" w:hAnsi="仿宋_GB2312" w:eastAsia="仿宋_GB2312" w:cs="仿宋_GB2312"/>
                <w:color w:val="000000"/>
                <w:sz w:val="24"/>
                <w:szCs w:val="24"/>
              </w:rPr>
              <w:t>诊断质量。</w:t>
            </w:r>
          </w:p>
        </w:tc>
        <w:tc>
          <w:tcPr>
            <w:tcW w:w="1694" w:type="dxa"/>
            <w:vMerge w:val="restart"/>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spacing w:line="320" w:lineRule="exact"/>
              <w:ind w:left="105" w:leftChars="50" w:right="105" w:rightChars="50"/>
              <w:rPr>
                <w:rFonts w:hint="eastAsia" w:ascii="仿宋_GB2312" w:hAnsi="仿宋_GB2312" w:eastAsia="仿宋_GB2312" w:cs="仿宋_GB2312"/>
                <w:color w:val="000000"/>
                <w:sz w:val="24"/>
                <w:szCs w:val="24"/>
              </w:rPr>
            </w:pPr>
          </w:p>
          <w:p>
            <w:pPr>
              <w:widowControl/>
              <w:jc w:val="center"/>
              <w:rPr>
                <w:rFonts w:ascii="仿宋_GB2312" w:hAnsi="仿宋_GB2312" w:eastAsia="仿宋_GB2312" w:cs="仿宋_GB2312"/>
                <w:color w:val="000000"/>
                <w:sz w:val="24"/>
                <w:szCs w:val="24"/>
              </w:rPr>
            </w:pPr>
          </w:p>
        </w:tc>
        <w:tc>
          <w:tcPr>
            <w:tcW w:w="6096" w:type="dxa"/>
            <w:noWrap w:val="0"/>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ascii="仿宋_GB2312" w:hAnsi="仿宋_GB2312" w:eastAsia="仿宋_GB2312" w:cs="仿宋_GB2312"/>
                <w:color w:val="000000"/>
                <w:kern w:val="0"/>
                <w:sz w:val="24"/>
                <w:szCs w:val="24"/>
              </w:rPr>
              <w:t>.有制度保证病理标本采集、运送不出差错（</w:t>
            </w:r>
            <w:r>
              <w:rPr>
                <w:rFonts w:hint="eastAsia" w:ascii="仿宋_GB2312" w:hAnsi="仿宋_GB2312" w:eastAsia="仿宋_GB2312" w:cs="仿宋_GB2312"/>
                <w:color w:val="000000"/>
                <w:kern w:val="0"/>
                <w:sz w:val="24"/>
                <w:szCs w:val="24"/>
              </w:rPr>
              <w:t>0</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rPr>
              <w:t>；有制度保证特殊染色操作规范（0</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rPr>
              <w:t>）；有病理诊断报告补充、更改或迟发的管理制度和流程（0</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p>
        </w:tc>
        <w:tc>
          <w:tcPr>
            <w:tcW w:w="807"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jc w:val="center"/>
              <w:rPr>
                <w:rFonts w:ascii="仿宋_GB2312" w:hAnsi="仿宋_GB2312" w:eastAsia="仿宋_GB2312" w:cs="仿宋_GB2312"/>
                <w:color w:val="000000"/>
                <w:sz w:val="24"/>
                <w:szCs w:val="24"/>
              </w:rPr>
            </w:pPr>
          </w:p>
        </w:tc>
        <w:tc>
          <w:tcPr>
            <w:tcW w:w="4783" w:type="dxa"/>
            <w:vMerge w:val="continue"/>
            <w:noWrap w:val="0"/>
            <w:vAlign w:val="center"/>
          </w:tcPr>
          <w:p>
            <w:pPr>
              <w:widowControl/>
              <w:jc w:val="center"/>
              <w:rPr>
                <w:rFonts w:ascii="仿宋_GB2312" w:hAnsi="仿宋_GB2312" w:eastAsia="仿宋_GB2312" w:cs="仿宋_GB2312"/>
                <w:color w:val="000000"/>
                <w:sz w:val="24"/>
                <w:szCs w:val="24"/>
              </w:rPr>
            </w:pPr>
          </w:p>
        </w:tc>
        <w:tc>
          <w:tcPr>
            <w:tcW w:w="1694" w:type="dxa"/>
            <w:vMerge w:val="continue"/>
            <w:noWrap w:val="0"/>
            <w:vAlign w:val="center"/>
          </w:tcPr>
          <w:p>
            <w:pPr>
              <w:widowControl/>
              <w:jc w:val="center"/>
              <w:rPr>
                <w:rFonts w:ascii="仿宋_GB2312" w:hAnsi="仿宋_GB2312" w:eastAsia="仿宋_GB2312" w:cs="仿宋_GB2312"/>
                <w:color w:val="000000"/>
                <w:sz w:val="24"/>
                <w:szCs w:val="24"/>
              </w:rPr>
            </w:pPr>
          </w:p>
        </w:tc>
        <w:tc>
          <w:tcPr>
            <w:tcW w:w="6096" w:type="dxa"/>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ascii="仿宋_GB2312" w:hAnsi="仿宋_GB2312" w:eastAsia="仿宋_GB2312" w:cs="仿宋_GB2312"/>
                <w:color w:val="000000"/>
                <w:kern w:val="0"/>
                <w:sz w:val="24"/>
                <w:szCs w:val="24"/>
              </w:rPr>
              <w:t>.病理诊断报告书准时，规范，文字准确</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0.5分</w:t>
            </w:r>
            <w:r>
              <w:rPr>
                <w:rFonts w:hint="eastAsia" w:ascii="仿宋_GB2312" w:hAnsi="仿宋_GB2312" w:eastAsia="仿宋_GB2312" w:cs="仿宋_GB2312"/>
                <w:color w:val="000000"/>
                <w:kern w:val="0"/>
                <w:sz w:val="24"/>
                <w:szCs w:val="24"/>
                <w:lang w:eastAsia="zh-CN"/>
              </w:rPr>
              <w:t>）；</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jc w:val="center"/>
              <w:rPr>
                <w:rFonts w:ascii="仿宋_GB2312" w:hAnsi="仿宋_GB2312" w:eastAsia="仿宋_GB2312" w:cs="仿宋_GB2312"/>
                <w:color w:val="000000"/>
                <w:sz w:val="24"/>
                <w:szCs w:val="24"/>
              </w:rPr>
            </w:pPr>
          </w:p>
        </w:tc>
        <w:tc>
          <w:tcPr>
            <w:tcW w:w="4783" w:type="dxa"/>
            <w:vMerge w:val="continue"/>
            <w:noWrap w:val="0"/>
            <w:vAlign w:val="center"/>
          </w:tcPr>
          <w:p>
            <w:pPr>
              <w:widowControl/>
              <w:jc w:val="center"/>
              <w:rPr>
                <w:rFonts w:ascii="仿宋_GB2312" w:hAnsi="仿宋_GB2312" w:eastAsia="仿宋_GB2312" w:cs="仿宋_GB2312"/>
                <w:color w:val="000000"/>
                <w:sz w:val="24"/>
                <w:szCs w:val="24"/>
              </w:rPr>
            </w:pPr>
          </w:p>
        </w:tc>
        <w:tc>
          <w:tcPr>
            <w:tcW w:w="1694" w:type="dxa"/>
            <w:vMerge w:val="continue"/>
            <w:noWrap w:val="0"/>
            <w:vAlign w:val="center"/>
          </w:tcPr>
          <w:p>
            <w:pPr>
              <w:widowControl/>
              <w:jc w:val="center"/>
              <w:rPr>
                <w:rFonts w:ascii="仿宋_GB2312" w:hAnsi="仿宋_GB2312" w:eastAsia="仿宋_GB2312" w:cs="仿宋_GB2312"/>
                <w:color w:val="000000"/>
                <w:sz w:val="24"/>
                <w:szCs w:val="24"/>
              </w:rPr>
            </w:pPr>
          </w:p>
        </w:tc>
        <w:tc>
          <w:tcPr>
            <w:tcW w:w="6096" w:type="dxa"/>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病理标本检查、制片有质控措施和记录</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0.5分</w:t>
            </w:r>
            <w:r>
              <w:rPr>
                <w:rFonts w:hint="eastAsia" w:ascii="仿宋_GB2312" w:hAnsi="仿宋_GB2312" w:eastAsia="仿宋_GB2312" w:cs="仿宋_GB2312"/>
                <w:color w:val="000000"/>
                <w:kern w:val="0"/>
                <w:sz w:val="24"/>
                <w:szCs w:val="24"/>
                <w:lang w:eastAsia="zh-CN"/>
              </w:rPr>
              <w:t>）；</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jc w:val="center"/>
              <w:rPr>
                <w:rFonts w:ascii="仿宋_GB2312" w:hAnsi="仿宋_GB2312" w:eastAsia="仿宋_GB2312" w:cs="仿宋_GB2312"/>
                <w:color w:val="000000"/>
                <w:sz w:val="24"/>
                <w:szCs w:val="24"/>
              </w:rPr>
            </w:pPr>
          </w:p>
        </w:tc>
        <w:tc>
          <w:tcPr>
            <w:tcW w:w="4783" w:type="dxa"/>
            <w:vMerge w:val="continue"/>
            <w:noWrap w:val="0"/>
            <w:vAlign w:val="center"/>
          </w:tcPr>
          <w:p>
            <w:pPr>
              <w:widowControl/>
              <w:jc w:val="center"/>
              <w:rPr>
                <w:rFonts w:ascii="仿宋_GB2312" w:hAnsi="仿宋_GB2312" w:eastAsia="仿宋_GB2312" w:cs="仿宋_GB2312"/>
                <w:color w:val="000000"/>
                <w:sz w:val="24"/>
                <w:szCs w:val="24"/>
              </w:rPr>
            </w:pPr>
          </w:p>
        </w:tc>
        <w:tc>
          <w:tcPr>
            <w:tcW w:w="1694" w:type="dxa"/>
            <w:vMerge w:val="continue"/>
            <w:noWrap w:val="0"/>
            <w:vAlign w:val="center"/>
          </w:tcPr>
          <w:p>
            <w:pPr>
              <w:widowControl/>
              <w:jc w:val="center"/>
              <w:rPr>
                <w:rFonts w:ascii="仿宋_GB2312" w:hAnsi="仿宋_GB2312" w:eastAsia="仿宋_GB2312" w:cs="仿宋_GB2312"/>
                <w:color w:val="000000"/>
                <w:sz w:val="24"/>
                <w:szCs w:val="24"/>
              </w:rPr>
            </w:pPr>
          </w:p>
        </w:tc>
        <w:tc>
          <w:tcPr>
            <w:tcW w:w="6096" w:type="dxa"/>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ascii="仿宋_GB2312" w:hAnsi="仿宋_GB2312" w:eastAsia="仿宋_GB2312" w:cs="仿宋_GB2312"/>
                <w:color w:val="000000"/>
                <w:kern w:val="0"/>
                <w:sz w:val="24"/>
                <w:szCs w:val="24"/>
              </w:rPr>
              <w:t>.科室</w:t>
            </w:r>
            <w:r>
              <w:rPr>
                <w:rFonts w:hint="eastAsia" w:ascii="仿宋_GB2312" w:hAnsi="仿宋_GB2312" w:eastAsia="仿宋_GB2312" w:cs="仿宋_GB2312"/>
                <w:color w:val="000000"/>
                <w:kern w:val="0"/>
                <w:sz w:val="24"/>
                <w:szCs w:val="24"/>
              </w:rPr>
              <w:t>每季度</w:t>
            </w:r>
            <w:r>
              <w:rPr>
                <w:rFonts w:ascii="仿宋_GB2312" w:hAnsi="仿宋_GB2312" w:eastAsia="仿宋_GB2312" w:cs="仿宋_GB2312"/>
                <w:color w:val="000000"/>
                <w:kern w:val="0"/>
                <w:sz w:val="24"/>
                <w:szCs w:val="24"/>
              </w:rPr>
              <w:t>对检查、制片过程</w:t>
            </w:r>
            <w:r>
              <w:rPr>
                <w:rFonts w:hint="eastAsia" w:ascii="仿宋_GB2312" w:hAnsi="仿宋_GB2312" w:eastAsia="仿宋_GB2312" w:cs="仿宋_GB2312"/>
                <w:color w:val="000000"/>
                <w:kern w:val="0"/>
                <w:sz w:val="24"/>
                <w:szCs w:val="24"/>
              </w:rPr>
              <w:t>进行</w:t>
            </w:r>
            <w:r>
              <w:rPr>
                <w:rFonts w:ascii="仿宋_GB2312" w:hAnsi="仿宋_GB2312" w:eastAsia="仿宋_GB2312" w:cs="仿宋_GB2312"/>
                <w:color w:val="000000"/>
                <w:kern w:val="0"/>
                <w:sz w:val="24"/>
                <w:szCs w:val="24"/>
              </w:rPr>
              <w:t>自查</w:t>
            </w:r>
            <w:r>
              <w:rPr>
                <w:rFonts w:hint="eastAsia" w:ascii="仿宋_GB2312" w:hAnsi="仿宋_GB2312" w:eastAsia="仿宋_GB2312" w:cs="仿宋_GB2312"/>
                <w:color w:val="000000"/>
                <w:kern w:val="0"/>
                <w:sz w:val="24"/>
                <w:szCs w:val="24"/>
              </w:rPr>
              <w:t>、分析，有改进措施</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0.5分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798" w:type="dxa"/>
            <w:gridSpan w:val="5"/>
            <w:noWrap w:val="0"/>
            <w:vAlign w:val="center"/>
          </w:tcPr>
          <w:p>
            <w:pPr>
              <w:widowControl/>
              <w:jc w:val="both"/>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（一百</w:t>
            </w:r>
            <w:r>
              <w:rPr>
                <w:rFonts w:hint="eastAsia" w:ascii="仿宋_GB2312" w:hAnsi="仿宋_GB2312" w:eastAsia="仿宋_GB2312" w:cs="仿宋_GB2312"/>
                <w:color w:val="000000"/>
                <w:kern w:val="0"/>
                <w:sz w:val="24"/>
                <w:szCs w:val="24"/>
                <w:lang w:val="en-US" w:eastAsia="zh-CN"/>
              </w:rPr>
              <w:t>三十四</w:t>
            </w:r>
            <w:r>
              <w:rPr>
                <w:rFonts w:hint="eastAsia" w:ascii="仿宋_GB2312" w:hAnsi="仿宋_GB2312" w:eastAsia="仿宋_GB2312" w:cs="仿宋_GB2312"/>
                <w:color w:val="000000"/>
                <w:kern w:val="0"/>
                <w:sz w:val="24"/>
                <w:szCs w:val="24"/>
              </w:rPr>
              <w:t>）病理科</w:t>
            </w:r>
            <w:r>
              <w:rPr>
                <w:rFonts w:hint="eastAsia" w:ascii="仿宋_GB2312" w:hAnsi="仿宋_GB2312" w:eastAsia="仿宋_GB2312" w:cs="仿宋_GB2312"/>
                <w:color w:val="000000"/>
                <w:kern w:val="0"/>
                <w:sz w:val="24"/>
                <w:szCs w:val="24"/>
                <w:lang w:val="en-US" w:eastAsia="zh-CN"/>
              </w:rPr>
              <w:t>建立业务学习培训制度，有病理技术人员的技能培训，保障病理诊断水平持续提升</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restart"/>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2.14.134.1</w:t>
            </w:r>
          </w:p>
        </w:tc>
        <w:tc>
          <w:tcPr>
            <w:tcW w:w="4783" w:type="dxa"/>
            <w:vMerge w:val="restart"/>
            <w:noWrap w:val="0"/>
            <w:vAlign w:val="center"/>
          </w:tcPr>
          <w:p>
            <w:pPr>
              <w:widowControl/>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开展</w:t>
            </w:r>
            <w:r>
              <w:rPr>
                <w:rFonts w:hint="eastAsia" w:ascii="仿宋_GB2312" w:hAnsi="仿宋_GB2312" w:eastAsia="仿宋_GB2312" w:cs="仿宋_GB2312"/>
                <w:color w:val="000000"/>
                <w:kern w:val="0"/>
                <w:sz w:val="24"/>
                <w:szCs w:val="24"/>
                <w:lang w:val="en-US" w:eastAsia="zh-CN"/>
              </w:rPr>
              <w:t>皮肤病理制片、诊断</w:t>
            </w:r>
            <w:r>
              <w:rPr>
                <w:rFonts w:hint="eastAsia" w:ascii="仿宋_GB2312" w:hAnsi="仿宋_GB2312" w:eastAsia="仿宋_GB2312" w:cs="仿宋_GB2312"/>
                <w:color w:val="000000"/>
                <w:kern w:val="0"/>
                <w:sz w:val="24"/>
                <w:szCs w:val="24"/>
              </w:rPr>
              <w:t>等相关知识培训，</w:t>
            </w:r>
            <w:r>
              <w:rPr>
                <w:rFonts w:hint="eastAsia" w:ascii="仿宋_GB2312" w:hAnsi="仿宋_GB2312" w:eastAsia="仿宋_GB2312" w:cs="仿宋_GB2312"/>
                <w:color w:val="000000"/>
                <w:kern w:val="0"/>
                <w:sz w:val="24"/>
                <w:szCs w:val="24"/>
                <w:lang w:val="en-US" w:eastAsia="zh-CN"/>
              </w:rPr>
              <w:t>不断</w:t>
            </w:r>
            <w:r>
              <w:rPr>
                <w:rFonts w:hint="eastAsia" w:ascii="仿宋_GB2312" w:hAnsi="仿宋_GB2312" w:eastAsia="仿宋_GB2312" w:cs="仿宋_GB2312"/>
                <w:color w:val="000000"/>
                <w:kern w:val="0"/>
                <w:sz w:val="24"/>
                <w:szCs w:val="24"/>
              </w:rPr>
              <w:t>提高</w:t>
            </w:r>
            <w:r>
              <w:rPr>
                <w:rFonts w:hint="eastAsia" w:ascii="仿宋_GB2312" w:hAnsi="仿宋_GB2312" w:eastAsia="仿宋_GB2312" w:cs="仿宋_GB2312"/>
                <w:color w:val="000000"/>
                <w:kern w:val="0"/>
                <w:sz w:val="24"/>
                <w:szCs w:val="24"/>
                <w:lang w:val="en-US" w:eastAsia="zh-CN"/>
              </w:rPr>
              <w:t>病理诊断技术</w:t>
            </w:r>
            <w:r>
              <w:rPr>
                <w:rFonts w:hint="eastAsia" w:ascii="仿宋_GB2312" w:hAnsi="仿宋_GB2312" w:eastAsia="仿宋_GB2312" w:cs="仿宋_GB2312"/>
                <w:color w:val="000000"/>
                <w:kern w:val="0"/>
                <w:sz w:val="24"/>
                <w:szCs w:val="24"/>
              </w:rPr>
              <w:t>人员</w:t>
            </w:r>
            <w:r>
              <w:rPr>
                <w:rFonts w:hint="eastAsia" w:ascii="仿宋_GB2312" w:hAnsi="仿宋_GB2312" w:eastAsia="仿宋_GB2312" w:cs="仿宋_GB2312"/>
                <w:color w:val="000000"/>
                <w:kern w:val="0"/>
                <w:sz w:val="24"/>
                <w:szCs w:val="24"/>
                <w:lang w:val="en-US" w:eastAsia="zh-CN"/>
              </w:rPr>
              <w:t>的诊断</w:t>
            </w:r>
            <w:r>
              <w:rPr>
                <w:rFonts w:hint="eastAsia" w:ascii="仿宋_GB2312" w:hAnsi="仿宋_GB2312" w:eastAsia="仿宋_GB2312" w:cs="仿宋_GB2312"/>
                <w:color w:val="000000"/>
                <w:kern w:val="0"/>
                <w:sz w:val="24"/>
                <w:szCs w:val="24"/>
              </w:rPr>
              <w:t>水平。</w:t>
            </w:r>
          </w:p>
        </w:tc>
        <w:tc>
          <w:tcPr>
            <w:tcW w:w="1694" w:type="dxa"/>
            <w:vMerge w:val="restart"/>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文件查阅</w:t>
            </w:r>
          </w:p>
          <w:p>
            <w:pPr>
              <w:widowControl/>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查看记录</w:t>
            </w:r>
          </w:p>
        </w:tc>
        <w:tc>
          <w:tcPr>
            <w:tcW w:w="6096" w:type="dxa"/>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1.建立</w:t>
            </w:r>
            <w:r>
              <w:rPr>
                <w:rFonts w:hint="eastAsia" w:ascii="仿宋_GB2312" w:hAnsi="仿宋_GB2312" w:eastAsia="仿宋_GB2312" w:cs="仿宋_GB2312"/>
                <w:color w:val="000000"/>
                <w:kern w:val="0"/>
                <w:sz w:val="24"/>
                <w:szCs w:val="24"/>
                <w:lang w:val="en-US" w:eastAsia="zh-CN"/>
              </w:rPr>
              <w:t>病理科</w:t>
            </w:r>
            <w:r>
              <w:rPr>
                <w:rFonts w:hint="eastAsia" w:ascii="仿宋_GB2312" w:hAnsi="仿宋_GB2312" w:eastAsia="仿宋_GB2312" w:cs="仿宋_GB2312"/>
                <w:color w:val="000000"/>
                <w:kern w:val="0"/>
                <w:sz w:val="24"/>
                <w:szCs w:val="24"/>
              </w:rPr>
              <w:t>业务学习培训制度和年度学习计划（0.5</w:t>
            </w:r>
            <w:r>
              <w:rPr>
                <w:rFonts w:hint="eastAsia" w:ascii="仿宋_GB2312" w:hAnsi="仿宋_GB2312" w:eastAsia="仿宋_GB2312" w:cs="仿宋_GB2312"/>
                <w:color w:val="000000"/>
                <w:kern w:val="0"/>
                <w:sz w:val="24"/>
                <w:szCs w:val="24"/>
                <w:lang w:val="en-US" w:eastAsia="zh-CN"/>
              </w:rPr>
              <w:t>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p>
        </w:tc>
        <w:tc>
          <w:tcPr>
            <w:tcW w:w="807"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783" w:type="dxa"/>
            <w:vMerge w:val="continue"/>
            <w:noWrap w:val="0"/>
            <w:vAlign w:val="center"/>
          </w:tcPr>
          <w:p>
            <w:pPr>
              <w:widowControl/>
              <w:jc w:val="left"/>
              <w:rPr>
                <w:rFonts w:hint="eastAsia" w:ascii="仿宋_GB2312" w:hAnsi="仿宋_GB2312" w:eastAsia="仿宋_GB2312" w:cs="仿宋_GB2312"/>
                <w:color w:val="000000"/>
                <w:sz w:val="24"/>
                <w:szCs w:val="24"/>
              </w:rPr>
            </w:pPr>
          </w:p>
        </w:tc>
        <w:tc>
          <w:tcPr>
            <w:tcW w:w="1694" w:type="dxa"/>
            <w:vMerge w:val="continue"/>
            <w:noWrap w:val="0"/>
            <w:vAlign w:val="center"/>
          </w:tcPr>
          <w:p>
            <w:pPr>
              <w:widowControl/>
              <w:jc w:val="left"/>
              <w:rPr>
                <w:rFonts w:hint="eastAsia" w:ascii="仿宋_GB2312" w:hAnsi="仿宋_GB2312" w:eastAsia="仿宋_GB2312" w:cs="仿宋_GB2312"/>
                <w:color w:val="000000"/>
                <w:sz w:val="24"/>
                <w:szCs w:val="24"/>
              </w:rPr>
            </w:pPr>
          </w:p>
        </w:tc>
        <w:tc>
          <w:tcPr>
            <w:tcW w:w="6096" w:type="dxa"/>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Style w:val="51"/>
                <w:rFonts w:hint="eastAsia" w:ascii="仿宋_GB2312" w:hAnsi="仿宋_GB2312" w:eastAsia="仿宋_GB2312" w:cs="仿宋_GB2312"/>
                <w:color w:val="000000"/>
                <w:sz w:val="24"/>
                <w:szCs w:val="24"/>
              </w:rPr>
              <w:t>定期开展</w:t>
            </w:r>
            <w:r>
              <w:rPr>
                <w:rStyle w:val="51"/>
                <w:rFonts w:hint="eastAsia" w:ascii="仿宋_GB2312" w:hAnsi="仿宋_GB2312" w:eastAsia="仿宋_GB2312" w:cs="仿宋_GB2312"/>
                <w:color w:val="000000"/>
                <w:sz w:val="24"/>
                <w:szCs w:val="24"/>
                <w:lang w:val="en-US" w:eastAsia="zh-CN"/>
              </w:rPr>
              <w:t>病理技术操作规范</w:t>
            </w:r>
            <w:r>
              <w:rPr>
                <w:rStyle w:val="51"/>
                <w:rFonts w:hint="eastAsia" w:ascii="仿宋_GB2312" w:hAnsi="仿宋_GB2312" w:eastAsia="仿宋_GB2312" w:cs="仿宋_GB2312"/>
                <w:color w:val="000000"/>
                <w:sz w:val="24"/>
                <w:szCs w:val="24"/>
              </w:rPr>
              <w:t>的培训、考核</w:t>
            </w:r>
            <w:r>
              <w:rPr>
                <w:rFonts w:hint="eastAsia" w:ascii="仿宋_GB2312" w:hAnsi="仿宋_GB2312" w:eastAsia="仿宋_GB2312" w:cs="仿宋_GB2312"/>
                <w:color w:val="000000"/>
                <w:kern w:val="0"/>
                <w:sz w:val="24"/>
                <w:szCs w:val="24"/>
              </w:rPr>
              <w:t>（0.5</w:t>
            </w:r>
            <w:r>
              <w:rPr>
                <w:rFonts w:hint="eastAsia" w:ascii="仿宋_GB2312" w:hAnsi="仿宋_GB2312" w:eastAsia="仿宋_GB2312" w:cs="仿宋_GB2312"/>
                <w:color w:val="000000"/>
                <w:kern w:val="0"/>
                <w:sz w:val="24"/>
                <w:szCs w:val="24"/>
                <w:lang w:val="en-US" w:eastAsia="zh-CN"/>
              </w:rPr>
              <w:t>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783" w:type="dxa"/>
            <w:vMerge w:val="continue"/>
            <w:noWrap w:val="0"/>
            <w:vAlign w:val="center"/>
          </w:tcPr>
          <w:p>
            <w:pPr>
              <w:widowControl/>
              <w:jc w:val="left"/>
              <w:rPr>
                <w:rFonts w:hint="eastAsia" w:ascii="仿宋_GB2312" w:hAnsi="仿宋_GB2312" w:eastAsia="仿宋_GB2312" w:cs="仿宋_GB2312"/>
                <w:color w:val="000000"/>
                <w:sz w:val="24"/>
                <w:szCs w:val="24"/>
              </w:rPr>
            </w:pPr>
          </w:p>
        </w:tc>
        <w:tc>
          <w:tcPr>
            <w:tcW w:w="1694" w:type="dxa"/>
            <w:vMerge w:val="continue"/>
            <w:noWrap w:val="0"/>
            <w:vAlign w:val="center"/>
          </w:tcPr>
          <w:p>
            <w:pPr>
              <w:widowControl/>
              <w:jc w:val="left"/>
              <w:rPr>
                <w:rFonts w:hint="eastAsia" w:ascii="仿宋_GB2312" w:hAnsi="仿宋_GB2312" w:eastAsia="仿宋_GB2312" w:cs="仿宋_GB2312"/>
                <w:color w:val="000000"/>
                <w:sz w:val="24"/>
                <w:szCs w:val="24"/>
              </w:rPr>
            </w:pPr>
          </w:p>
        </w:tc>
        <w:tc>
          <w:tcPr>
            <w:tcW w:w="6096" w:type="dxa"/>
            <w:noWrap w:val="0"/>
            <w:vAlign w:val="center"/>
          </w:tcPr>
          <w:p>
            <w:pPr>
              <w:widowControl/>
              <w:spacing w:line="3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.每年对培训、学习效果进行总结分析，有持续改进措施（0.5</w:t>
            </w:r>
            <w:r>
              <w:rPr>
                <w:rFonts w:hint="eastAsia" w:ascii="仿宋_GB2312" w:hAnsi="仿宋_GB2312" w:eastAsia="仿宋_GB2312" w:cs="仿宋_GB2312"/>
                <w:color w:val="000000"/>
                <w:kern w:val="0"/>
                <w:sz w:val="24"/>
                <w:szCs w:val="24"/>
                <w:lang w:val="en-US" w:eastAsia="zh-CN"/>
              </w:rPr>
              <w:t>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p>
        </w:tc>
        <w:tc>
          <w:tcPr>
            <w:tcW w:w="807" w:type="dxa"/>
            <w:vMerge w:val="continue"/>
            <w:noWrap w:val="0"/>
            <w:vAlign w:val="center"/>
          </w:tcPr>
          <w:p>
            <w:pPr>
              <w:widowControl/>
              <w:jc w:val="center"/>
              <w:rPr>
                <w:rFonts w:ascii="仿宋_GB2312" w:hAnsi="仿宋_GB2312" w:eastAsia="仿宋_GB2312" w:cs="仿宋_GB2312"/>
                <w:color w:val="000000"/>
                <w:kern w:val="0"/>
                <w:sz w:val="24"/>
                <w:szCs w:val="24"/>
              </w:rPr>
            </w:pPr>
          </w:p>
        </w:tc>
      </w:tr>
    </w:tbl>
    <w:p>
      <w:pPr>
        <w:pStyle w:val="5"/>
        <w:bidi w:val="0"/>
        <w:rPr>
          <w:rFonts w:hint="default"/>
          <w:color w:val="000000"/>
          <w:lang w:val="en-US"/>
        </w:rPr>
      </w:pPr>
      <w:bookmarkStart w:id="188" w:name="_Toc8694"/>
      <w:r>
        <w:rPr>
          <w:rFonts w:hint="eastAsia"/>
          <w:color w:val="000000"/>
          <w:lang w:val="en-US" w:eastAsia="zh-CN"/>
        </w:rPr>
        <w:t>十五、</w:t>
      </w:r>
      <w:r>
        <w:rPr>
          <w:rFonts w:hint="eastAsia"/>
          <w:color w:val="000000"/>
        </w:rPr>
        <w:t>医院感染管理与持续改进</w:t>
      </w:r>
      <w:r>
        <w:rPr>
          <w:rFonts w:hint="eastAsia"/>
          <w:color w:val="000000"/>
          <w:lang w:val="en-US" w:eastAsia="zh-CN"/>
        </w:rPr>
        <w:t>（13.5分）</w:t>
      </w:r>
      <w:bookmarkEnd w:id="187"/>
      <w:bookmarkEnd w:id="188"/>
      <w:r>
        <w:rPr>
          <w:rFonts w:hint="eastAsia"/>
          <w:color w:val="000000"/>
          <w:lang w:val="en-US" w:eastAsia="zh-CN"/>
        </w:rPr>
        <w:t xml:space="preserve">  </w:t>
      </w:r>
    </w:p>
    <w:tbl>
      <w:tblPr>
        <w:tblStyle w:val="14"/>
        <w:tblW w:w="14774" w:type="dxa"/>
        <w:tblInd w:w="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78"/>
        <w:gridCol w:w="4515"/>
        <w:gridCol w:w="1683"/>
        <w:gridCol w:w="6136"/>
        <w:gridCol w:w="7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blHeader/>
        </w:trPr>
        <w:tc>
          <w:tcPr>
            <w:tcW w:w="6193" w:type="dxa"/>
            <w:gridSpan w:val="2"/>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bookmarkStart w:id="189" w:name="_Toc18041"/>
            <w:r>
              <w:rPr>
                <w:rFonts w:hint="eastAsia" w:ascii="仿宋_GB2312" w:hAnsi="仿宋_GB2312" w:eastAsia="仿宋_GB2312" w:cs="仿宋_GB2312"/>
                <w:b/>
                <w:bCs/>
                <w:i w:val="0"/>
                <w:iCs w:val="0"/>
                <w:color w:val="000000"/>
                <w:kern w:val="0"/>
                <w:sz w:val="24"/>
                <w:szCs w:val="24"/>
                <w:highlight w:val="none"/>
                <w:u w:val="none"/>
                <w:lang w:val="en-US" w:eastAsia="zh-CN" w:bidi="ar"/>
              </w:rPr>
              <w:t>评审指标细则</w:t>
            </w:r>
          </w:p>
        </w:tc>
        <w:tc>
          <w:tcPr>
            <w:tcW w:w="1683"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评审方法</w:t>
            </w:r>
          </w:p>
        </w:tc>
        <w:tc>
          <w:tcPr>
            <w:tcW w:w="6136"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评分细则</w:t>
            </w:r>
          </w:p>
        </w:tc>
        <w:tc>
          <w:tcPr>
            <w:tcW w:w="762" w:type="dxa"/>
            <w:tcBorders>
              <w:tl2br w:val="nil"/>
              <w:tr2bl w:val="nil"/>
            </w:tcBorders>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14774"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（一百三十五）按照《医院感染管理办法》</w:t>
            </w:r>
            <w:r>
              <w:rPr>
                <w:rStyle w:val="28"/>
                <w:rFonts w:hint="eastAsia" w:ascii="仿宋_GB2312" w:hAnsi="仿宋_GB2312" w:eastAsia="仿宋_GB2312" w:cs="仿宋_GB2312"/>
                <w:b w:val="0"/>
                <w:bCs w:val="0"/>
                <w:color w:val="000000"/>
                <w:sz w:val="24"/>
                <w:szCs w:val="24"/>
                <w:highlight w:val="none"/>
                <w:lang w:val="en-US" w:eastAsia="zh-CN" w:bidi="ar"/>
              </w:rPr>
              <w:t>《医疗机构感染预防与控制基本制度（试行）》</w:t>
            </w:r>
            <w:r>
              <w:rPr>
                <w:rStyle w:val="29"/>
                <w:rFonts w:hint="eastAsia" w:ascii="仿宋_GB2312" w:hAnsi="仿宋_GB2312" w:eastAsia="仿宋_GB2312" w:cs="仿宋_GB2312"/>
                <w:b w:val="0"/>
                <w:bCs w:val="0"/>
                <w:color w:val="000000"/>
                <w:sz w:val="24"/>
                <w:szCs w:val="24"/>
                <w:highlight w:val="none"/>
                <w:lang w:val="en-US" w:eastAsia="zh-CN" w:bidi="ar"/>
              </w:rPr>
              <w:t>，建立医院感染管理组织，建立院感多部门协调机制。完善医院感染管理与控制制度，有医院感染事件应急预案并组织实施，开展医院感染预防控制知识与技能的全员培训和教育</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（2.5分）</w:t>
            </w:r>
            <w:r>
              <w:rPr>
                <w:rStyle w:val="29"/>
                <w:rFonts w:hint="eastAsia" w:ascii="仿宋_GB2312" w:hAnsi="仿宋_GB2312" w:eastAsia="仿宋_GB2312" w:cs="仿宋_GB2312"/>
                <w:b w:val="0"/>
                <w:bCs w:val="0"/>
                <w:color w:val="000000"/>
                <w:sz w:val="24"/>
                <w:szCs w:val="24"/>
                <w:highlight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9"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2.15.135.1</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医院感染管理委员会，委员会由医院感染管理部门、医务部门、护理部门、临床科室、手术室、临床检验部门、药事管理部门、设备管理部门、后勤管理部门及其他有关部门主要负责人组成，主任委员由医院院长或者主管医疗工作的副院长担任。</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8"/>
                <w:rFonts w:hint="eastAsia" w:ascii="仿宋_GB2312" w:hAnsi="仿宋_GB2312" w:eastAsia="仿宋_GB2312" w:cs="仿宋_GB2312"/>
                <w:b w:val="0"/>
                <w:bCs w:val="0"/>
                <w:color w:val="000000"/>
                <w:sz w:val="24"/>
                <w:szCs w:val="24"/>
                <w:highlight w:val="none"/>
                <w:lang w:val="en-US" w:eastAsia="zh-CN" w:bidi="ar"/>
              </w:rPr>
              <w:t>1.</w:t>
            </w:r>
            <w:r>
              <w:rPr>
                <w:rStyle w:val="30"/>
                <w:rFonts w:hint="eastAsia" w:ascii="仿宋_GB2312" w:hAnsi="仿宋_GB2312" w:eastAsia="仿宋_GB2312" w:cs="仿宋_GB2312"/>
                <w:b w:val="0"/>
                <w:bCs w:val="0"/>
                <w:color w:val="000000"/>
                <w:sz w:val="24"/>
                <w:szCs w:val="24"/>
                <w:highlight w:val="none"/>
                <w:lang w:val="en-US" w:eastAsia="zh-CN" w:bidi="ar"/>
              </w:rPr>
              <w:t>建立健全医院</w:t>
            </w:r>
            <w:r>
              <w:rPr>
                <w:rStyle w:val="35"/>
                <w:rFonts w:hint="eastAsia" w:ascii="仿宋_GB2312" w:hAnsi="仿宋_GB2312" w:eastAsia="仿宋_GB2312" w:cs="仿宋_GB2312"/>
                <w:b w:val="0"/>
                <w:bCs w:val="0"/>
                <w:color w:val="000000"/>
                <w:sz w:val="24"/>
                <w:szCs w:val="24"/>
                <w:highlight w:val="none"/>
                <w:lang w:val="en-US" w:eastAsia="zh-CN" w:bidi="ar"/>
              </w:rPr>
              <w:t>感染管理</w:t>
            </w:r>
            <w:r>
              <w:rPr>
                <w:rStyle w:val="30"/>
                <w:rFonts w:hint="eastAsia" w:ascii="仿宋_GB2312" w:hAnsi="仿宋_GB2312" w:eastAsia="仿宋_GB2312" w:cs="仿宋_GB2312"/>
                <w:b w:val="0"/>
                <w:bCs w:val="0"/>
                <w:color w:val="000000"/>
                <w:sz w:val="24"/>
                <w:szCs w:val="24"/>
                <w:highlight w:val="none"/>
                <w:lang w:val="en-US" w:eastAsia="zh-CN" w:bidi="ar"/>
              </w:rPr>
              <w:t>委员会</w:t>
            </w:r>
            <w:r>
              <w:rPr>
                <w:rStyle w:val="28"/>
                <w:rFonts w:hint="eastAsia" w:ascii="仿宋_GB2312" w:hAnsi="仿宋_GB2312" w:eastAsia="仿宋_GB2312" w:cs="仿宋_GB2312"/>
                <w:b w:val="0"/>
                <w:bCs w:val="0"/>
                <w:color w:val="000000"/>
                <w:sz w:val="24"/>
                <w:szCs w:val="24"/>
                <w:highlight w:val="none"/>
                <w:lang w:val="en-US" w:eastAsia="zh-CN" w:bidi="ar"/>
              </w:rPr>
              <w:t>、</w:t>
            </w:r>
            <w:r>
              <w:rPr>
                <w:rStyle w:val="30"/>
                <w:rFonts w:hint="eastAsia" w:ascii="仿宋_GB2312" w:hAnsi="仿宋_GB2312" w:eastAsia="仿宋_GB2312" w:cs="仿宋_GB2312"/>
                <w:b w:val="0"/>
                <w:bCs w:val="0"/>
                <w:color w:val="000000"/>
                <w:sz w:val="24"/>
                <w:szCs w:val="24"/>
                <w:highlight w:val="none"/>
                <w:lang w:val="en-US" w:eastAsia="zh-CN" w:bidi="ar"/>
              </w:rPr>
              <w:t>感染</w:t>
            </w:r>
            <w:r>
              <w:rPr>
                <w:rStyle w:val="28"/>
                <w:rFonts w:hint="eastAsia" w:ascii="仿宋_GB2312" w:hAnsi="仿宋_GB2312" w:eastAsia="仿宋_GB2312" w:cs="仿宋_GB2312"/>
                <w:b w:val="0"/>
                <w:bCs w:val="0"/>
                <w:color w:val="000000"/>
                <w:sz w:val="24"/>
                <w:szCs w:val="24"/>
                <w:highlight w:val="none"/>
                <w:lang w:val="en-US" w:eastAsia="zh-CN" w:bidi="ar"/>
              </w:rPr>
              <w:t>管理部门人员按照《医院感染管理专业人员培训指南》的要求完成专业培训，医技临床感控小组人员设置符合《病区医院感染管理规范》的要求（0.3分）；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0"/>
                <w:rFonts w:hint="eastAsia" w:ascii="仿宋_GB2312" w:hAnsi="仿宋_GB2312" w:eastAsia="仿宋_GB2312" w:cs="仿宋_GB2312"/>
                <w:b w:val="0"/>
                <w:bCs w:val="0"/>
                <w:color w:val="000000"/>
                <w:sz w:val="24"/>
                <w:szCs w:val="24"/>
                <w:highlight w:val="none"/>
                <w:lang w:val="en-US" w:eastAsia="zh-CN" w:bidi="ar"/>
              </w:rPr>
              <w:t>院科两级医院感染</w:t>
            </w:r>
            <w:r>
              <w:rPr>
                <w:rStyle w:val="28"/>
                <w:rFonts w:hint="eastAsia" w:ascii="仿宋_GB2312" w:hAnsi="仿宋_GB2312" w:eastAsia="仿宋_GB2312" w:cs="仿宋_GB2312"/>
                <w:b w:val="0"/>
                <w:bCs w:val="0"/>
                <w:color w:val="000000"/>
                <w:sz w:val="24"/>
                <w:szCs w:val="24"/>
                <w:highlight w:val="none"/>
                <w:lang w:val="en-US" w:eastAsia="zh-CN" w:bidi="ar"/>
              </w:rPr>
              <w:t>管理组织有工作制度、职责及工作记录（0.2分）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3.每年至少2次召开委员会常规会议；委员会会议有会议记录、会议纪要、决议执行单，执行效果追踪等(0.2分)。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9"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2.15.135.2</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根据国家法律法规、标准要求以及《医疗机构感染预防与控制基本制度》，制定并及时完善医院感染管理和控制制度并落实。</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28"/>
                <w:rFonts w:hint="eastAsia" w:ascii="仿宋_GB2312" w:hAnsi="仿宋_GB2312" w:eastAsia="仿宋_GB2312" w:cs="仿宋_GB2312"/>
                <w:b w:val="0"/>
                <w:bCs w:val="0"/>
                <w:color w:val="000000"/>
                <w:sz w:val="24"/>
                <w:szCs w:val="24"/>
                <w:highlight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1.制度实施医院感染管理和控制制度，并及时更新完善（0.2分）；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7"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2.访谈员工知晓相关内容</w:t>
            </w:r>
            <w:r>
              <w:rPr>
                <w:rStyle w:val="28"/>
                <w:rFonts w:hint="eastAsia" w:ascii="仿宋_GB2312" w:hAnsi="仿宋_GB2312" w:eastAsia="仿宋_GB2312" w:cs="仿宋_GB2312"/>
                <w:b w:val="0"/>
                <w:bCs w:val="0"/>
                <w:color w:val="000000"/>
                <w:sz w:val="24"/>
                <w:szCs w:val="24"/>
                <w:highlight w:val="none"/>
                <w:lang w:val="en-US" w:eastAsia="zh-CN" w:bidi="ar"/>
              </w:rPr>
              <w:t>（0.2分）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2.15.135.3</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医院结合本地区就诊人群特点和本院条件制定医院感染事件防控应急预案并组织实施。</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1.制定应急预案，建立医院感染事件报告责任制，</w:t>
            </w:r>
            <w:r>
              <w:rPr>
                <w:rStyle w:val="28"/>
                <w:rFonts w:hint="eastAsia" w:ascii="仿宋_GB2312" w:hAnsi="仿宋_GB2312" w:eastAsia="仿宋_GB2312" w:cs="仿宋_GB2312"/>
                <w:b w:val="0"/>
                <w:bCs w:val="0"/>
                <w:color w:val="000000"/>
                <w:sz w:val="24"/>
                <w:szCs w:val="24"/>
                <w:highlight w:val="none"/>
                <w:lang w:val="en-US" w:eastAsia="zh-CN" w:bidi="ar"/>
              </w:rPr>
              <w:t>组建感控应急处置专家组，</w:t>
            </w:r>
            <w:r>
              <w:rPr>
                <w:rStyle w:val="29"/>
                <w:rFonts w:hint="eastAsia" w:ascii="仿宋_GB2312" w:hAnsi="仿宋_GB2312" w:eastAsia="仿宋_GB2312" w:cs="仿宋_GB2312"/>
                <w:b w:val="0"/>
                <w:bCs w:val="0"/>
                <w:color w:val="000000"/>
                <w:sz w:val="24"/>
                <w:szCs w:val="24"/>
                <w:highlight w:val="none"/>
                <w:lang w:val="en-US" w:eastAsia="zh-CN" w:bidi="ar"/>
              </w:rPr>
              <w:t>明确医院感染事件监测、报告、应急处置的部门及人员职责(0.2分)；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2.每年有应急预案培训考核计划并组织实施，相关部门及人员知晓医院感染事件应急报告和处置流程(0.2分)；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5"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3.每年开展应急演练，有应急演练脚本及演练实施记录，对应急演练进行总结，并根据国家相关文件要求及应急演练结果对预案进行补充、调整和优化(0.2分)；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7"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4.对</w:t>
            </w:r>
            <w:r>
              <w:rPr>
                <w:rStyle w:val="28"/>
                <w:rFonts w:hint="eastAsia" w:ascii="仿宋_GB2312" w:hAnsi="仿宋_GB2312" w:eastAsia="仿宋_GB2312" w:cs="仿宋_GB2312"/>
                <w:b w:val="0"/>
                <w:bCs w:val="0"/>
                <w:color w:val="000000"/>
                <w:sz w:val="24"/>
                <w:szCs w:val="24"/>
                <w:highlight w:val="none"/>
                <w:lang w:val="en-US" w:eastAsia="zh-CN" w:bidi="ar"/>
              </w:rPr>
              <w:t>医院感染暴发、疑似医院感染暴发及时进行调查和处置，组建感控应急处置专家组，</w:t>
            </w:r>
            <w:r>
              <w:rPr>
                <w:rStyle w:val="29"/>
                <w:rFonts w:hint="eastAsia" w:ascii="仿宋_GB2312" w:hAnsi="仿宋_GB2312" w:eastAsia="仿宋_GB2312" w:cs="仿宋_GB2312"/>
                <w:b w:val="0"/>
                <w:bCs w:val="0"/>
                <w:color w:val="000000"/>
                <w:sz w:val="24"/>
                <w:szCs w:val="24"/>
                <w:highlight w:val="none"/>
                <w:lang w:val="en-US" w:eastAsia="zh-CN" w:bidi="ar"/>
              </w:rPr>
              <w:t>并按规定的流程进行报告和处置，有记录（0.2分）。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9" w:hRule="atLeast"/>
        </w:trPr>
        <w:tc>
          <w:tcPr>
            <w:tcW w:w="16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2.15.135.4</w:t>
            </w:r>
          </w:p>
        </w:tc>
        <w:tc>
          <w:tcPr>
            <w:tcW w:w="45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制定全员医院感染防控知识与技能培训计划并落实，包括但不限于手卫生、标准预防、应急方案教育等。医院员工（含外聘人员）掌握有关预防与控制医院感染的基础卫生学和消毒隔离知识，且在工作中正确运用。</w:t>
            </w:r>
          </w:p>
        </w:tc>
        <w:tc>
          <w:tcPr>
            <w:tcW w:w="168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8"/>
                <w:rFonts w:hint="eastAsia" w:ascii="仿宋_GB2312" w:hAnsi="仿宋_GB2312" w:eastAsia="仿宋_GB2312" w:cs="仿宋_GB2312"/>
                <w:b w:val="0"/>
                <w:bCs w:val="0"/>
                <w:color w:val="000000"/>
                <w:sz w:val="24"/>
                <w:szCs w:val="24"/>
                <w:highlight w:val="none"/>
                <w:lang w:val="en-US" w:eastAsia="zh-CN" w:bidi="ar"/>
              </w:rPr>
            </w:pPr>
            <w:r>
              <w:rPr>
                <w:rStyle w:val="28"/>
                <w:rFonts w:hint="eastAsia" w:ascii="仿宋_GB2312" w:hAnsi="仿宋_GB2312" w:eastAsia="仿宋_GB2312" w:cs="仿宋_GB2312"/>
                <w:b w:val="0"/>
                <w:bCs w:val="0"/>
                <w:color w:val="000000"/>
                <w:sz w:val="24"/>
                <w:szCs w:val="24"/>
                <w:highlight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员工操作</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1.每年有院科两级的培训考核计划，</w:t>
            </w:r>
            <w:r>
              <w:rPr>
                <w:rStyle w:val="28"/>
                <w:rFonts w:hint="eastAsia" w:ascii="仿宋_GB2312" w:hAnsi="仿宋_GB2312" w:eastAsia="仿宋_GB2312" w:cs="仿宋_GB2312"/>
                <w:b w:val="0"/>
                <w:bCs w:val="0"/>
                <w:color w:val="000000"/>
                <w:sz w:val="24"/>
                <w:szCs w:val="24"/>
                <w:highlight w:val="none"/>
                <w:lang w:val="en-US" w:eastAsia="zh-CN" w:bidi="ar"/>
              </w:rPr>
              <w:t>明确不同层级、不同岗位工作人员接受感控知识培训的形式、内容与方法</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2.有培训和考核实施工作记录，有总结分析报告（0.2分）；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8"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3.现场员工访谈和操作，员工掌握医院感染防控知识和技能（0.2分）。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4" w:hRule="atLeast"/>
        </w:trPr>
        <w:tc>
          <w:tcPr>
            <w:tcW w:w="14774"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（一百三十六）按照《医院感染监测规范》，加强重点部门、重点环节、重点人群与高危险因素监测，控制并降低医院感染风险（1.5分）。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trPr>
        <w:tc>
          <w:tcPr>
            <w:tcW w:w="16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2.15.136.1</w:t>
            </w:r>
          </w:p>
        </w:tc>
        <w:tc>
          <w:tcPr>
            <w:tcW w:w="45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医院对重点部门、重点环节、重点人群有明确的监测范围、监测方法、监测内容和监测质量控制要求。</w:t>
            </w:r>
          </w:p>
        </w:tc>
        <w:tc>
          <w:tcPr>
            <w:tcW w:w="168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8"/>
                <w:rFonts w:hint="eastAsia" w:ascii="仿宋_GB2312" w:hAnsi="仿宋_GB2312" w:eastAsia="仿宋_GB2312" w:cs="仿宋_GB2312"/>
                <w:b w:val="0"/>
                <w:bCs w:val="0"/>
                <w:color w:val="000000"/>
                <w:sz w:val="24"/>
                <w:szCs w:val="24"/>
                <w:highlight w:val="none"/>
                <w:lang w:val="en-US" w:eastAsia="zh-CN" w:bidi="ar"/>
              </w:rPr>
            </w:pPr>
            <w:r>
              <w:rPr>
                <w:rStyle w:val="28"/>
                <w:rFonts w:hint="eastAsia" w:ascii="仿宋_GB2312" w:hAnsi="仿宋_GB2312" w:eastAsia="仿宋_GB2312" w:cs="仿宋_GB2312"/>
                <w:b w:val="0"/>
                <w:bCs w:val="0"/>
                <w:color w:val="000000"/>
                <w:sz w:val="24"/>
                <w:szCs w:val="24"/>
                <w:highlight w:val="none"/>
                <w:lang w:val="en-US" w:eastAsia="zh-CN" w:bidi="ar"/>
              </w:rPr>
              <w:t>数据核查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员工操作</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1.每年制定重点部门、重点环节、重点人群的监测内容清单，根据国家规范、标准明确监测的范围、方法、监测质量控制要求（0.2分）；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04"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2.制定监测数据目录清单和数据核查指引，明确数据定义、数据源、采集方式、采集时间范畴等要素，明确实施监测的责任主体部门、参与部门及其职责，</w:t>
            </w:r>
            <w:r>
              <w:rPr>
                <w:rStyle w:val="30"/>
                <w:rFonts w:hint="eastAsia" w:ascii="仿宋_GB2312" w:hAnsi="仿宋_GB2312" w:eastAsia="仿宋_GB2312" w:cs="仿宋_GB2312"/>
                <w:b w:val="0"/>
                <w:bCs w:val="0"/>
                <w:color w:val="000000"/>
                <w:sz w:val="24"/>
                <w:szCs w:val="24"/>
                <w:highlight w:val="none"/>
                <w:lang w:val="en-US" w:eastAsia="zh-CN" w:bidi="ar"/>
              </w:rPr>
              <w:t>至少每季度一次</w:t>
            </w:r>
            <w:r>
              <w:rPr>
                <w:rStyle w:val="29"/>
                <w:rFonts w:hint="eastAsia" w:ascii="仿宋_GB2312" w:hAnsi="仿宋_GB2312" w:eastAsia="仿宋_GB2312" w:cs="仿宋_GB2312"/>
                <w:b w:val="0"/>
                <w:bCs w:val="0"/>
                <w:color w:val="000000"/>
                <w:sz w:val="24"/>
                <w:szCs w:val="24"/>
                <w:highlight w:val="none"/>
                <w:lang w:val="en-US" w:eastAsia="zh-CN" w:bidi="ar"/>
              </w:rPr>
              <w:t>开展数据分析（0.2分）；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6"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3.制定并发布监测计划，监测相关人员知晓监测计划、方法、监测质量控制要求，操作正确（0.2分）；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6"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4.实施监测计划，收集监测数据，有相关工作记录（0.2分）。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trPr>
        <w:tc>
          <w:tcPr>
            <w:tcW w:w="16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2.15.136.2</w:t>
            </w:r>
          </w:p>
        </w:tc>
        <w:tc>
          <w:tcPr>
            <w:tcW w:w="45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医院对监测结果进行分析，提出本院的医院感染高危险因素，制定针对性措施，控制并降低医院感染风险。</w:t>
            </w:r>
          </w:p>
        </w:tc>
        <w:tc>
          <w:tcPr>
            <w:tcW w:w="168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9"/>
                <w:rFonts w:hint="eastAsia" w:ascii="仿宋_GB2312" w:hAnsi="仿宋_GB2312" w:eastAsia="仿宋_GB2312" w:cs="仿宋_GB2312"/>
                <w:b w:val="0"/>
                <w:bCs w:val="0"/>
                <w:color w:val="000000"/>
                <w:sz w:val="24"/>
                <w:szCs w:val="24"/>
                <w:highlight w:val="none"/>
                <w:lang w:val="en-US" w:eastAsia="zh-CN" w:bidi="ar"/>
              </w:rPr>
            </w:pPr>
            <w:r>
              <w:rPr>
                <w:rStyle w:val="29"/>
                <w:rFonts w:hint="eastAsia" w:ascii="仿宋_GB2312" w:hAnsi="仿宋_GB2312" w:eastAsia="仿宋_GB2312" w:cs="仿宋_GB2312"/>
                <w:b w:val="0"/>
                <w:bCs w:val="0"/>
                <w:color w:val="000000"/>
                <w:sz w:val="24"/>
                <w:szCs w:val="24"/>
                <w:highlight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现场检查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w:t>
            </w:r>
            <w:r>
              <w:rPr>
                <w:rStyle w:val="30"/>
                <w:rFonts w:hint="eastAsia" w:ascii="仿宋_GB2312" w:hAnsi="仿宋_GB2312" w:eastAsia="仿宋_GB2312" w:cs="仿宋_GB2312"/>
                <w:b w:val="0"/>
                <w:bCs w:val="0"/>
                <w:color w:val="000000"/>
                <w:sz w:val="24"/>
                <w:szCs w:val="24"/>
                <w:highlight w:val="none"/>
                <w:lang w:val="en-US" w:eastAsia="zh-CN" w:bidi="ar"/>
              </w:rPr>
              <w:t>至少每季度</w:t>
            </w:r>
            <w:r>
              <w:rPr>
                <w:rStyle w:val="29"/>
                <w:rFonts w:hint="eastAsia" w:ascii="仿宋_GB2312" w:hAnsi="仿宋_GB2312" w:eastAsia="仿宋_GB2312" w:cs="仿宋_GB2312"/>
                <w:b w:val="0"/>
                <w:bCs w:val="0"/>
                <w:color w:val="000000"/>
                <w:sz w:val="24"/>
                <w:szCs w:val="24"/>
                <w:highlight w:val="none"/>
                <w:lang w:val="en-US" w:eastAsia="zh-CN" w:bidi="ar"/>
              </w:rPr>
              <w:t>对监测结果进行分析评估，提出本院的医院感染高危险因素，制定针对性措施，有分析评估报告（0.2分）；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0"/>
                <w:rFonts w:hint="eastAsia" w:ascii="仿宋_GB2312" w:hAnsi="仿宋_GB2312" w:eastAsia="仿宋_GB2312" w:cs="仿宋_GB2312"/>
                <w:b w:val="0"/>
                <w:bCs w:val="0"/>
                <w:color w:val="000000"/>
                <w:sz w:val="24"/>
                <w:szCs w:val="24"/>
                <w:highlight w:val="none"/>
                <w:lang w:val="en-US" w:eastAsia="zh-CN" w:bidi="ar"/>
              </w:rPr>
              <w:t>至少每季度</w:t>
            </w:r>
            <w:r>
              <w:rPr>
                <w:rStyle w:val="29"/>
                <w:rFonts w:hint="eastAsia" w:ascii="仿宋_GB2312" w:hAnsi="仿宋_GB2312" w:eastAsia="仿宋_GB2312" w:cs="仿宋_GB2312"/>
                <w:b w:val="0"/>
                <w:bCs w:val="0"/>
                <w:color w:val="000000"/>
                <w:sz w:val="24"/>
                <w:szCs w:val="24"/>
                <w:highlight w:val="none"/>
                <w:lang w:val="en-US" w:eastAsia="zh-CN" w:bidi="ar"/>
              </w:rPr>
              <w:t>将监测结果反馈到科室，并报送有关部门（0.2分）；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4"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w:t>
            </w:r>
            <w:r>
              <w:rPr>
                <w:rStyle w:val="30"/>
                <w:rFonts w:hint="eastAsia" w:ascii="仿宋_GB2312" w:hAnsi="仿宋_GB2312" w:eastAsia="仿宋_GB2312" w:cs="仿宋_GB2312"/>
                <w:b w:val="0"/>
                <w:bCs w:val="0"/>
                <w:color w:val="000000"/>
                <w:sz w:val="24"/>
                <w:szCs w:val="24"/>
                <w:highlight w:val="none"/>
                <w:lang w:val="en-US" w:eastAsia="zh-CN" w:bidi="ar"/>
              </w:rPr>
              <w:t>至少每季度</w:t>
            </w:r>
            <w:r>
              <w:rPr>
                <w:rStyle w:val="29"/>
                <w:rFonts w:hint="eastAsia" w:ascii="仿宋_GB2312" w:hAnsi="仿宋_GB2312" w:eastAsia="仿宋_GB2312" w:cs="仿宋_GB2312"/>
                <w:b w:val="0"/>
                <w:bCs w:val="0"/>
                <w:color w:val="000000"/>
                <w:sz w:val="24"/>
                <w:szCs w:val="24"/>
                <w:highlight w:val="none"/>
                <w:lang w:val="en-US" w:eastAsia="zh-CN" w:bidi="ar"/>
              </w:rPr>
              <w:t>对存在问题进行讨论，制定针对性措施并落实，有会议记录、工作记录（0.2分）；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4.有案例或数据说明，</w:t>
            </w:r>
            <w:r>
              <w:rPr>
                <w:rStyle w:val="28"/>
                <w:rFonts w:hint="eastAsia" w:ascii="仿宋_GB2312" w:hAnsi="仿宋_GB2312" w:eastAsia="仿宋_GB2312" w:cs="仿宋_GB2312"/>
                <w:b w:val="0"/>
                <w:bCs w:val="0"/>
                <w:color w:val="000000"/>
                <w:sz w:val="24"/>
                <w:szCs w:val="24"/>
                <w:highlight w:val="none"/>
                <w:lang w:val="en-US" w:eastAsia="zh-CN" w:bidi="ar"/>
              </w:rPr>
              <w:t>评审周期内重点部门、重点环节、重点人群与感染高风险因素得到有效控制（0.1分）。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7" w:hRule="atLeast"/>
        </w:trPr>
        <w:tc>
          <w:tcPr>
            <w:tcW w:w="14774"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（一百三十七）医院感染管理组织要监测医院感染危险因素、医院感染率及其变化趋势，定期开展风险评估并持续改进诊疗流程；定期通报医院感染监测结果并加强横向比较（1.5分）。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3"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2.15.137.1</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定期对感染监测的数据进行统计分析、反馈，定期开展风险评估并持续改进诊疗流程，有相关报告或反馈记录。</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1.医院感染管理组织至少每季度对医院感染危险因素、医院感染率及其变化趋势进行监测（0.2分）；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2.每季度对医院感染监测的数据进行风险评估，并横向比较，有评估记录和报告</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3.对存在的问题进行分析、整改</w:t>
            </w:r>
            <w:r>
              <w:rPr>
                <w:rStyle w:val="40"/>
                <w:rFonts w:hint="eastAsia" w:ascii="仿宋_GB2312" w:hAnsi="仿宋_GB2312" w:eastAsia="仿宋_GB2312" w:cs="仿宋_GB2312"/>
                <w:b w:val="0"/>
                <w:bCs w:val="0"/>
                <w:color w:val="000000"/>
                <w:sz w:val="24"/>
                <w:szCs w:val="24"/>
                <w:highlight w:val="none"/>
                <w:lang w:val="en-US" w:eastAsia="zh-CN" w:bidi="ar"/>
              </w:rPr>
              <w:t>（0.2分）；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4.有数据体现整改效果或形成新制度、规范、流程和举措等（0.2分）。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2.15.137.2</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按照本院医院感染防控制度规定的周期向全院发布全院感染监测数据，及时将感染监测的数据和分析反馈临床科室。</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1.有明确的医院感染监测数据发布渠道，医务人员能方便、及时查阅监测数据信息（0.2分）；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5"/>
                <w:rFonts w:hint="eastAsia" w:ascii="仿宋_GB2312" w:hAnsi="仿宋_GB2312" w:eastAsia="仿宋_GB2312" w:cs="仿宋_GB2312"/>
                <w:b w:val="0"/>
                <w:bCs w:val="0"/>
                <w:color w:val="000000"/>
                <w:sz w:val="24"/>
                <w:szCs w:val="24"/>
                <w:highlight w:val="none"/>
                <w:lang w:val="en-US" w:eastAsia="zh-CN" w:bidi="ar"/>
              </w:rPr>
              <w:t>职能部门至少每季度</w:t>
            </w:r>
            <w:r>
              <w:rPr>
                <w:rStyle w:val="29"/>
                <w:rFonts w:hint="eastAsia" w:ascii="仿宋_GB2312" w:hAnsi="仿宋_GB2312" w:eastAsia="仿宋_GB2312" w:cs="仿宋_GB2312"/>
                <w:b w:val="0"/>
                <w:bCs w:val="0"/>
                <w:color w:val="000000"/>
                <w:sz w:val="24"/>
                <w:szCs w:val="24"/>
                <w:highlight w:val="none"/>
                <w:lang w:val="en-US" w:eastAsia="zh-CN" w:bidi="ar"/>
              </w:rPr>
              <w:t>发布监测数据及分析报告，有记录（0.2分）；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3.临床科室对照发布的监测数据，对本科室存在的问题提出整改措施并落实（0.2分）；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4.院科两级医院感染管理人员知晓感染率变化趋势、危险因素及管理重点（0.1分）。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2" w:hRule="atLeast"/>
        </w:trPr>
        <w:tc>
          <w:tcPr>
            <w:tcW w:w="14774"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（一百三十八）消毒、灭菌和隔离工作符合相关标准和规范要求，工作人员能获得并正确使用符合国家标准的消毒与防护用品；重点部门、重点部位的管理符合要求（2分）。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3"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2.15.138.1</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医院按照国家相关标准和规范的要求，开展消毒、灭菌和隔离工作。</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1.建立有消毒、灭菌和隔离工作制度、操作规程及质量控制要求，明确各项监测指标（0.2分）；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91"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2.现场查看员工按相关制度、工作标准、操作规程对诊疗器械、器具、用品和各类环境进行清洁消毒灭菌，对感染患者实施隔离，人员操作正确，有工作记录（0.1分）；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3"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3.科室有自查、分析、整改措施并落实（0.1分）；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4.职能部门有检查评价、分析、反馈，并督导整改措施的落实（0.1分）；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8"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5.有数据体现整改效果或形成新制度、规范、流程和举措等（0.1分）。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2.15.138.2</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医院提供的消毒与防护用品符合国家标准并在有效期内，工作人员应能够正确使用消毒与防护用品。</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1.制定医院消毒与防护用品使用相关规定、操作流程（0.2分）；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8"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2.有本院消毒剂、消毒设备设施和个人防护用品的清单，有合法资质证明材料（0.2分）；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6"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3.消毒剂、消毒设备设施和个人防护用品配置到位，管理符合相关规定，员工操作正确，</w:t>
            </w:r>
            <w:r>
              <w:rPr>
                <w:rStyle w:val="30"/>
                <w:rFonts w:hint="eastAsia" w:ascii="仿宋_GB2312" w:hAnsi="仿宋_GB2312" w:eastAsia="仿宋_GB2312" w:cs="仿宋_GB2312"/>
                <w:b w:val="0"/>
                <w:bCs w:val="0"/>
                <w:color w:val="000000"/>
                <w:sz w:val="24"/>
                <w:szCs w:val="24"/>
                <w:highlight w:val="none"/>
                <w:lang w:val="en-US" w:eastAsia="zh-CN" w:bidi="ar"/>
              </w:rPr>
              <w:t>消毒设备设施有使用、保养记录</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w:t>
            </w:r>
            <w:r>
              <w:rPr>
                <w:rStyle w:val="30"/>
                <w:rFonts w:hint="eastAsia" w:ascii="仿宋_GB2312" w:hAnsi="仿宋_GB2312" w:eastAsia="仿宋_GB2312" w:cs="仿宋_GB2312"/>
                <w:b w:val="0"/>
                <w:bCs w:val="0"/>
                <w:color w:val="000000"/>
                <w:sz w:val="24"/>
                <w:szCs w:val="24"/>
                <w:highlight w:val="none"/>
                <w:lang w:val="en-US" w:eastAsia="zh-CN" w:bidi="ar"/>
              </w:rPr>
              <w:t>员工操作正确，知晓个</w:t>
            </w:r>
            <w:r>
              <w:rPr>
                <w:rStyle w:val="29"/>
                <w:rFonts w:hint="eastAsia" w:ascii="仿宋_GB2312" w:hAnsi="仿宋_GB2312" w:eastAsia="仿宋_GB2312" w:cs="仿宋_GB2312"/>
                <w:b w:val="0"/>
                <w:bCs w:val="0"/>
                <w:color w:val="000000"/>
                <w:sz w:val="24"/>
                <w:szCs w:val="24"/>
                <w:highlight w:val="none"/>
                <w:lang w:val="en-US" w:eastAsia="zh-CN" w:bidi="ar"/>
              </w:rPr>
              <w:t>人防护要求及职业暴露处置流程，个人防护得当（0.2分）；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5.职能部门定期进行监督检查和持续改进，有工作记录（0.2分）。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3"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2.15.138.3</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重点部门、重点部位的医院感染管理应当符合相关标准和规范要求。</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1.制定重点部门环境和重点部位的清洁、消毒、隔离及卫生学监测的相关制度及操作流程（0.1分）；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w:t>
            </w:r>
            <w:r>
              <w:rPr>
                <w:rStyle w:val="30"/>
                <w:rFonts w:hint="eastAsia" w:ascii="仿宋_GB2312" w:hAnsi="仿宋_GB2312" w:eastAsia="仿宋_GB2312" w:cs="仿宋_GB2312"/>
                <w:b w:val="0"/>
                <w:bCs w:val="0"/>
                <w:color w:val="000000"/>
                <w:sz w:val="24"/>
                <w:szCs w:val="24"/>
                <w:highlight w:val="none"/>
                <w:lang w:val="en-US" w:eastAsia="zh-CN" w:bidi="ar"/>
              </w:rPr>
              <w:t>现场查看</w:t>
            </w:r>
            <w:r>
              <w:rPr>
                <w:rStyle w:val="29"/>
                <w:rFonts w:hint="eastAsia" w:ascii="仿宋_GB2312" w:hAnsi="仿宋_GB2312" w:eastAsia="仿宋_GB2312" w:cs="仿宋_GB2312"/>
                <w:b w:val="0"/>
                <w:bCs w:val="0"/>
                <w:color w:val="000000"/>
                <w:sz w:val="24"/>
                <w:szCs w:val="24"/>
                <w:highlight w:val="none"/>
                <w:lang w:val="en-US" w:eastAsia="zh-CN" w:bidi="ar"/>
              </w:rPr>
              <w:t>重点部门的布局流程合理，环境温湿度、卫生学指标符合相关标准和规范要求（0.1分）；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6"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3.</w:t>
            </w:r>
            <w:r>
              <w:rPr>
                <w:rStyle w:val="28"/>
                <w:rFonts w:hint="eastAsia" w:ascii="仿宋_GB2312" w:hAnsi="仿宋_GB2312" w:eastAsia="仿宋_GB2312" w:cs="仿宋_GB2312"/>
                <w:b w:val="0"/>
                <w:bCs w:val="0"/>
                <w:color w:val="000000"/>
                <w:sz w:val="24"/>
                <w:szCs w:val="24"/>
                <w:highlight w:val="none"/>
                <w:lang w:val="en-US" w:eastAsia="zh-CN" w:bidi="ar"/>
              </w:rPr>
              <w:t>访谈员工</w:t>
            </w:r>
            <w:r>
              <w:rPr>
                <w:rStyle w:val="29"/>
                <w:rFonts w:hint="eastAsia" w:ascii="仿宋_GB2312" w:hAnsi="仿宋_GB2312" w:eastAsia="仿宋_GB2312" w:cs="仿宋_GB2312"/>
                <w:b w:val="0"/>
                <w:bCs w:val="0"/>
                <w:color w:val="000000"/>
                <w:sz w:val="24"/>
                <w:szCs w:val="24"/>
                <w:highlight w:val="none"/>
                <w:lang w:val="en-US" w:eastAsia="zh-CN" w:bidi="ar"/>
              </w:rPr>
              <w:t>知晓重点部门、重点部位的清洁、消毒、隔离要求，操作方法正确（0.1分）；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4.重点部门感染管理小组与职能部门定期进行监督检查和持续改进，有相关工作记录（0.1分）。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3" w:hRule="atLeast"/>
        </w:trPr>
        <w:tc>
          <w:tcPr>
            <w:tcW w:w="14774"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（一百三十九）按照《医务人员手卫生规范》，建立医院手卫生管理制度。正确、充分配置有效、便捷的手卫生设备和设施，加强手卫生落实情况监管（1.5分）。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2.15.139.1</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根据《医务人员手卫生规范》要求，建立并落实手卫生管理制度。</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1.建立医院手卫生管理制度（0.3分）；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3"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2.结合医院实际情况确定手卫生改善策略，包括但不限于宣传、培训教育、监测、评估、反馈、绩效考核等（0.2分）；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3.有实例说明，评审周期内通过落实手卫生改善策略，手卫生工作得到明显改善，依从性不断提高（0.2分）。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7"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2.15.139.2</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充分配置与诊疗工作相匹配的，有效、便捷的手卫生设备和设施，手卫生的设备和设施包括但不限于流动水洗手设施、卫生手消毒设施等，并按照医院规定的周期进行手卫生依从性的监测与反馈。</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1.手卫生设备设施配置到位，符合手卫生规范要求，工作人员手卫生方法正确（0.2分）；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2"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2.制定手卫生依从性监测计划，明确监测部门和责任人、监测方法，</w:t>
            </w:r>
            <w:r>
              <w:rPr>
                <w:rStyle w:val="28"/>
                <w:rFonts w:hint="eastAsia" w:ascii="仿宋_GB2312" w:hAnsi="仿宋_GB2312" w:eastAsia="仿宋_GB2312" w:cs="仿宋_GB2312"/>
                <w:b w:val="0"/>
                <w:bCs w:val="0"/>
                <w:color w:val="000000"/>
                <w:sz w:val="24"/>
                <w:szCs w:val="24"/>
                <w:highlight w:val="none"/>
                <w:lang w:val="en-US" w:eastAsia="zh-CN" w:bidi="ar"/>
              </w:rPr>
              <w:t>科级至少每月一次、职能部门至少每季度一次进行监测，监测方法科学</w:t>
            </w:r>
            <w:r>
              <w:rPr>
                <w:rStyle w:val="29"/>
                <w:rFonts w:hint="eastAsia" w:ascii="仿宋_GB2312" w:hAnsi="仿宋_GB2312" w:eastAsia="仿宋_GB2312" w:cs="仿宋_GB2312"/>
                <w:b w:val="0"/>
                <w:bCs w:val="0"/>
                <w:color w:val="000000"/>
                <w:sz w:val="24"/>
                <w:szCs w:val="24"/>
                <w:highlight w:val="none"/>
                <w:lang w:val="en-US" w:eastAsia="zh-CN" w:bidi="ar"/>
              </w:rPr>
              <w:t>（0.2分）；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1"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3.按医院规定的周期实施手卫生依从性监测，收集和核查数据，进行评估和反馈，有记录（0.2分）；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4.职能部门和科室分别对手卫生落实情况进行监督检查，并持续改进，有记录</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0" w:hRule="atLeast"/>
        </w:trPr>
        <w:tc>
          <w:tcPr>
            <w:tcW w:w="14774"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（一百四十）有多重耐药菌医院感染控制管理规范与程序，有多部门共同参与的多重耐药菌管理合作机制。应用微生物室检测和医院感染管理数据信息指导临床合理使用抗菌药物（1分）。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6"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2.15.140.1</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根据本机构多重耐药菌流行趋势和特点建立多重耐药菌医院感染控制管理规范与程序。针对多重耐药菌医院感染的诊断、监测、预防与控制等环节，建立多部门共同参与的多重耐药菌管理协调机制。</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病历检查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病案检查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1.根据本机构多重耐药菌流行趋势和特点，明确监测和管理的目标菌，</w:t>
            </w:r>
            <w:r>
              <w:rPr>
                <w:rStyle w:val="28"/>
                <w:rFonts w:hint="eastAsia" w:ascii="仿宋_GB2312" w:hAnsi="仿宋_GB2312" w:eastAsia="仿宋_GB2312" w:cs="仿宋_GB2312"/>
                <w:b w:val="0"/>
                <w:bCs w:val="0"/>
                <w:color w:val="000000"/>
                <w:sz w:val="24"/>
                <w:szCs w:val="24"/>
                <w:highlight w:val="none"/>
                <w:lang w:val="en-US" w:eastAsia="zh-CN" w:bidi="ar"/>
              </w:rPr>
              <w:t>纳入目标防控的多重耐药菌包括但不限于:耐甲氧西林金黄色葡萄球菌(MRSA)、耐万古霉素的粪肠球菌和屎肠球菌(VRE)、耐碳青霉烯类抗菌药物的大肠埃希菌（CR-EC）和肺炎克雷伯菌（CR-KP）、耐碳青霉烯类抗菌药物鲍曼不动杆菌(CR-AB)和耐碳青霉烯类抗菌药物铜绿假单胞菌(CR-PA)，制订并落实多重耐药菌感染预防与控制规范，确定核心防控措施</w:t>
            </w:r>
            <w:r>
              <w:rPr>
                <w:rStyle w:val="29"/>
                <w:rFonts w:hint="eastAsia" w:ascii="仿宋_GB2312" w:hAnsi="仿宋_GB2312" w:eastAsia="仿宋_GB2312" w:cs="仿宋_GB2312"/>
                <w:b w:val="0"/>
                <w:bCs w:val="0"/>
                <w:color w:val="000000"/>
                <w:sz w:val="24"/>
                <w:szCs w:val="24"/>
                <w:highlight w:val="none"/>
                <w:lang w:val="en-US" w:eastAsia="zh-CN" w:bidi="ar"/>
              </w:rPr>
              <w:t>（0.1分）；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6"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2.建立包含多重耐药菌感染诊断、监测、感染预防与控制、护理、临床微生物学和临床药学在内的多学科协调机制，明确各部门的职责（0.1分）；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3"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3.落实防控核心措施，多重耐药菌感染在院患者、感染防控措施落实到位，病历、病案相关记录完善（0.1分）；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1"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4.院科两级对标本采集、送检、检测规范性以及多重耐药菌核心防控措施落实情况进行监督检查和持续改进，有记录（0.1分）；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9"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5.多部门协调解决多重耐药菌管理中存在的问题，有记录或相关案例（0.1分）。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2.15.140.2</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定期统计分析本院微生物室检测和医院感染管理数据信息，并将相关信息向临床推送，指导临床合理使用抗菌药物。</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1.制定微生物室检测和医院感染管理数据信息收集、汇总分析的计划，明确数据统计分析和反馈的周期</w:t>
            </w:r>
            <w:r>
              <w:rPr>
                <w:rStyle w:val="28"/>
                <w:rFonts w:hint="eastAsia" w:ascii="仿宋_GB2312" w:hAnsi="仿宋_GB2312" w:eastAsia="仿宋_GB2312" w:cs="仿宋_GB2312"/>
                <w:b w:val="0"/>
                <w:bCs w:val="0"/>
                <w:color w:val="000000"/>
                <w:sz w:val="24"/>
                <w:szCs w:val="24"/>
                <w:highlight w:val="none"/>
                <w:lang w:val="en-US" w:eastAsia="zh-CN" w:bidi="ar"/>
              </w:rPr>
              <w:t>（每季度一次）</w:t>
            </w:r>
            <w:r>
              <w:rPr>
                <w:rStyle w:val="29"/>
                <w:rFonts w:hint="eastAsia" w:ascii="仿宋_GB2312" w:hAnsi="仿宋_GB2312" w:eastAsia="仿宋_GB2312" w:cs="仿宋_GB2312"/>
                <w:b w:val="0"/>
                <w:bCs w:val="0"/>
                <w:color w:val="000000"/>
                <w:sz w:val="24"/>
                <w:szCs w:val="24"/>
                <w:highlight w:val="none"/>
                <w:lang w:val="en-US" w:eastAsia="zh-CN" w:bidi="ar"/>
              </w:rPr>
              <w:t>、信息推送渠道、相关责任部门和人员职责（0.1分）；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9"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2.按规定的周期收集、统计微生物室检测和医院感染管理数据信息，进行数据核查，向临床推送相关信息，临床方便获取相关信息（0.1分）；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3.按规定的周期分析微生物室检测和医院感染管理数据信息，有管理目标菌耐药趋势图，进行横向比较（0.1分）；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4.按规定的周期评估本院细菌耐药流行情况，对抗菌药物管理提出建议，并进行宣传培训，有实施记录（0.1分）；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5.有数据或案例说明，经过多部门协调管理，不断规范临床标本送检及多重耐药菌感染防控，抗菌药物的临床应用更合理（0.1分）。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3" w:hRule="atLeast"/>
        </w:trPr>
        <w:tc>
          <w:tcPr>
            <w:tcW w:w="14774" w:type="dxa"/>
            <w:gridSpan w:val="5"/>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（一百四十一）建立侵入性器械/操作相关感染防控制度。有医院侵入性器械、所开展手术及其他侵入性诊疗操作名录，制订相关防控措施并实施数据监测（1.5分）。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9"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2.15.141.1</w:t>
            </w:r>
          </w:p>
        </w:tc>
        <w:tc>
          <w:tcPr>
            <w:tcW w:w="4515" w:type="dxa"/>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医院有建立侵入性器械/操作相关感染防控制度；侵入性器械/操作相关感染防控主要包括但不限于导尿管相关尿路感染的预防与控制。</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1.根据本医院临床使用的侵入性器械（包括但不限于导尿管）、手术及其他侵入性操作制定相关感染防控制度和具体实施方案（0.2分）；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2.开展培训考核，医务人员熟练掌握防控措施及操作规程，有培训考核实施记录（0.2分）；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3.实施侵入性器械/操作相关感染发病率监测，每季度至少开展一次统计分析（0.1分）；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9"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4.科室有定期自查、总结分析、整改措施并落实（0.1分）；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left"/>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5.职能部门有定期督查、分析、反馈，并检查科室整改落实情况</w:t>
            </w:r>
            <w:r>
              <w:rPr>
                <w:rStyle w:val="28"/>
                <w:rFonts w:hint="eastAsia" w:ascii="仿宋_GB2312" w:hAnsi="仿宋_GB2312" w:eastAsia="仿宋_GB2312" w:cs="仿宋_GB2312"/>
                <w:b w:val="0"/>
                <w:bCs w:val="0"/>
                <w:color w:val="000000"/>
                <w:sz w:val="24"/>
                <w:szCs w:val="24"/>
                <w:highlight w:val="none"/>
                <w:lang w:val="en-US" w:eastAsia="zh-CN" w:bidi="ar"/>
              </w:rPr>
              <w:t>（0.1分）。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3" w:hRule="atLeast"/>
        </w:trPr>
        <w:tc>
          <w:tcPr>
            <w:tcW w:w="16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2.15.141.2</w:t>
            </w:r>
          </w:p>
        </w:tc>
        <w:tc>
          <w:tcPr>
            <w:tcW w:w="45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医院建立有本机构诊疗活动中使用的侵入性器械、所开展手术及其他侵入性诊疗操作名录。</w:t>
            </w:r>
          </w:p>
        </w:tc>
        <w:tc>
          <w:tcPr>
            <w:tcW w:w="16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建立本医院临床使用的侵入性器械/操作、手术以及其他侵入性操作的名录（0.2分）。</w:t>
            </w:r>
          </w:p>
        </w:tc>
        <w:tc>
          <w:tcPr>
            <w:tcW w:w="762"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6" w:hRule="atLeast"/>
        </w:trPr>
        <w:tc>
          <w:tcPr>
            <w:tcW w:w="16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2.15.141.3</w:t>
            </w:r>
          </w:p>
        </w:tc>
        <w:tc>
          <w:tcPr>
            <w:tcW w:w="45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根据侵入性器械、所开展手术及其他侵入性诊疗操作中的风险点，按照感染防控制度实施数据监测。</w:t>
            </w:r>
          </w:p>
        </w:tc>
        <w:tc>
          <w:tcPr>
            <w:tcW w:w="168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1.制定侵入性器械、所开展手术及其他侵入性诊疗操作中的风险点的清单（0.2分）；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8"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r>
              <w:rPr>
                <w:rStyle w:val="30"/>
                <w:rFonts w:hint="eastAsia" w:ascii="仿宋_GB2312" w:hAnsi="仿宋_GB2312" w:eastAsia="仿宋_GB2312" w:cs="仿宋_GB2312"/>
                <w:b w:val="0"/>
                <w:bCs w:val="0"/>
                <w:color w:val="000000"/>
                <w:sz w:val="24"/>
                <w:szCs w:val="24"/>
                <w:highlight w:val="none"/>
                <w:lang w:val="en-US" w:eastAsia="zh-CN" w:bidi="ar"/>
              </w:rPr>
              <w:t>按照感染防控措施对风险点实施数据监测，有记录</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r>
              <w:rPr>
                <w:rStyle w:val="30"/>
                <w:rFonts w:hint="eastAsia" w:ascii="仿宋_GB2312" w:hAnsi="仿宋_GB2312" w:eastAsia="仿宋_GB2312" w:cs="仿宋_GB2312"/>
                <w:b w:val="0"/>
                <w:bCs w:val="0"/>
                <w:color w:val="000000"/>
                <w:sz w:val="24"/>
                <w:szCs w:val="24"/>
                <w:highlight w:val="none"/>
                <w:lang w:val="en-US" w:eastAsia="zh-CN" w:bidi="ar"/>
              </w:rPr>
              <w:t>定期开展风险评估，根据风险评估结果调整核心感染防控措施</w:t>
            </w:r>
            <w:r>
              <w:rPr>
                <w:rStyle w:val="28"/>
                <w:rFonts w:hint="eastAsia" w:ascii="仿宋_GB2312" w:hAnsi="仿宋_GB2312" w:eastAsia="仿宋_GB2312" w:cs="仿宋_GB2312"/>
                <w:b w:val="0"/>
                <w:bCs w:val="0"/>
                <w:color w:val="000000"/>
                <w:sz w:val="24"/>
                <w:szCs w:val="24"/>
                <w:highlight w:val="none"/>
                <w:lang w:val="en-US" w:eastAsia="zh-CN" w:bidi="ar"/>
              </w:rPr>
              <w:t>（0.2分）。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2" w:hRule="atLeast"/>
        </w:trPr>
        <w:tc>
          <w:tcPr>
            <w:tcW w:w="14774"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四十二）按照有关法律法规，建立医院医疗废物、废液管理责任制，健全组织架构、管理制度和工作机制，落实岗位职责。医疗废物的分类、收集、运送、暂存、转移、登记造册和操作人员职业防护等符合规范。加强相关人员培训（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4" w:hRule="atLeast"/>
        </w:trPr>
        <w:tc>
          <w:tcPr>
            <w:tcW w:w="16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2.15.142.1</w:t>
            </w:r>
          </w:p>
        </w:tc>
        <w:tc>
          <w:tcPr>
            <w:tcW w:w="45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按照有关法律法规， 建立医院医疗废物、废液管理责任制，健全组织架构、管理制度和工作 机制，落实岗位职责。</w:t>
            </w:r>
          </w:p>
        </w:tc>
        <w:tc>
          <w:tcPr>
            <w:tcW w:w="168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1.建立医疗废物管理责任制，健全组织架构图，明确院科两级及</w:t>
            </w:r>
            <w:r>
              <w:rPr>
                <w:rStyle w:val="35"/>
                <w:rFonts w:hint="eastAsia" w:ascii="仿宋_GB2312" w:hAnsi="仿宋_GB2312" w:eastAsia="仿宋_GB2312" w:cs="仿宋_GB2312"/>
                <w:b w:val="0"/>
                <w:bCs w:val="0"/>
                <w:color w:val="000000"/>
                <w:sz w:val="24"/>
                <w:szCs w:val="24"/>
                <w:highlight w:val="none"/>
                <w:lang w:val="en-US" w:eastAsia="zh-CN" w:bidi="ar"/>
              </w:rPr>
              <w:t>医疗废物集中处置单位</w:t>
            </w:r>
            <w:r>
              <w:rPr>
                <w:rStyle w:val="29"/>
                <w:rFonts w:hint="eastAsia" w:ascii="仿宋_GB2312" w:hAnsi="仿宋_GB2312" w:eastAsia="仿宋_GB2312" w:cs="仿宋_GB2312"/>
                <w:b w:val="0"/>
                <w:bCs w:val="0"/>
                <w:color w:val="000000"/>
                <w:sz w:val="24"/>
                <w:szCs w:val="24"/>
                <w:highlight w:val="none"/>
                <w:lang w:val="en-US" w:eastAsia="zh-CN" w:bidi="ar"/>
              </w:rPr>
              <w:t>的管理责任，明确相关部门、岗位和人员职责（0.2分）；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9"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2.制定医疗废弃物、废水的管理制度、工作流程、应急预案、个人防护标准及职业暴露报告及处置流程（0.2分）。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167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2.15.142.2</w:t>
            </w:r>
          </w:p>
        </w:tc>
        <w:tc>
          <w:tcPr>
            <w:tcW w:w="45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医疗废物的分类收集、运送、暂存、登记、交接管理规范，对从事分类收集、运送、暂存等工作人员采取的职业防护措施符合规范。</w:t>
            </w:r>
          </w:p>
        </w:tc>
        <w:tc>
          <w:tcPr>
            <w:tcW w:w="168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人员访谈</w:t>
            </w: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1.医疗废弃物暂存处建筑布局符合要求，废弃物收集容器、转运工具、消毒设施符合要求</w:t>
            </w:r>
            <w:r>
              <w:rPr>
                <w:rStyle w:val="30"/>
                <w:rFonts w:hint="eastAsia" w:ascii="仿宋_GB2312" w:hAnsi="仿宋_GB2312" w:eastAsia="仿宋_GB2312" w:cs="仿宋_GB2312"/>
                <w:b w:val="0"/>
                <w:bCs w:val="0"/>
                <w:color w:val="000000"/>
                <w:sz w:val="24"/>
                <w:szCs w:val="24"/>
                <w:highlight w:val="none"/>
                <w:lang w:val="en-US" w:eastAsia="zh-CN" w:bidi="ar"/>
              </w:rPr>
              <w:t>（0.2分）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2.医疗废弃物分类收集、转运、暂存、登记、交接记录规范，评审周期内未因违规受处罚</w:t>
            </w:r>
            <w:r>
              <w:rPr>
                <w:rStyle w:val="35"/>
                <w:rFonts w:hint="eastAsia" w:ascii="仿宋_GB2312" w:hAnsi="仿宋_GB2312" w:eastAsia="仿宋_GB2312" w:cs="仿宋_GB2312"/>
                <w:b w:val="0"/>
                <w:bCs w:val="0"/>
                <w:color w:val="000000"/>
                <w:sz w:val="24"/>
                <w:szCs w:val="24"/>
                <w:highlight w:val="none"/>
                <w:lang w:val="en-US" w:eastAsia="zh-CN" w:bidi="ar"/>
              </w:rPr>
              <w:t>（0.2分）</w:t>
            </w:r>
            <w:r>
              <w:rPr>
                <w:rStyle w:val="29"/>
                <w:rFonts w:hint="eastAsia" w:ascii="仿宋_GB2312" w:hAnsi="仿宋_GB2312" w:eastAsia="仿宋_GB2312" w:cs="仿宋_GB2312"/>
                <w:b w:val="0"/>
                <w:bCs w:val="0"/>
                <w:color w:val="000000"/>
                <w:sz w:val="24"/>
                <w:szCs w:val="24"/>
                <w:highlight w:val="none"/>
                <w:lang w:val="en-US" w:eastAsia="zh-CN" w:bidi="ar"/>
              </w:rPr>
              <w:t>；</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8"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3.医疗废水设备设施齐全，运行良好，处理流程符合规范，排放达标，评审周期内未因违规排放受处罚（0.2分）；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5"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Style w:val="29"/>
                <w:rFonts w:hint="eastAsia" w:ascii="仿宋_GB2312" w:hAnsi="仿宋_GB2312" w:eastAsia="仿宋_GB2312" w:cs="仿宋_GB2312"/>
                <w:b w:val="0"/>
                <w:bCs w:val="0"/>
                <w:color w:val="000000"/>
                <w:sz w:val="24"/>
                <w:szCs w:val="24"/>
                <w:highlight w:val="none"/>
                <w:lang w:val="en-US" w:eastAsia="zh-CN" w:bidi="ar"/>
              </w:rPr>
              <w:t>4.个人防护措施配置到位，个人防护合格，</w:t>
            </w:r>
            <w:r>
              <w:rPr>
                <w:rStyle w:val="28"/>
                <w:rFonts w:hint="eastAsia" w:ascii="仿宋_GB2312" w:hAnsi="仿宋_GB2312" w:eastAsia="仿宋_GB2312" w:cs="仿宋_GB2312"/>
                <w:b w:val="0"/>
                <w:bCs w:val="0"/>
                <w:color w:val="000000"/>
                <w:sz w:val="24"/>
                <w:szCs w:val="24"/>
                <w:highlight w:val="none"/>
                <w:lang w:val="en-US" w:eastAsia="zh-CN" w:bidi="ar"/>
              </w:rPr>
              <w:t>工作人员建立健康档案，定期体检；</w:t>
            </w:r>
            <w:r>
              <w:rPr>
                <w:rStyle w:val="29"/>
                <w:rFonts w:hint="eastAsia" w:ascii="仿宋_GB2312" w:hAnsi="仿宋_GB2312" w:eastAsia="仿宋_GB2312" w:cs="仿宋_GB2312"/>
                <w:b w:val="0"/>
                <w:bCs w:val="0"/>
                <w:color w:val="000000"/>
                <w:sz w:val="24"/>
                <w:szCs w:val="24"/>
                <w:highlight w:val="none"/>
                <w:lang w:val="en-US" w:eastAsia="zh-CN" w:bidi="ar"/>
              </w:rPr>
              <w:t>工作人员按规定的流程进行职业暴露处置和报告，有记录（0.2分）；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5.科室有定期自查、总结分析、整改措施并落实（0.2分）；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1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6.职能部门每季度有检查评价、分析、反馈，并督导整改措施的落实（0.2分）。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1" w:hRule="atLeast"/>
        </w:trPr>
        <w:tc>
          <w:tcPr>
            <w:tcW w:w="167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2.15.142.3</w:t>
            </w:r>
          </w:p>
        </w:tc>
        <w:tc>
          <w:tcPr>
            <w:tcW w:w="4515" w:type="dxa"/>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加强相关人员培训。对从事分类收集、运送、暂存等工作人员及管理人员，根据岗位需要进行有关法律、法规、规章、规范性文件以及各种制度、工作流程、要求和意外事故的应急处理等方面的培训。</w:t>
            </w:r>
          </w:p>
        </w:tc>
        <w:tc>
          <w:tcPr>
            <w:tcW w:w="168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1.每年制定相关人员岗前培训和继续教育的计划，培训内容包含有关法律、法规、规章、规范性文件以及各种制度、工作流程、要求和意外事故的应急处理等方面（0.2分）；</w:t>
            </w:r>
          </w:p>
        </w:tc>
        <w:tc>
          <w:tcPr>
            <w:tcW w:w="76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9"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2.有培训考核记录（0.1分）；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91" w:hRule="atLeast"/>
        </w:trPr>
        <w:tc>
          <w:tcPr>
            <w:tcW w:w="1678"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4515" w:type="dxa"/>
            <w:vMerge w:val="continue"/>
            <w:tcBorders>
              <w:tl2br w:val="nil"/>
              <w:tr2bl w:val="nil"/>
            </w:tcBorders>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683"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c>
          <w:tcPr>
            <w:tcW w:w="6136"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3.访谈</w:t>
            </w:r>
            <w:r>
              <w:rPr>
                <w:rStyle w:val="30"/>
                <w:rFonts w:hint="eastAsia" w:ascii="仿宋_GB2312" w:hAnsi="仿宋_GB2312" w:eastAsia="仿宋_GB2312" w:cs="仿宋_GB2312"/>
                <w:b w:val="0"/>
                <w:bCs w:val="0"/>
                <w:color w:val="000000"/>
                <w:sz w:val="24"/>
                <w:szCs w:val="24"/>
                <w:highlight w:val="none"/>
                <w:lang w:val="en-US" w:eastAsia="zh-CN" w:bidi="ar"/>
              </w:rPr>
              <w:t>员工知晓</w:t>
            </w:r>
            <w:r>
              <w:rPr>
                <w:rStyle w:val="29"/>
                <w:rFonts w:hint="eastAsia" w:ascii="仿宋_GB2312" w:hAnsi="仿宋_GB2312" w:eastAsia="仿宋_GB2312" w:cs="仿宋_GB2312"/>
                <w:b w:val="0"/>
                <w:bCs w:val="0"/>
                <w:color w:val="000000"/>
                <w:sz w:val="24"/>
                <w:szCs w:val="24"/>
                <w:highlight w:val="none"/>
                <w:lang w:val="en-US" w:eastAsia="zh-CN" w:bidi="ar"/>
              </w:rPr>
              <w:t>本岗位相关的法规、制度和规范，熟练掌握工作流程、个人防护要求、职业暴露处置报告流程，操作正确（0.1分）。</w:t>
            </w:r>
          </w:p>
        </w:tc>
        <w:tc>
          <w:tcPr>
            <w:tcW w:w="762" w:type="dxa"/>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bl>
    <w:p>
      <w:pPr>
        <w:rPr>
          <w:color w:val="000000"/>
        </w:rPr>
      </w:pPr>
    </w:p>
    <w:p>
      <w:pPr>
        <w:rPr>
          <w:rFonts w:hint="eastAsia"/>
          <w:color w:val="000000"/>
          <w:lang w:eastAsia="zh-CN"/>
        </w:rPr>
      </w:pPr>
    </w:p>
    <w:p>
      <w:pPr>
        <w:pStyle w:val="2"/>
        <w:rPr>
          <w:rFonts w:hint="eastAsia"/>
          <w:color w:val="000000"/>
          <w:lang w:eastAsia="zh-CN"/>
        </w:rPr>
      </w:pPr>
    </w:p>
    <w:p>
      <w:pPr>
        <w:rPr>
          <w:rFonts w:hint="eastAsia"/>
          <w:color w:val="000000"/>
          <w:lang w:eastAsia="zh-CN"/>
        </w:rPr>
      </w:pPr>
    </w:p>
    <w:p>
      <w:pPr>
        <w:pStyle w:val="2"/>
        <w:rPr>
          <w:rFonts w:hint="eastAsia"/>
          <w:color w:val="000000"/>
          <w:lang w:eastAsia="zh-CN"/>
        </w:rPr>
      </w:pPr>
    </w:p>
    <w:p>
      <w:pPr>
        <w:rPr>
          <w:rFonts w:hint="eastAsia"/>
          <w:color w:val="000000"/>
          <w:lang w:eastAsia="zh-CN"/>
        </w:rPr>
      </w:pPr>
    </w:p>
    <w:p>
      <w:pPr>
        <w:pStyle w:val="2"/>
        <w:rPr>
          <w:rFonts w:hint="eastAsia"/>
          <w:color w:val="000000"/>
          <w:lang w:eastAsia="zh-CN"/>
        </w:rPr>
      </w:pPr>
    </w:p>
    <w:p>
      <w:pPr>
        <w:rPr>
          <w:rFonts w:hint="eastAsia"/>
          <w:color w:val="000000"/>
          <w:lang w:eastAsia="zh-CN"/>
        </w:rPr>
      </w:pPr>
    </w:p>
    <w:p>
      <w:pPr>
        <w:pStyle w:val="2"/>
        <w:rPr>
          <w:rFonts w:hint="eastAsia"/>
          <w:color w:val="000000"/>
          <w:lang w:eastAsia="zh-CN"/>
        </w:rPr>
      </w:pPr>
    </w:p>
    <w:p>
      <w:pPr>
        <w:rPr>
          <w:rFonts w:hint="eastAsia"/>
          <w:color w:val="000000"/>
          <w:lang w:eastAsia="zh-CN"/>
        </w:rPr>
      </w:pPr>
    </w:p>
    <w:p>
      <w:pPr>
        <w:pStyle w:val="2"/>
        <w:rPr>
          <w:rFonts w:hint="eastAsia"/>
          <w:color w:val="000000"/>
          <w:lang w:eastAsia="zh-CN"/>
        </w:rPr>
      </w:pPr>
    </w:p>
    <w:p>
      <w:pPr>
        <w:rPr>
          <w:rFonts w:hint="eastAsia"/>
          <w:color w:val="000000"/>
          <w:lang w:eastAsia="zh-CN"/>
        </w:rPr>
      </w:pPr>
    </w:p>
    <w:bookmarkEnd w:id="189"/>
    <w:p>
      <w:pPr>
        <w:pStyle w:val="4"/>
        <w:numPr>
          <w:ilvl w:val="0"/>
          <w:numId w:val="3"/>
        </w:numPr>
        <w:bidi w:val="0"/>
        <w:rPr>
          <w:rFonts w:hint="eastAsia"/>
          <w:color w:val="000000"/>
        </w:rPr>
      </w:pPr>
      <w:bookmarkStart w:id="190" w:name="_Toc1940"/>
      <w:r>
        <w:rPr>
          <w:rFonts w:hint="eastAsia"/>
          <w:color w:val="000000"/>
        </w:rPr>
        <w:t xml:space="preserve"> </w:t>
      </w:r>
      <w:bookmarkStart w:id="191" w:name="_Toc2587"/>
      <w:bookmarkStart w:id="192" w:name="_Toc2646"/>
      <w:bookmarkStart w:id="193" w:name="_Toc30587"/>
      <w:r>
        <w:rPr>
          <w:rFonts w:hint="eastAsia"/>
          <w:color w:val="000000"/>
        </w:rPr>
        <w:t>医院管理</w:t>
      </w:r>
      <w:bookmarkEnd w:id="190"/>
      <w:r>
        <w:rPr>
          <w:rFonts w:hint="eastAsia"/>
          <w:color w:val="000000"/>
        </w:rPr>
        <w:t>（</w:t>
      </w:r>
      <w:r>
        <w:rPr>
          <w:rFonts w:hint="eastAsia"/>
          <w:color w:val="000000"/>
          <w:lang w:val="en-US" w:eastAsia="zh-CN"/>
        </w:rPr>
        <w:t>96</w:t>
      </w:r>
      <w:r>
        <w:rPr>
          <w:rFonts w:hint="eastAsia"/>
          <w:color w:val="000000"/>
        </w:rPr>
        <w:t>分）</w:t>
      </w:r>
      <w:bookmarkEnd w:id="191"/>
      <w:bookmarkEnd w:id="192"/>
      <w:bookmarkEnd w:id="193"/>
    </w:p>
    <w:p>
      <w:pPr>
        <w:rPr>
          <w:rFonts w:hint="eastAsia"/>
          <w:color w:val="000000"/>
        </w:rPr>
      </w:pPr>
    </w:p>
    <w:p>
      <w:pPr>
        <w:pStyle w:val="5"/>
        <w:bidi w:val="0"/>
        <w:rPr>
          <w:rFonts w:hint="eastAsia" w:ascii="黑体" w:hAnsi="黑体" w:eastAsia="黑体" w:cs="黑体"/>
          <w:bCs/>
          <w:color w:val="000000"/>
          <w:szCs w:val="28"/>
        </w:rPr>
      </w:pPr>
      <w:bookmarkStart w:id="194" w:name="_Toc29565"/>
      <w:bookmarkStart w:id="195" w:name="_Toc1354"/>
      <w:bookmarkStart w:id="196" w:name="_Toc15524"/>
      <w:r>
        <w:rPr>
          <w:rFonts w:hint="eastAsia"/>
          <w:color w:val="000000"/>
          <w:lang w:eastAsia="zh-CN"/>
        </w:rPr>
        <w:t>一、</w:t>
      </w:r>
      <w:r>
        <w:rPr>
          <w:rFonts w:hint="eastAsia"/>
          <w:color w:val="000000"/>
        </w:rPr>
        <w:t>管理职责与决策执行机制（</w:t>
      </w:r>
      <w:r>
        <w:rPr>
          <w:rFonts w:hint="eastAsia"/>
          <w:color w:val="000000"/>
          <w:lang w:val="en-US" w:eastAsia="zh-CN"/>
        </w:rPr>
        <w:t>14</w:t>
      </w:r>
      <w:r>
        <w:rPr>
          <w:rFonts w:hint="eastAsia"/>
          <w:color w:val="000000"/>
        </w:rPr>
        <w:t>分）</w:t>
      </w:r>
      <w:bookmarkEnd w:id="194"/>
      <w:bookmarkEnd w:id="195"/>
      <w:bookmarkEnd w:id="196"/>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597"/>
        <w:gridCol w:w="1437"/>
        <w:gridCol w:w="720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4968" w:type="dxa"/>
            <w:gridSpan w:val="2"/>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val="en-US"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val="en-US" w:eastAsia="zh-CN"/>
              </w:rPr>
              <w:t>细则</w:t>
            </w:r>
          </w:p>
        </w:tc>
        <w:tc>
          <w:tcPr>
            <w:tcW w:w="1437"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7200"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982"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587" w:type="dxa"/>
            <w:gridSpan w:val="5"/>
            <w:noWrap w:val="0"/>
            <w:vAlign w:val="center"/>
          </w:tcPr>
          <w:p>
            <w:pPr>
              <w:widowControl/>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sz w:val="24"/>
                <w:szCs w:val="24"/>
              </w:rPr>
              <w:t>一百</w:t>
            </w:r>
            <w:r>
              <w:rPr>
                <w:rFonts w:hint="eastAsia" w:ascii="仿宋_GB2312" w:hAnsi="仿宋_GB2312" w:eastAsia="仿宋_GB2312" w:cs="仿宋_GB2312"/>
                <w:b w:val="0"/>
                <w:bCs w:val="0"/>
                <w:color w:val="000000"/>
                <w:sz w:val="24"/>
                <w:szCs w:val="24"/>
                <w:lang w:val="en-US" w:eastAsia="zh-CN"/>
              </w:rPr>
              <w:t>四十三</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制定医院章程，建立医院内部决策执行机制</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2.5</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r>
              <w:rPr>
                <w:rFonts w:hint="eastAsia" w:ascii="仿宋_GB2312" w:hAnsi="仿宋_GB2312" w:eastAsia="仿宋_GB2312" w:cs="仿宋_GB2312"/>
                <w:b w:val="0"/>
                <w:bCs w:val="0"/>
                <w:color w:val="000000"/>
                <w:kern w:val="0"/>
                <w:sz w:val="24"/>
                <w:szCs w:val="24"/>
                <w:lang w:val="en-US" w:eastAsia="zh-CN"/>
              </w:rPr>
              <w:t>1</w:t>
            </w:r>
            <w:r>
              <w:rPr>
                <w:rFonts w:hint="eastAsia" w:ascii="仿宋_GB2312" w:hAnsi="仿宋_GB2312" w:eastAsia="仿宋_GB2312" w:cs="仿宋_GB2312"/>
                <w:b w:val="0"/>
                <w:bCs w:val="0"/>
                <w:color w:val="000000"/>
                <w:kern w:val="0"/>
                <w:sz w:val="24"/>
                <w:szCs w:val="24"/>
              </w:rPr>
              <w:t>.1</w:t>
            </w:r>
            <w:r>
              <w:rPr>
                <w:rFonts w:hint="eastAsia" w:ascii="仿宋_GB2312" w:hAnsi="仿宋_GB2312" w:eastAsia="仿宋_GB2312" w:cs="仿宋_GB2312"/>
                <w:b w:val="0"/>
                <w:bCs w:val="0"/>
                <w:color w:val="000000"/>
                <w:kern w:val="0"/>
                <w:sz w:val="24"/>
                <w:szCs w:val="24"/>
                <w:lang w:val="en-US" w:eastAsia="zh-CN"/>
              </w:rPr>
              <w:t>43</w:t>
            </w:r>
            <w:r>
              <w:rPr>
                <w:rFonts w:hint="eastAsia" w:ascii="仿宋_GB2312" w:hAnsi="仿宋_GB2312" w:eastAsia="仿宋_GB2312" w:cs="仿宋_GB2312"/>
                <w:b w:val="0"/>
                <w:bCs w:val="0"/>
                <w:color w:val="000000"/>
                <w:kern w:val="0"/>
                <w:sz w:val="24"/>
                <w:szCs w:val="24"/>
              </w:rPr>
              <w:t>.1</w:t>
            </w:r>
          </w:p>
        </w:tc>
        <w:tc>
          <w:tcPr>
            <w:tcW w:w="3597"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line="280" w:lineRule="exact"/>
              <w:ind w:right="96"/>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制定医院章程，建立健全医院内部治理体系、议事规则、办事程序，</w:t>
            </w:r>
            <w:r>
              <w:rPr>
                <w:rFonts w:hint="eastAsia" w:ascii="仿宋_GB2312" w:hAnsi="仿宋_GB2312" w:eastAsia="仿宋_GB2312" w:cs="仿宋_GB2312"/>
                <w:b w:val="0"/>
                <w:bCs w:val="0"/>
                <w:color w:val="000000"/>
                <w:sz w:val="24"/>
                <w:szCs w:val="24"/>
              </w:rPr>
              <w:t>提高医院运行效率。</w:t>
            </w:r>
          </w:p>
          <w:p>
            <w:pPr>
              <w:widowControl/>
              <w:rPr>
                <w:rFonts w:hint="eastAsia" w:ascii="仿宋_GB2312" w:hAnsi="仿宋_GB2312" w:eastAsia="仿宋_GB2312" w:cs="仿宋_GB2312"/>
                <w:b w:val="0"/>
                <w:bCs w:val="0"/>
                <w:color w:val="000000"/>
                <w:kern w:val="0"/>
                <w:sz w:val="24"/>
                <w:szCs w:val="24"/>
              </w:rPr>
            </w:pPr>
          </w:p>
        </w:tc>
        <w:tc>
          <w:tcPr>
            <w:tcW w:w="1437" w:type="dxa"/>
            <w:vMerge w:val="restart"/>
            <w:noWrap w:val="0"/>
            <w:vAlign w:val="center"/>
          </w:tcPr>
          <w:p>
            <w:pPr>
              <w:pStyle w:val="6"/>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pStyle w:val="6"/>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pStyle w:val="6"/>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sz w:val="24"/>
                <w:szCs w:val="24"/>
                <w:lang w:val="en-US" w:eastAsia="zh-CN"/>
              </w:rPr>
              <w:t>制定有</w:t>
            </w:r>
            <w:r>
              <w:rPr>
                <w:rFonts w:hint="eastAsia" w:ascii="仿宋_GB2312" w:hAnsi="仿宋_GB2312" w:eastAsia="仿宋_GB2312" w:cs="仿宋_GB2312"/>
                <w:b w:val="0"/>
                <w:bCs w:val="0"/>
                <w:color w:val="000000"/>
                <w:sz w:val="24"/>
                <w:szCs w:val="24"/>
              </w:rPr>
              <w:t>医院章程（0.</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分）；</w:t>
            </w:r>
          </w:p>
        </w:tc>
        <w:tc>
          <w:tcPr>
            <w:tcW w:w="982" w:type="dxa"/>
            <w:vMerge w:val="restart"/>
            <w:noWrap w:val="0"/>
            <w:vAlign w:val="center"/>
          </w:tcPr>
          <w:p>
            <w:pPr>
              <w:widowControl/>
              <w:ind w:firstLine="480" w:firstLineChars="200"/>
              <w:rPr>
                <w:rFonts w:hint="eastAsia" w:ascii="仿宋_GB2312" w:hAnsi="仿宋_GB2312" w:eastAsia="仿宋_GB2312" w:cs="仿宋_GB2312"/>
                <w:b w:val="0"/>
                <w:bCs w:val="0"/>
                <w:color w:val="000000"/>
                <w:sz w:val="24"/>
                <w:szCs w:val="24"/>
                <w:lang w:val="en-US" w:eastAsia="zh-CN"/>
              </w:rPr>
            </w:pPr>
          </w:p>
          <w:p>
            <w:pPr>
              <w:pStyle w:val="2"/>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71"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pStyle w:val="6"/>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sz w:val="24"/>
                <w:szCs w:val="24"/>
                <w:lang w:val="en-US" w:eastAsia="zh-CN"/>
              </w:rPr>
              <w:t>制定有医院内部决策制度，包括决策原则、决策范围、决策程序、执行程序等方面内容</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0.5</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c>
          <w:tcPr>
            <w:tcW w:w="982" w:type="dxa"/>
            <w:vMerge w:val="continue"/>
            <w:noWrap w:val="0"/>
            <w:vAlign w:val="center"/>
          </w:tcPr>
          <w:p>
            <w:pPr>
              <w:pStyle w:val="2"/>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71"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pStyle w:val="6"/>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3.医院有岗位职责汇编，院领导班子分工红头文件（0.5分）；</w:t>
            </w:r>
          </w:p>
        </w:tc>
        <w:tc>
          <w:tcPr>
            <w:tcW w:w="982" w:type="dxa"/>
            <w:vMerge w:val="continue"/>
            <w:noWrap w:val="0"/>
            <w:vAlign w:val="center"/>
          </w:tcPr>
          <w:p>
            <w:pPr>
              <w:pStyle w:val="2"/>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71"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pStyle w:val="6"/>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4.访谈院领导班子成员、院办、人事科、财务科、后勤保障部、科教科、纪检监察室及重要业务职能科室负责人，回答不全每人次扣0.1分。【访谈提纲：本人分管/担任负责人的职能部门职责与本岗位责任；医院规定的议事规则及执行、落实情况；仍然从事临床专业工作的兼职院领导和职能部门负责人的周程安排；行政查房方式、时间和基本内容构成；相关重大事项前论证规则和程序。收集、反馈员工建议和意见的渠道、方式和鼓励措施】（0.5分）；</w:t>
            </w:r>
          </w:p>
        </w:tc>
        <w:tc>
          <w:tcPr>
            <w:tcW w:w="982" w:type="dxa"/>
            <w:vMerge w:val="continue"/>
            <w:noWrap w:val="0"/>
            <w:vAlign w:val="center"/>
          </w:tcPr>
          <w:p>
            <w:pPr>
              <w:pStyle w:val="2"/>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71"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pStyle w:val="6"/>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5.访谈医院职工代表大会非领导或中层干部代表。【访谈内容：医院对职工代表提出意见、建议、提案的回复办理情况；“三重一大”事项向职代会通报并接受监督情况；职工参与医院管理，提出意见、建议的渠道等。】回答不对扣0.1分/人次，扣完为止（0.5分）。</w:t>
            </w:r>
          </w:p>
        </w:tc>
        <w:tc>
          <w:tcPr>
            <w:tcW w:w="982" w:type="dxa"/>
            <w:vMerge w:val="continue"/>
            <w:noWrap w:val="0"/>
            <w:vAlign w:val="center"/>
          </w:tcPr>
          <w:p>
            <w:pPr>
              <w:pStyle w:val="2"/>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587" w:type="dxa"/>
            <w:gridSpan w:val="5"/>
            <w:noWrap w:val="0"/>
            <w:vAlign w:val="center"/>
          </w:tcPr>
          <w:p>
            <w:pPr>
              <w:widowControl/>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sz w:val="24"/>
                <w:szCs w:val="24"/>
              </w:rPr>
              <w:t>（一百</w:t>
            </w:r>
            <w:r>
              <w:rPr>
                <w:rFonts w:hint="eastAsia" w:ascii="仿宋_GB2312" w:hAnsi="仿宋_GB2312" w:eastAsia="仿宋_GB2312" w:cs="仿宋_GB2312"/>
                <w:b w:val="0"/>
                <w:bCs w:val="0"/>
                <w:color w:val="000000"/>
                <w:sz w:val="24"/>
                <w:szCs w:val="24"/>
                <w:lang w:val="en-US" w:eastAsia="zh-CN"/>
              </w:rPr>
              <w:t>四十四</w:t>
            </w:r>
            <w:r>
              <w:rPr>
                <w:rFonts w:hint="eastAsia" w:ascii="仿宋_GB2312" w:hAnsi="仿宋_GB2312" w:eastAsia="仿宋_GB2312" w:cs="仿宋_GB2312"/>
                <w:b w:val="0"/>
                <w:bCs w:val="0"/>
                <w:color w:val="000000"/>
                <w:sz w:val="24"/>
                <w:szCs w:val="24"/>
              </w:rPr>
              <w:t>）公立医院加强党的建设，明确党委职责，充分发挥医院党委的领导作用，实施党委领导下的院长负责制，健全医院党委与行政领导班子议事决策制度（</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3.1.144.</w:t>
            </w:r>
            <w:r>
              <w:rPr>
                <w:rFonts w:hint="eastAsia" w:ascii="仿宋_GB2312" w:hAnsi="仿宋_GB2312" w:eastAsia="仿宋_GB2312" w:cs="仿宋_GB2312"/>
                <w:b w:val="0"/>
                <w:bCs w:val="0"/>
                <w:color w:val="000000"/>
                <w:kern w:val="0"/>
                <w:sz w:val="24"/>
                <w:szCs w:val="24"/>
              </w:rPr>
              <w:t>1</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在章程中明确党委职责，充分发挥医院党委的领导作用。</w:t>
            </w:r>
          </w:p>
        </w:tc>
        <w:tc>
          <w:tcPr>
            <w:tcW w:w="1437" w:type="dxa"/>
            <w:vMerge w:val="restart"/>
            <w:noWrap w:val="0"/>
            <w:vAlign w:val="center"/>
          </w:tcPr>
          <w:p>
            <w:pPr>
              <w:widowControl/>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文件查阅</w:t>
            </w:r>
          </w:p>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记录查看</w:t>
            </w:r>
          </w:p>
        </w:tc>
        <w:tc>
          <w:tcPr>
            <w:tcW w:w="7200" w:type="dxa"/>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1.查看医院章程有明确的医院党委职责（0.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982" w:type="dxa"/>
            <w:vMerge w:val="restart"/>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2.医院“三重一大”事项决策体现集体领导、民主集中、个别酝酿、会议决定原则，</w:t>
            </w:r>
            <w:r>
              <w:rPr>
                <w:rFonts w:hint="eastAsia" w:ascii="仿宋_GB2312" w:eastAsia="仿宋_GB2312" w:cs="仿宋_GB2312"/>
                <w:color w:val="000000"/>
                <w:sz w:val="24"/>
                <w:szCs w:val="24"/>
                <w:lang w:bidi="ar"/>
              </w:rPr>
              <w:t>凡属“三重</w:t>
            </w:r>
            <w:r>
              <w:rPr>
                <w:rFonts w:hint="eastAsia" w:ascii="仿宋_GB2312" w:eastAsia="仿宋_GB2312" w:cs="仿宋_GB2312"/>
                <w:color w:val="000000"/>
                <w:sz w:val="24"/>
                <w:szCs w:val="24"/>
                <w:lang w:val="en-US" w:eastAsia="zh-CN" w:bidi="ar"/>
              </w:rPr>
              <w:t>一</w:t>
            </w:r>
            <w:r>
              <w:rPr>
                <w:rFonts w:hint="eastAsia" w:ascii="仿宋_GB2312" w:eastAsia="仿宋_GB2312" w:cs="仿宋_GB2312"/>
                <w:color w:val="000000"/>
                <w:sz w:val="24"/>
                <w:szCs w:val="24"/>
                <w:lang w:bidi="ar"/>
              </w:rPr>
              <w:t>大</w:t>
            </w:r>
            <w:r>
              <w:rPr>
                <w:rFonts w:hint="eastAsia" w:ascii="仿宋_GB2312" w:eastAsia="仿宋_GB2312" w:cs="仿宋_GB2312"/>
                <w:color w:val="000000"/>
                <w:sz w:val="24"/>
                <w:szCs w:val="24"/>
                <w:lang w:eastAsia="zh-CN" w:bidi="ar"/>
              </w:rPr>
              <w:t>”</w:t>
            </w:r>
            <w:r>
              <w:rPr>
                <w:rFonts w:hint="eastAsia" w:ascii="仿宋_GB2312" w:eastAsia="仿宋_GB2312" w:cs="仿宋_GB2312"/>
                <w:color w:val="000000"/>
                <w:sz w:val="24"/>
                <w:szCs w:val="24"/>
                <w:lang w:bidi="ar"/>
              </w:rPr>
              <w:t>事项均召开医院党委会议集体研究决定</w:t>
            </w:r>
            <w:r>
              <w:rPr>
                <w:rFonts w:hint="eastAsia" w:ascii="仿宋_GB2312" w:eastAsia="仿宋_GB2312" w:cs="仿宋_GB2312"/>
                <w:color w:val="000000"/>
                <w:sz w:val="24"/>
                <w:szCs w:val="24"/>
                <w:lang w:eastAsia="zh-CN" w:bidi="ar"/>
              </w:rPr>
              <w:t>，</w:t>
            </w:r>
            <w:r>
              <w:rPr>
                <w:rFonts w:hint="eastAsia" w:ascii="仿宋_GB2312" w:hAnsi="仿宋_GB2312" w:eastAsia="仿宋_GB2312" w:cs="仿宋_GB2312"/>
                <w:b w:val="0"/>
                <w:bCs w:val="0"/>
                <w:color w:val="000000"/>
                <w:sz w:val="24"/>
                <w:szCs w:val="24"/>
              </w:rPr>
              <w:t>发挥党委集体讨论决定的领导作用</w:t>
            </w:r>
            <w:r>
              <w:rPr>
                <w:rFonts w:hint="eastAsia" w:ascii="仿宋_GB2312" w:hAnsi="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（0.3分）。</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3.1.144.</w:t>
            </w:r>
            <w:r>
              <w:rPr>
                <w:rFonts w:hint="eastAsia" w:ascii="仿宋_GB2312" w:hAnsi="仿宋_GB2312" w:eastAsia="仿宋_GB2312" w:cs="仿宋_GB2312"/>
                <w:b w:val="0"/>
                <w:bCs w:val="0"/>
                <w:color w:val="000000"/>
                <w:kern w:val="0"/>
                <w:sz w:val="24"/>
                <w:szCs w:val="24"/>
              </w:rPr>
              <w:t>2</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实施党委领导下的院长负责制。</w:t>
            </w:r>
          </w:p>
        </w:tc>
        <w:tc>
          <w:tcPr>
            <w:tcW w:w="1437" w:type="dxa"/>
            <w:vMerge w:val="restart"/>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现场查看</w:t>
            </w:r>
          </w:p>
          <w:p>
            <w:pPr>
              <w:pStyle w:val="2"/>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tc>
        <w:tc>
          <w:tcPr>
            <w:tcW w:w="72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1.医院章程、职责制度体现实施党委领导下的院长负责制</w:t>
            </w:r>
            <w:r>
              <w:rPr>
                <w:rFonts w:hint="eastAsia" w:ascii="仿宋_GB2312" w:eastAsia="仿宋_GB2312" w:cs="仿宋_GB2312"/>
                <w:color w:val="000000"/>
                <w:sz w:val="24"/>
                <w:szCs w:val="24"/>
                <w:lang w:eastAsia="zh-CN" w:bidi="ar"/>
              </w:rPr>
              <w:t>，将党组织的设置形式、地位作用、职责权限和党务工作机构、经费保障等内容要求写入医院章程，明确党组织在医院决策、执行、监督等缓解的权责和机制，把党的领导融入医院治理各环节</w:t>
            </w:r>
            <w:r>
              <w:rPr>
                <w:rFonts w:hint="eastAsia" w:ascii="仿宋_GB2312" w:hAnsi="仿宋_GB2312" w:eastAsia="仿宋_GB2312" w:cs="仿宋_GB2312"/>
                <w:b w:val="0"/>
                <w:bCs w:val="0"/>
                <w:i w:val="0"/>
                <w:iCs w:val="0"/>
                <w:color w:val="000000"/>
                <w:kern w:val="0"/>
                <w:sz w:val="24"/>
                <w:szCs w:val="24"/>
                <w:u w:val="none"/>
                <w:lang w:val="en-US" w:eastAsia="zh-CN" w:bidi="ar"/>
              </w:rPr>
              <w:t>（0.3分）；</w:t>
            </w:r>
          </w:p>
        </w:tc>
        <w:tc>
          <w:tcPr>
            <w:tcW w:w="982" w:type="dxa"/>
            <w:vMerge w:val="restart"/>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71" w:type="dxa"/>
            <w:vMerge w:val="continue"/>
            <w:noWrap w:val="0"/>
            <w:vAlign w:val="center"/>
          </w:tcPr>
          <w:p>
            <w:pPr>
              <w:widowControl/>
              <w:jc w:val="left"/>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left"/>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left"/>
              <w:rPr>
                <w:rFonts w:hint="eastAsia" w:ascii="仿宋_GB2312" w:hAnsi="仿宋_GB2312" w:eastAsia="仿宋_GB2312" w:cs="仿宋_GB2312"/>
                <w:b w:val="0"/>
                <w:bCs w:val="0"/>
                <w:color w:val="000000"/>
                <w:sz w:val="24"/>
                <w:szCs w:val="24"/>
              </w:rPr>
            </w:pPr>
          </w:p>
        </w:tc>
        <w:tc>
          <w:tcPr>
            <w:tcW w:w="72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2.医院在医、教、研、行政管理决策工作中落实党委领导下的院长负责制，支持院长依法依规负责地行使院长职权（0.4分）。</w:t>
            </w:r>
          </w:p>
        </w:tc>
        <w:tc>
          <w:tcPr>
            <w:tcW w:w="982" w:type="dxa"/>
            <w:vMerge w:val="continue"/>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3.1.144.</w:t>
            </w:r>
            <w:r>
              <w:rPr>
                <w:rFonts w:hint="eastAsia" w:ascii="仿宋_GB2312" w:hAnsi="仿宋_GB2312" w:eastAsia="仿宋_GB2312" w:cs="仿宋_GB2312"/>
                <w:b w:val="0"/>
                <w:bCs w:val="0"/>
                <w:color w:val="000000"/>
                <w:kern w:val="0"/>
                <w:sz w:val="24"/>
                <w:szCs w:val="24"/>
              </w:rPr>
              <w:t>3</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健全医院党委与行政领导班子议事决策制度。</w:t>
            </w:r>
          </w:p>
        </w:tc>
        <w:tc>
          <w:tcPr>
            <w:tcW w:w="1437" w:type="dxa"/>
            <w:vMerge w:val="restart"/>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现场查看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记录查看</w:t>
            </w:r>
          </w:p>
          <w:p>
            <w:pPr>
              <w:widowControl/>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员工访谈</w:t>
            </w:r>
          </w:p>
          <w:p>
            <w:pPr>
              <w:pStyle w:val="2"/>
              <w:rPr>
                <w:rFonts w:hint="eastAsia" w:ascii="仿宋_GB2312" w:hAnsi="仿宋_GB2312" w:eastAsia="仿宋_GB2312" w:cs="仿宋_GB2312"/>
                <w:b w:val="0"/>
                <w:bCs w:val="0"/>
                <w:color w:val="000000"/>
                <w:sz w:val="24"/>
                <w:szCs w:val="24"/>
                <w:lang w:eastAsia="zh-CN"/>
              </w:rPr>
            </w:pPr>
          </w:p>
        </w:tc>
        <w:tc>
          <w:tcPr>
            <w:tcW w:w="72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w:t>
            </w:r>
            <w:r>
              <w:rPr>
                <w:rFonts w:hint="eastAsia" w:ascii="仿宋_GB2312" w:eastAsia="仿宋_GB2312" w:cs="仿宋_GB2312"/>
                <w:color w:val="000000"/>
                <w:sz w:val="24"/>
                <w:szCs w:val="24"/>
                <w:lang w:bidi="ar"/>
              </w:rPr>
              <w:t>参照国家和自治区印发的公立医院党委会议和院长办公会议议事规则示范文本修订完善议事规则，明确“三重一大”事项，建立健全党委书记和院长经常性沟通制度</w:t>
            </w:r>
            <w:r>
              <w:rPr>
                <w:rFonts w:hint="eastAsia" w:ascii="仿宋_GB2312" w:hAnsi="仿宋_GB2312" w:eastAsia="仿宋_GB2312" w:cs="仿宋_GB2312"/>
                <w:b w:val="0"/>
                <w:bCs w:val="0"/>
                <w:i w:val="0"/>
                <w:iCs w:val="0"/>
                <w:color w:val="000000"/>
                <w:kern w:val="0"/>
                <w:sz w:val="24"/>
                <w:szCs w:val="24"/>
                <w:u w:val="none"/>
                <w:lang w:val="en-US" w:eastAsia="zh-CN" w:bidi="ar"/>
              </w:rPr>
              <w:t>（0.3分）；</w:t>
            </w:r>
          </w:p>
        </w:tc>
        <w:tc>
          <w:tcPr>
            <w:tcW w:w="982" w:type="dxa"/>
            <w:vMerge w:val="restart"/>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2.访谈院领导班子成员、院办、人事科、财务科、后勤保障部、科教科、纪检监察室及重要业务职能科室负责人，知晓医院议事决策规则并执行（0.4分）。</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587" w:type="dxa"/>
            <w:gridSpan w:val="5"/>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（一百</w:t>
            </w:r>
            <w:r>
              <w:rPr>
                <w:rFonts w:hint="eastAsia" w:ascii="仿宋_GB2312" w:hAnsi="仿宋_GB2312" w:eastAsia="仿宋_GB2312" w:cs="仿宋_GB2312"/>
                <w:b w:val="0"/>
                <w:bCs w:val="0"/>
                <w:color w:val="000000"/>
                <w:sz w:val="24"/>
                <w:szCs w:val="24"/>
                <w:lang w:val="en-US" w:eastAsia="zh-CN"/>
              </w:rPr>
              <w:t>四十五</w:t>
            </w:r>
            <w:r>
              <w:rPr>
                <w:rFonts w:hint="eastAsia" w:ascii="仿宋_GB2312" w:hAnsi="仿宋_GB2312" w:eastAsia="仿宋_GB2312" w:cs="仿宋_GB2312"/>
                <w:b w:val="0"/>
                <w:bCs w:val="0"/>
                <w:color w:val="000000"/>
                <w:sz w:val="24"/>
                <w:szCs w:val="24"/>
              </w:rPr>
              <w:t>）医院管理组织机构设置合理，根据法律法规、规章规范以及相关标准，结合本院实际，制定各项规章制度和岗位职责，并及时修订完善。各级管理人员按分工履行职责，建立部门、科室间沟通与协调机制，各部门和科室命名规范（</w:t>
            </w:r>
            <w:r>
              <w:rPr>
                <w:rFonts w:hint="eastAsia" w:ascii="仿宋_GB2312" w:hAnsi="仿宋_GB2312" w:eastAsia="仿宋_GB2312" w:cs="仿宋_GB2312"/>
                <w:b w:val="0"/>
                <w:bCs w:val="0"/>
                <w:color w:val="000000"/>
                <w:sz w:val="24"/>
                <w:szCs w:val="24"/>
                <w:lang w:val="en-US" w:eastAsia="zh-CN"/>
              </w:rPr>
              <w:t>2.5</w:t>
            </w:r>
            <w:r>
              <w:rPr>
                <w:rFonts w:hint="eastAsia" w:ascii="仿宋_GB2312" w:hAnsi="仿宋_GB2312" w:eastAsia="仿宋_GB2312" w:cs="仿宋_GB2312"/>
                <w:b w:val="0"/>
                <w:bCs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71" w:type="dxa"/>
            <w:vMerge w:val="restart"/>
            <w:noWrap w:val="0"/>
            <w:vAlign w:val="center"/>
          </w:tcPr>
          <w:p>
            <w:pPr>
              <w:widowControl/>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3.1.145.1</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根据其功能、任务，设置合理的管理机构，部门职能、职责划分明确。</w:t>
            </w:r>
          </w:p>
        </w:tc>
        <w:tc>
          <w:tcPr>
            <w:tcW w:w="1437"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pStyle w:val="2"/>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1.根据</w:t>
            </w:r>
            <w:r>
              <w:rPr>
                <w:rFonts w:hint="eastAsia" w:ascii="仿宋_GB2312" w:hAnsi="仿宋_GB2312" w:eastAsia="仿宋_GB2312" w:cs="仿宋_GB2312"/>
                <w:b w:val="0"/>
                <w:bCs w:val="0"/>
                <w:color w:val="000000"/>
                <w:sz w:val="24"/>
                <w:szCs w:val="24"/>
                <w:lang w:val="en-US" w:eastAsia="zh-CN"/>
              </w:rPr>
              <w:t>医院</w:t>
            </w:r>
            <w:r>
              <w:rPr>
                <w:rFonts w:hint="eastAsia" w:ascii="仿宋_GB2312" w:hAnsi="仿宋_GB2312" w:eastAsia="仿宋_GB2312" w:cs="仿宋_GB2312"/>
                <w:b w:val="0"/>
                <w:bCs w:val="0"/>
                <w:color w:val="000000"/>
                <w:sz w:val="24"/>
                <w:szCs w:val="24"/>
              </w:rPr>
              <w:t>功能、任务，设置合理的管理机构</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组织架构图</w:t>
            </w:r>
            <w:r>
              <w:rPr>
                <w:rFonts w:hint="eastAsia" w:ascii="仿宋_GB2312" w:hAnsi="仿宋_GB2312" w:eastAsia="仿宋_GB2312" w:cs="仿宋_GB2312"/>
                <w:b w:val="0"/>
                <w:bCs w:val="0"/>
                <w:color w:val="000000"/>
                <w:sz w:val="24"/>
                <w:szCs w:val="24"/>
                <w:lang w:val="en-US" w:eastAsia="zh-CN"/>
              </w:rPr>
              <w:t>清晰明了</w:t>
            </w:r>
            <w:r>
              <w:rPr>
                <w:rFonts w:hint="eastAsia"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982" w:type="dxa"/>
            <w:vMerge w:val="restart"/>
            <w:noWrap w:val="0"/>
            <w:vAlign w:val="center"/>
          </w:tcPr>
          <w:p>
            <w:pPr>
              <w:widowControl/>
              <w:numPr>
                <w:ilvl w:val="0"/>
                <w:numId w:val="0"/>
              </w:numPr>
              <w:ind w:leftChars="0"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sz w:val="24"/>
                <w:szCs w:val="24"/>
                <w:lang w:val="en-US" w:eastAsia="zh-CN"/>
              </w:rPr>
              <w:t>各部门职能职责划分明确，有</w:t>
            </w:r>
            <w:r>
              <w:rPr>
                <w:rFonts w:hint="eastAsia" w:ascii="仿宋_GB2312" w:hAnsi="仿宋_GB2312" w:eastAsia="仿宋_GB2312" w:cs="仿宋_GB2312"/>
                <w:b w:val="0"/>
                <w:bCs w:val="0"/>
                <w:color w:val="000000"/>
                <w:sz w:val="24"/>
                <w:szCs w:val="24"/>
              </w:rPr>
              <w:t>岗位职责说明书（0.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3.1.145.</w:t>
            </w:r>
            <w:r>
              <w:rPr>
                <w:rFonts w:hint="eastAsia" w:ascii="仿宋_GB2312" w:hAnsi="仿宋_GB2312" w:eastAsia="仿宋_GB2312" w:cs="仿宋_GB2312"/>
                <w:b w:val="0"/>
                <w:bCs w:val="0"/>
                <w:color w:val="000000"/>
                <w:kern w:val="0"/>
                <w:sz w:val="24"/>
                <w:szCs w:val="24"/>
              </w:rPr>
              <w:t>2</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各级管理人员按分工履行职责，建立部门、科室间沟通与协调机制，履行协调职能，提高工作效率。</w:t>
            </w:r>
          </w:p>
        </w:tc>
        <w:tc>
          <w:tcPr>
            <w:tcW w:w="1437"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1.建立有部门和科室间的沟通协调机制（0.1分）；</w:t>
            </w:r>
          </w:p>
        </w:tc>
        <w:tc>
          <w:tcPr>
            <w:tcW w:w="982" w:type="dxa"/>
            <w:vMerge w:val="restart"/>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仿宋_GB2312" w:hAnsi="仿宋_GB2312" w:eastAsia="仿宋_GB2312" w:cs="仿宋_GB2312"/>
                <w:b w:val="0"/>
                <w:bCs w:val="0"/>
                <w:color w:val="000000"/>
                <w:sz w:val="24"/>
                <w:szCs w:val="24"/>
              </w:rPr>
            </w:pPr>
          </w:p>
          <w:p>
            <w:pPr>
              <w:widowControl/>
              <w:jc w:val="center"/>
              <w:rPr>
                <w:rFonts w:hint="default" w:ascii="仿宋_GB2312" w:hAnsi="仿宋_GB2312" w:eastAsia="仿宋_GB2312" w:cs="仿宋_GB2312"/>
                <w:b w:val="0"/>
                <w:bCs w:val="0"/>
                <w:color w:val="000000"/>
                <w:kern w:val="0"/>
                <w:sz w:val="24"/>
                <w:szCs w:val="24"/>
                <w:lang w:val="en-US"/>
              </w:rPr>
            </w:pPr>
            <w:r>
              <w:rPr>
                <w:rFonts w:hint="eastAsia" w:ascii="仿宋_GB2312" w:hAnsi="仿宋_GB2312" w:eastAsia="仿宋_GB2312" w:cs="仿宋_GB2312"/>
                <w:b w:val="0"/>
                <w:bCs w:val="0"/>
                <w:color w:val="000000"/>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2.按要求召开多部门联席会议，有会议记录、决议、执行单（0.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3.会议议题明确，议定事项有落实（0.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4.有牵头部门监督、检查，有体现整改的资料（0.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.有数据体现整改效果或形成新制度、规范、流程和举措等（0.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val="en-US" w:eastAsia="zh-CN"/>
              </w:rPr>
              <w:t xml:space="preserve"> </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3.1.145.</w:t>
            </w:r>
            <w:r>
              <w:rPr>
                <w:rFonts w:hint="eastAsia" w:ascii="仿宋_GB2312" w:hAnsi="仿宋_GB2312" w:eastAsia="仿宋_GB2312" w:cs="仿宋_GB2312"/>
                <w:b w:val="0"/>
                <w:bCs w:val="0"/>
                <w:color w:val="000000"/>
                <w:kern w:val="0"/>
                <w:sz w:val="24"/>
                <w:szCs w:val="24"/>
              </w:rPr>
              <w:t>3</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根据法律法规、规章规范以及相关标准，结合本院实际，制定各项规章制度，并及时修订完善。</w:t>
            </w:r>
          </w:p>
        </w:tc>
        <w:tc>
          <w:tcPr>
            <w:tcW w:w="1437"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1.按法律、法规、规章规范以及相关标准，结合实际，制定各项规章制度（0.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982" w:type="dxa"/>
            <w:vMerge w:val="restart"/>
            <w:noWrap w:val="0"/>
            <w:vAlign w:val="center"/>
          </w:tcPr>
          <w:p>
            <w:pPr>
              <w:widowControl/>
              <w:numPr>
                <w:ilvl w:val="0"/>
                <w:numId w:val="0"/>
              </w:numPr>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2.及时修订完善各项规章制度（0.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3.访谈</w:t>
            </w:r>
            <w:r>
              <w:rPr>
                <w:rFonts w:hint="eastAsia" w:ascii="仿宋_GB2312" w:hAnsi="仿宋_GB2312" w:eastAsia="仿宋_GB2312" w:cs="仿宋_GB2312"/>
                <w:b w:val="0"/>
                <w:bCs w:val="0"/>
                <w:color w:val="000000"/>
                <w:sz w:val="24"/>
                <w:szCs w:val="24"/>
                <w:lang w:val="en-US" w:eastAsia="zh-CN"/>
              </w:rPr>
              <w:t>员工知晓相关制度</w:t>
            </w:r>
            <w:r>
              <w:rPr>
                <w:rFonts w:hint="eastAsia"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lang w:val="en-US" w:eastAsia="zh-CN"/>
              </w:rPr>
              <w:t>4</w:t>
            </w:r>
            <w:r>
              <w:rPr>
                <w:rFonts w:hint="eastAsia" w:ascii="仿宋_GB2312" w:hAnsi="仿宋_GB2312" w:eastAsia="仿宋_GB2312" w:cs="仿宋_GB2312"/>
                <w:b w:val="0"/>
                <w:bCs w:val="0"/>
                <w:color w:val="000000"/>
                <w:sz w:val="24"/>
                <w:szCs w:val="24"/>
              </w:rPr>
              <w:t>分）。</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1"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3.1.145.</w:t>
            </w:r>
            <w:r>
              <w:rPr>
                <w:rFonts w:hint="eastAsia" w:ascii="仿宋_GB2312" w:hAnsi="仿宋_GB2312" w:eastAsia="仿宋_GB2312" w:cs="仿宋_GB2312"/>
                <w:b w:val="0"/>
                <w:bCs w:val="0"/>
                <w:color w:val="000000"/>
                <w:kern w:val="0"/>
                <w:sz w:val="24"/>
                <w:szCs w:val="24"/>
              </w:rPr>
              <w:t>4</w:t>
            </w:r>
          </w:p>
        </w:tc>
        <w:tc>
          <w:tcPr>
            <w:tcW w:w="3597"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各部门和科室命名规范，与医院文件一致。</w:t>
            </w:r>
          </w:p>
        </w:tc>
        <w:tc>
          <w:tcPr>
            <w:tcW w:w="1437" w:type="dxa"/>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7200" w:type="dxa"/>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医院各部门及科室命名规范，提供的诊疗项目与执业许可证上核准的诊疗科目相符（0.</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分）。</w:t>
            </w:r>
          </w:p>
        </w:tc>
        <w:tc>
          <w:tcPr>
            <w:tcW w:w="982" w:type="dxa"/>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587" w:type="dxa"/>
            <w:gridSpan w:val="5"/>
            <w:noWrap w:val="0"/>
            <w:vAlign w:val="center"/>
          </w:tcPr>
          <w:p>
            <w:pPr>
              <w:widowControl/>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sz w:val="24"/>
                <w:szCs w:val="24"/>
              </w:rPr>
              <w:t>（一百</w:t>
            </w:r>
            <w:r>
              <w:rPr>
                <w:rFonts w:hint="eastAsia" w:ascii="仿宋_GB2312" w:hAnsi="仿宋_GB2312" w:eastAsia="仿宋_GB2312" w:cs="仿宋_GB2312"/>
                <w:b w:val="0"/>
                <w:bCs w:val="0"/>
                <w:color w:val="000000"/>
                <w:sz w:val="24"/>
                <w:szCs w:val="24"/>
                <w:lang w:val="en-US" w:eastAsia="zh-CN"/>
              </w:rPr>
              <w:t>四十六</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pacing w:val="0"/>
                <w:sz w:val="24"/>
                <w:szCs w:val="24"/>
              </w:rPr>
              <w:t>医院建立全员学习机制</w:t>
            </w:r>
            <w:r>
              <w:rPr>
                <w:rFonts w:hint="eastAsia" w:ascii="仿宋_GB2312" w:hAnsi="仿宋_GB2312" w:eastAsia="仿宋_GB2312" w:cs="仿宋_GB2312"/>
                <w:b w:val="0"/>
                <w:bCs w:val="0"/>
                <w:color w:val="000000"/>
                <w:spacing w:val="0"/>
                <w:sz w:val="24"/>
                <w:szCs w:val="24"/>
                <w:lang w:eastAsia="zh-CN"/>
              </w:rPr>
              <w:t>，</w:t>
            </w:r>
            <w:r>
              <w:rPr>
                <w:rFonts w:hint="eastAsia" w:ascii="仿宋_GB2312" w:hAnsi="仿宋_GB2312" w:eastAsia="仿宋_GB2312" w:cs="仿宋_GB2312"/>
                <w:b w:val="0"/>
                <w:bCs w:val="0"/>
                <w:color w:val="000000"/>
                <w:sz w:val="24"/>
                <w:szCs w:val="24"/>
              </w:rPr>
              <w:t>强化学习文化。定期对员工进行政策法规、管理能力、专业技能和质量安全培训与教育（</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restart"/>
            <w:noWrap w:val="0"/>
            <w:vAlign w:val="center"/>
          </w:tcPr>
          <w:p>
            <w:pPr>
              <w:widowControl/>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3.1.146.1</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医院建立全员学习机制，强化学习文化。</w:t>
            </w:r>
          </w:p>
        </w:tc>
        <w:tc>
          <w:tcPr>
            <w:tcW w:w="1437" w:type="dxa"/>
            <w:vMerge w:val="restart"/>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文件查阅</w:t>
            </w:r>
          </w:p>
        </w:tc>
        <w:tc>
          <w:tcPr>
            <w:tcW w:w="7200" w:type="dxa"/>
            <w:noWrap w:val="0"/>
            <w:vAlign w:val="center"/>
          </w:tcPr>
          <w:p>
            <w:pPr>
              <w:keepNext w:val="0"/>
              <w:keepLines w:val="0"/>
              <w:suppressLineNumbers w:val="0"/>
              <w:spacing w:before="0" w:beforeAutospacing="0" w:after="0" w:afterAutospacing="0" w:line="320" w:lineRule="exact"/>
              <w:ind w:right="105" w:rightChars="5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sz w:val="24"/>
                <w:szCs w:val="24"/>
                <w:lang w:val="en-US" w:eastAsia="zh-CN"/>
              </w:rPr>
              <w:t>制定有加强医院文化建设的相关规定，打造医院文化长廊、职工学习之家等，营造医院浓厚的学习氛围</w:t>
            </w:r>
            <w:r>
              <w:rPr>
                <w:rFonts w:hint="eastAsia"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982" w:type="dxa"/>
            <w:vMerge w:val="restart"/>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仿宋_GB2312" w:hAnsi="仿宋_GB2312" w:eastAsia="仿宋_GB2312" w:cs="仿宋_GB2312"/>
                <w:b w:val="0"/>
                <w:bCs w:val="0"/>
                <w:color w:val="000000"/>
                <w:sz w:val="24"/>
                <w:szCs w:val="24"/>
              </w:rPr>
            </w:pP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7200" w:type="dxa"/>
            <w:noWrap w:val="0"/>
            <w:vAlign w:val="center"/>
          </w:tcPr>
          <w:p>
            <w:pPr>
              <w:keepNext w:val="0"/>
              <w:keepLines w:val="0"/>
              <w:suppressLineNumbers w:val="0"/>
              <w:spacing w:before="0" w:beforeAutospacing="0" w:after="0" w:afterAutospacing="0" w:line="320" w:lineRule="exact"/>
              <w:ind w:right="105" w:rightChars="5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sz w:val="24"/>
                <w:szCs w:val="24"/>
                <w:lang w:val="en-US" w:eastAsia="zh-CN"/>
              </w:rPr>
              <w:t>建立</w:t>
            </w:r>
            <w:r>
              <w:rPr>
                <w:rFonts w:hint="eastAsia" w:ascii="仿宋_GB2312" w:hAnsi="仿宋_GB2312" w:eastAsia="仿宋_GB2312" w:cs="仿宋_GB2312"/>
                <w:b w:val="0"/>
                <w:bCs w:val="0"/>
                <w:color w:val="000000"/>
                <w:sz w:val="24"/>
                <w:szCs w:val="24"/>
              </w:rPr>
              <w:t>全员学习机制</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val="en-US" w:eastAsia="zh-CN"/>
              </w:rPr>
              <w:t>对员工文化教育、进修学习等方面</w:t>
            </w:r>
            <w:r>
              <w:rPr>
                <w:rFonts w:hint="eastAsia" w:ascii="仿宋_GB2312" w:hAnsi="仿宋_GB2312" w:eastAsia="仿宋_GB2312" w:cs="仿宋_GB2312"/>
                <w:b w:val="0"/>
                <w:bCs w:val="0"/>
                <w:color w:val="000000"/>
                <w:sz w:val="24"/>
                <w:szCs w:val="24"/>
              </w:rPr>
              <w:t>有</w:t>
            </w:r>
            <w:r>
              <w:rPr>
                <w:rFonts w:hint="eastAsia" w:ascii="仿宋_GB2312" w:hAnsi="仿宋_GB2312" w:eastAsia="仿宋_GB2312" w:cs="仿宋_GB2312"/>
                <w:b w:val="0"/>
                <w:bCs w:val="0"/>
                <w:color w:val="000000"/>
                <w:sz w:val="24"/>
                <w:szCs w:val="24"/>
                <w:lang w:val="en-US" w:eastAsia="zh-CN"/>
              </w:rPr>
              <w:t>相应的激励措施</w:t>
            </w:r>
            <w:r>
              <w:rPr>
                <w:rFonts w:hint="eastAsia" w:ascii="仿宋_GB2312" w:hAnsi="仿宋_GB2312" w:eastAsia="仿宋_GB2312" w:cs="仿宋_GB2312"/>
                <w:b w:val="0"/>
                <w:bCs w:val="0"/>
                <w:color w:val="000000"/>
                <w:sz w:val="24"/>
                <w:szCs w:val="24"/>
              </w:rPr>
              <w:t>（0.2分）；</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line="320" w:lineRule="exact"/>
              <w:ind w:right="105" w:rightChars="5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3.有</w:t>
            </w:r>
            <w:r>
              <w:rPr>
                <w:rFonts w:hint="eastAsia" w:ascii="仿宋_GB2312" w:hAnsi="仿宋_GB2312" w:eastAsia="仿宋_GB2312" w:cs="仿宋_GB2312"/>
                <w:b w:val="0"/>
                <w:bCs w:val="0"/>
                <w:color w:val="000000"/>
                <w:sz w:val="24"/>
                <w:szCs w:val="24"/>
              </w:rPr>
              <w:t>年度</w:t>
            </w:r>
            <w:r>
              <w:rPr>
                <w:rFonts w:hint="eastAsia" w:ascii="仿宋_GB2312" w:hAnsi="仿宋_GB2312" w:eastAsia="仿宋_GB2312" w:cs="仿宋_GB2312"/>
                <w:b w:val="0"/>
                <w:bCs w:val="0"/>
                <w:color w:val="000000"/>
                <w:sz w:val="24"/>
                <w:szCs w:val="24"/>
                <w:lang w:val="en-US" w:eastAsia="zh-CN"/>
              </w:rPr>
              <w:t>全员学习</w:t>
            </w:r>
            <w:r>
              <w:rPr>
                <w:rFonts w:hint="eastAsia" w:ascii="仿宋_GB2312" w:hAnsi="仿宋_GB2312" w:eastAsia="仿宋_GB2312" w:cs="仿宋_GB2312"/>
                <w:b w:val="0"/>
                <w:bCs w:val="0"/>
                <w:color w:val="000000"/>
                <w:sz w:val="24"/>
                <w:szCs w:val="24"/>
              </w:rPr>
              <w:t>培训计划并实施（0.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line="320" w:lineRule="exact"/>
              <w:ind w:right="105" w:rightChars="5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4.有数据或案例体现医院文化建设有成效</w:t>
            </w:r>
            <w:r>
              <w:rPr>
                <w:rFonts w:hint="eastAsia"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3.1.146.</w:t>
            </w:r>
            <w:r>
              <w:rPr>
                <w:rFonts w:hint="eastAsia" w:ascii="仿宋_GB2312" w:hAnsi="仿宋_GB2312" w:eastAsia="仿宋_GB2312" w:cs="仿宋_GB2312"/>
                <w:b w:val="0"/>
                <w:bCs w:val="0"/>
                <w:color w:val="000000"/>
                <w:kern w:val="0"/>
                <w:sz w:val="24"/>
                <w:szCs w:val="24"/>
              </w:rPr>
              <w:t>2</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定期对员工进行政策法规、管理能力培训与教育，有考核机制，员工知晓。</w:t>
            </w:r>
          </w:p>
        </w:tc>
        <w:tc>
          <w:tcPr>
            <w:tcW w:w="1437" w:type="dxa"/>
            <w:vMerge w:val="restart"/>
            <w:noWrap w:val="0"/>
            <w:vAlign w:val="center"/>
          </w:tcPr>
          <w:p>
            <w:pPr>
              <w:widowControl/>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文件查阅</w:t>
            </w:r>
          </w:p>
          <w:p>
            <w:pPr>
              <w:widowControl/>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Style w:val="27"/>
                <w:rFonts w:hint="eastAsia" w:ascii="仿宋_GB2312" w:hAnsi="仿宋_GB2312" w:eastAsia="仿宋_GB2312" w:cs="仿宋_GB2312"/>
                <w:b w:val="0"/>
                <w:bCs w:val="0"/>
                <w:color w:val="000000"/>
                <w:sz w:val="24"/>
                <w:szCs w:val="24"/>
              </w:rPr>
              <w:t>员工访谈</w:t>
            </w: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1.每年至少2次</w:t>
            </w:r>
            <w:r>
              <w:rPr>
                <w:rFonts w:hint="eastAsia" w:ascii="仿宋_GB2312" w:hAnsi="仿宋_GB2312" w:eastAsia="仿宋_GB2312" w:cs="仿宋_GB2312"/>
                <w:b w:val="0"/>
                <w:bCs w:val="0"/>
                <w:color w:val="000000"/>
                <w:kern w:val="0"/>
                <w:sz w:val="24"/>
                <w:szCs w:val="24"/>
                <w:lang w:val="en-US" w:eastAsia="zh-CN" w:bidi="ar"/>
              </w:rPr>
              <w:t>对员工开展</w:t>
            </w:r>
            <w:r>
              <w:rPr>
                <w:rFonts w:hint="eastAsia" w:ascii="仿宋_GB2312" w:hAnsi="仿宋_GB2312" w:eastAsia="仿宋_GB2312" w:cs="仿宋_GB2312"/>
                <w:b w:val="0"/>
                <w:bCs w:val="0"/>
                <w:color w:val="000000"/>
                <w:kern w:val="0"/>
                <w:sz w:val="24"/>
                <w:szCs w:val="24"/>
                <w:lang w:bidi="ar"/>
              </w:rPr>
              <w:t>法律法规</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管理能力</w:t>
            </w:r>
            <w:r>
              <w:rPr>
                <w:rFonts w:hint="eastAsia" w:ascii="仿宋_GB2312" w:hAnsi="仿宋_GB2312" w:eastAsia="仿宋_GB2312" w:cs="仿宋_GB2312"/>
                <w:b w:val="0"/>
                <w:bCs w:val="0"/>
                <w:color w:val="000000"/>
                <w:kern w:val="0"/>
                <w:sz w:val="24"/>
                <w:szCs w:val="24"/>
                <w:lang w:bidi="ar"/>
              </w:rPr>
              <w:t>培训，有培训资料（课件、照片、试卷等</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（0.2分）；</w:t>
            </w:r>
          </w:p>
        </w:tc>
        <w:tc>
          <w:tcPr>
            <w:tcW w:w="982" w:type="dxa"/>
            <w:vMerge w:val="restart"/>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00000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2.有体现培训考核情况</w:t>
            </w:r>
            <w:r>
              <w:rPr>
                <w:rFonts w:hint="eastAsia" w:ascii="仿宋_GB2312" w:hAnsi="仿宋_GB2312" w:eastAsia="仿宋_GB2312" w:cs="仿宋_GB2312"/>
                <w:b w:val="0"/>
                <w:bCs w:val="0"/>
                <w:color w:val="000000"/>
                <w:kern w:val="0"/>
                <w:sz w:val="24"/>
                <w:szCs w:val="24"/>
                <w:lang w:val="en-US" w:eastAsia="zh-CN" w:bidi="ar"/>
              </w:rPr>
              <w:t>的相关规定</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3.</w:t>
            </w:r>
            <w:r>
              <w:rPr>
                <w:rFonts w:hint="eastAsia" w:ascii="仿宋_GB2312" w:hAnsi="仿宋_GB2312" w:eastAsia="仿宋_GB2312" w:cs="仿宋_GB2312"/>
                <w:b w:val="0"/>
                <w:bCs w:val="0"/>
                <w:color w:val="000000"/>
                <w:kern w:val="0"/>
                <w:sz w:val="24"/>
                <w:szCs w:val="24"/>
                <w:lang w:val="en-US" w:eastAsia="zh-CN" w:bidi="ar"/>
              </w:rPr>
              <w:t>员工知晓相关规定</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3.1.146</w:t>
            </w:r>
            <w:r>
              <w:rPr>
                <w:rFonts w:hint="eastAsia" w:ascii="仿宋_GB2312" w:hAnsi="仿宋_GB2312" w:eastAsia="仿宋_GB2312" w:cs="仿宋_GB2312"/>
                <w:b w:val="0"/>
                <w:bCs w:val="0"/>
                <w:color w:val="000000"/>
                <w:kern w:val="0"/>
                <w:sz w:val="24"/>
                <w:szCs w:val="24"/>
              </w:rPr>
              <w:t>.3</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定期对员工进行专业技能、质量安全培训与教育。</w:t>
            </w:r>
          </w:p>
        </w:tc>
        <w:tc>
          <w:tcPr>
            <w:tcW w:w="1437" w:type="dxa"/>
            <w:vMerge w:val="restart"/>
            <w:noWrap w:val="0"/>
            <w:vAlign w:val="center"/>
          </w:tcPr>
          <w:p>
            <w:pPr>
              <w:widowControl/>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Style w:val="27"/>
                <w:rFonts w:hint="eastAsia" w:ascii="仿宋_GB2312" w:hAnsi="仿宋_GB2312" w:eastAsia="仿宋_GB2312" w:cs="仿宋_GB2312"/>
                <w:b w:val="0"/>
                <w:bCs w:val="0"/>
                <w:color w:val="000000"/>
                <w:sz w:val="24"/>
                <w:szCs w:val="24"/>
              </w:rPr>
              <w:t>员工访谈</w:t>
            </w: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1.</w:t>
            </w:r>
            <w:r>
              <w:rPr>
                <w:rFonts w:hint="eastAsia" w:ascii="仿宋_GB2312" w:hAnsi="仿宋_GB2312" w:eastAsia="仿宋_GB2312" w:cs="仿宋_GB2312"/>
                <w:b w:val="0"/>
                <w:bCs w:val="0"/>
                <w:color w:val="000000"/>
                <w:kern w:val="0"/>
                <w:sz w:val="24"/>
                <w:szCs w:val="24"/>
                <w:lang w:val="en-US" w:eastAsia="zh-CN" w:bidi="ar"/>
              </w:rPr>
              <w:t>院科两级定期对党政、医务、后勤、财务、信息等部门员工进行</w:t>
            </w:r>
            <w:r>
              <w:rPr>
                <w:rFonts w:hint="eastAsia" w:ascii="仿宋_GB2312" w:hAnsi="仿宋_GB2312" w:eastAsia="仿宋_GB2312" w:cs="仿宋_GB2312"/>
                <w:b w:val="0"/>
                <w:bCs w:val="0"/>
                <w:color w:val="000000"/>
                <w:kern w:val="0"/>
                <w:sz w:val="24"/>
                <w:szCs w:val="24"/>
                <w:lang w:bidi="ar"/>
              </w:rPr>
              <w:t>专业技能、质量安全培训与教育（0.5分）；</w:t>
            </w:r>
          </w:p>
        </w:tc>
        <w:tc>
          <w:tcPr>
            <w:tcW w:w="982" w:type="dxa"/>
            <w:vMerge w:val="restart"/>
            <w:noWrap w:val="0"/>
            <w:vAlign w:val="center"/>
          </w:tcPr>
          <w:p>
            <w:pPr>
              <w:widowControl/>
              <w:jc w:val="center"/>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bidi="ar"/>
              </w:rPr>
              <w:t>2.科室有培训计划、总结资料</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val="en-US" w:eastAsia="zh-CN" w:bidi="ar"/>
              </w:rPr>
              <w:t>；</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bidi="ar"/>
              </w:rPr>
              <w:t>3.职能部门</w:t>
            </w:r>
            <w:r>
              <w:rPr>
                <w:rFonts w:hint="eastAsia" w:ascii="仿宋_GB2312" w:hAnsi="仿宋_GB2312" w:eastAsia="仿宋_GB2312" w:cs="仿宋_GB2312"/>
                <w:b w:val="0"/>
                <w:bCs w:val="0"/>
                <w:color w:val="000000"/>
                <w:sz w:val="24"/>
                <w:szCs w:val="24"/>
              </w:rPr>
              <w:t>有</w:t>
            </w:r>
            <w:r>
              <w:rPr>
                <w:rFonts w:hint="eastAsia" w:ascii="仿宋_GB2312" w:hAnsi="仿宋_GB2312" w:eastAsia="仿宋_GB2312" w:cs="仿宋_GB2312"/>
                <w:b w:val="0"/>
                <w:bCs w:val="0"/>
                <w:color w:val="000000"/>
                <w:sz w:val="24"/>
                <w:szCs w:val="24"/>
                <w:lang w:val="en-US" w:eastAsia="zh-CN"/>
              </w:rPr>
              <w:t>督查</w:t>
            </w:r>
            <w:r>
              <w:rPr>
                <w:rFonts w:hint="eastAsia" w:ascii="仿宋_GB2312" w:hAnsi="仿宋_GB2312" w:eastAsia="仿宋_GB2312" w:cs="仿宋_GB2312"/>
                <w:b w:val="0"/>
                <w:bCs w:val="0"/>
                <w:color w:val="000000"/>
                <w:sz w:val="24"/>
                <w:szCs w:val="24"/>
              </w:rPr>
              <w:t>、总结、</w:t>
            </w:r>
            <w:r>
              <w:rPr>
                <w:rFonts w:hint="eastAsia" w:ascii="仿宋_GB2312" w:hAnsi="仿宋_GB2312" w:eastAsia="仿宋_GB2312" w:cs="仿宋_GB2312"/>
                <w:b w:val="0"/>
                <w:bCs w:val="0"/>
                <w:color w:val="000000"/>
                <w:sz w:val="24"/>
                <w:szCs w:val="24"/>
                <w:lang w:val="en-US" w:eastAsia="zh-CN"/>
              </w:rPr>
              <w:t>分析、</w:t>
            </w:r>
            <w:r>
              <w:rPr>
                <w:rFonts w:hint="eastAsia" w:ascii="仿宋_GB2312" w:hAnsi="仿宋_GB2312" w:eastAsia="仿宋_GB2312" w:cs="仿宋_GB2312"/>
                <w:b w:val="0"/>
                <w:bCs w:val="0"/>
                <w:color w:val="000000"/>
                <w:sz w:val="24"/>
                <w:szCs w:val="24"/>
              </w:rPr>
              <w:t>反馈</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val="en-US" w:eastAsia="zh-CN" w:bidi="ar"/>
              </w:rPr>
              <w:t>；</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4</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访谈员工知晓相关内容</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87" w:type="dxa"/>
            <w:gridSpan w:val="5"/>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（一百</w:t>
            </w:r>
            <w:r>
              <w:rPr>
                <w:rFonts w:hint="eastAsia" w:ascii="仿宋_GB2312" w:hAnsi="仿宋_GB2312" w:eastAsia="仿宋_GB2312" w:cs="仿宋_GB2312"/>
                <w:b w:val="0"/>
                <w:bCs w:val="0"/>
                <w:color w:val="000000"/>
                <w:kern w:val="0"/>
                <w:sz w:val="24"/>
                <w:szCs w:val="24"/>
                <w:lang w:val="en-US" w:eastAsia="zh-CN" w:bidi="ar"/>
              </w:rPr>
              <w:t>四十七</w:t>
            </w:r>
            <w:r>
              <w:rPr>
                <w:rFonts w:hint="eastAsia" w:ascii="仿宋_GB2312" w:hAnsi="仿宋_GB2312" w:eastAsia="仿宋_GB2312" w:cs="仿宋_GB2312"/>
                <w:b w:val="0"/>
                <w:bCs w:val="0"/>
                <w:color w:val="000000"/>
                <w:kern w:val="0"/>
                <w:sz w:val="24"/>
                <w:szCs w:val="24"/>
                <w:lang w:bidi="ar"/>
              </w:rPr>
              <w:t>）加强院务公开管理。按照国家有关规定向社会及员工公开信息</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2分</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3.1.147</w:t>
            </w:r>
            <w:r>
              <w:rPr>
                <w:rFonts w:hint="eastAsia" w:ascii="仿宋_GB2312" w:hAnsi="仿宋_GB2312" w:eastAsia="仿宋_GB2312" w:cs="仿宋_GB2312"/>
                <w:b w:val="0"/>
                <w:bCs w:val="0"/>
                <w:color w:val="000000"/>
                <w:kern w:val="0"/>
                <w:sz w:val="24"/>
                <w:szCs w:val="24"/>
              </w:rPr>
              <w:t>.1</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加强院务公开管理，有指定部门、工作制度与程序。</w:t>
            </w:r>
          </w:p>
        </w:tc>
        <w:tc>
          <w:tcPr>
            <w:tcW w:w="1437" w:type="dxa"/>
            <w:vMerge w:val="restart"/>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文件查阅</w:t>
            </w: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1.成立由院领导牵头的院务公开领导小组</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有指定部门负责</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职责明确</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982" w:type="dxa"/>
            <w:vMerge w:val="restart"/>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制定有院务公开管理</w:t>
            </w:r>
            <w:r>
              <w:rPr>
                <w:rFonts w:hint="eastAsia" w:ascii="仿宋_GB2312" w:hAnsi="仿宋_GB2312" w:eastAsia="仿宋_GB2312" w:cs="仿宋_GB2312"/>
                <w:b w:val="0"/>
                <w:bCs w:val="0"/>
                <w:color w:val="000000"/>
                <w:kern w:val="0"/>
                <w:sz w:val="24"/>
                <w:szCs w:val="24"/>
                <w:lang w:bidi="ar"/>
              </w:rPr>
              <w:t>工作制度与</w:t>
            </w:r>
            <w:r>
              <w:rPr>
                <w:rFonts w:hint="eastAsia" w:ascii="仿宋_GB2312" w:hAnsi="仿宋_GB2312" w:eastAsia="仿宋_GB2312" w:cs="仿宋_GB2312"/>
                <w:b w:val="0"/>
                <w:bCs w:val="0"/>
                <w:color w:val="000000"/>
                <w:kern w:val="0"/>
                <w:sz w:val="24"/>
                <w:szCs w:val="24"/>
                <w:lang w:val="en-US" w:eastAsia="zh-CN" w:bidi="ar"/>
              </w:rPr>
              <w:t>公开内容</w:t>
            </w:r>
            <w:r>
              <w:rPr>
                <w:rFonts w:hint="eastAsia" w:ascii="仿宋_GB2312" w:hAnsi="仿宋_GB2312" w:eastAsia="仿宋_GB2312" w:cs="仿宋_GB2312"/>
                <w:b w:val="0"/>
                <w:bCs w:val="0"/>
                <w:color w:val="000000"/>
                <w:kern w:val="0"/>
                <w:sz w:val="24"/>
                <w:szCs w:val="24"/>
                <w:lang w:bidi="ar"/>
              </w:rPr>
              <w:t>程序（0.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71"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val="en-US" w:eastAsia="zh-CN" w:bidi="ar"/>
              </w:rPr>
              <w:t>3.访谈领导小组成员及部门负责人知晓相关工作制度与程序</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982" w:type="dxa"/>
            <w:vMerge w:val="continue"/>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3.1.147</w:t>
            </w:r>
            <w:r>
              <w:rPr>
                <w:rFonts w:hint="eastAsia" w:ascii="仿宋_GB2312" w:hAnsi="仿宋_GB2312" w:eastAsia="仿宋_GB2312" w:cs="仿宋_GB2312"/>
                <w:b w:val="0"/>
                <w:bCs w:val="0"/>
                <w:color w:val="000000"/>
                <w:kern w:val="0"/>
                <w:sz w:val="24"/>
                <w:szCs w:val="24"/>
              </w:rPr>
              <w:t>.2</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按照国家有关规定向社会及员工公开信息。有多种途径征求和收集职工对公开信息具体内容的意见与建议，体现尊重员工知情权，保障员工民主权利。</w:t>
            </w:r>
          </w:p>
        </w:tc>
        <w:tc>
          <w:tcPr>
            <w:tcW w:w="1437" w:type="dxa"/>
            <w:vMerge w:val="restart"/>
            <w:noWrap w:val="0"/>
            <w:vAlign w:val="center"/>
          </w:tcPr>
          <w:p>
            <w:pPr>
              <w:widowControl/>
              <w:jc w:val="center"/>
              <w:rPr>
                <w:rFonts w:hint="eastAsia" w:ascii="仿宋_GB2312" w:hAnsi="仿宋_GB2312" w:eastAsia="仿宋_GB2312" w:cs="仿宋_GB2312"/>
                <w:b w:val="0"/>
                <w:bCs w:val="0"/>
                <w:strike/>
                <w:dstrike w:val="0"/>
                <w:color w:val="000000"/>
                <w:kern w:val="0"/>
                <w:sz w:val="24"/>
                <w:szCs w:val="24"/>
                <w:lang w:eastAsia="zh-CN"/>
              </w:rPr>
            </w:pPr>
          </w:p>
          <w:p>
            <w:pPr>
              <w:widowControl/>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记录查看</w:t>
            </w:r>
          </w:p>
          <w:p>
            <w:pPr>
              <w:widowControl/>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现场检查</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员工访谈</w:t>
            </w: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1.现场查看：院务公开内容、形式、程序和公示时限</w:t>
            </w:r>
            <w:r>
              <w:rPr>
                <w:rFonts w:hint="eastAsia" w:ascii="仿宋_GB2312" w:hAnsi="仿宋_GB2312" w:eastAsia="仿宋_GB2312" w:cs="仿宋_GB2312"/>
                <w:b w:val="0"/>
                <w:bCs w:val="0"/>
                <w:color w:val="000000"/>
                <w:kern w:val="0"/>
                <w:sz w:val="24"/>
                <w:szCs w:val="24"/>
                <w:lang w:val="en-US" w:eastAsia="zh-CN" w:bidi="ar"/>
              </w:rPr>
              <w:t>符合相关规定</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982" w:type="dxa"/>
            <w:vMerge w:val="restart"/>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000000"/>
                <w:sz w:val="24"/>
                <w:szCs w:val="24"/>
              </w:rPr>
            </w:pPr>
          </w:p>
          <w:p>
            <w:pPr>
              <w:pStyle w:val="2"/>
              <w:ind w:firstLine="240" w:firstLineChars="100"/>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2.有多种途径征求和收集职工对公开信息具体内容的意见与建议（0.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3.访谈员工</w:t>
            </w:r>
            <w:r>
              <w:rPr>
                <w:rFonts w:hint="eastAsia" w:ascii="仿宋_GB2312" w:hAnsi="仿宋_GB2312" w:eastAsia="仿宋_GB2312" w:cs="仿宋_GB2312"/>
                <w:b w:val="0"/>
                <w:bCs w:val="0"/>
                <w:color w:val="000000"/>
                <w:kern w:val="0"/>
                <w:sz w:val="24"/>
                <w:szCs w:val="24"/>
                <w:lang w:val="en-US" w:eastAsia="zh-CN" w:bidi="ar"/>
              </w:rPr>
              <w:t>知晓</w:t>
            </w:r>
            <w:r>
              <w:rPr>
                <w:rFonts w:hint="eastAsia" w:ascii="仿宋_GB2312" w:hAnsi="仿宋_GB2312" w:eastAsia="仿宋_GB2312" w:cs="仿宋_GB2312"/>
                <w:b w:val="0"/>
                <w:bCs w:val="0"/>
                <w:color w:val="000000"/>
                <w:kern w:val="0"/>
                <w:sz w:val="24"/>
                <w:szCs w:val="24"/>
                <w:lang w:bidi="ar"/>
              </w:rPr>
              <w:t>院务公开</w:t>
            </w:r>
            <w:r>
              <w:rPr>
                <w:rFonts w:hint="eastAsia" w:ascii="仿宋_GB2312" w:hAnsi="仿宋_GB2312" w:eastAsia="仿宋_GB2312" w:cs="仿宋_GB2312"/>
                <w:b w:val="0"/>
                <w:bCs w:val="0"/>
                <w:color w:val="000000"/>
                <w:kern w:val="0"/>
                <w:sz w:val="24"/>
                <w:szCs w:val="24"/>
                <w:lang w:val="en-US" w:eastAsia="zh-CN" w:bidi="ar"/>
              </w:rPr>
              <w:t>相关信息</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4.</w:t>
            </w:r>
            <w:r>
              <w:rPr>
                <w:rFonts w:hint="eastAsia" w:ascii="仿宋_GB2312" w:hAnsi="仿宋_GB2312" w:eastAsia="仿宋_GB2312" w:cs="仿宋_GB2312"/>
                <w:b w:val="0"/>
                <w:bCs w:val="0"/>
                <w:color w:val="000000"/>
                <w:kern w:val="0"/>
                <w:sz w:val="24"/>
                <w:szCs w:val="24"/>
                <w:lang w:val="en-US" w:eastAsia="zh-CN" w:bidi="ar"/>
              </w:rPr>
              <w:t>有职能部门对院务公开工作进行检查、分析、总结</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5.</w:t>
            </w:r>
            <w:r>
              <w:rPr>
                <w:rFonts w:hint="eastAsia" w:ascii="仿宋_GB2312" w:hAnsi="仿宋_GB2312" w:eastAsia="仿宋_GB2312" w:cs="仿宋_GB2312"/>
                <w:b w:val="0"/>
                <w:bCs w:val="0"/>
                <w:color w:val="000000"/>
                <w:sz w:val="24"/>
                <w:szCs w:val="24"/>
                <w:lang w:val="en-US" w:eastAsia="zh-CN"/>
              </w:rPr>
              <w:t>评审周期内，</w:t>
            </w:r>
            <w:r>
              <w:rPr>
                <w:rFonts w:hint="eastAsia" w:ascii="仿宋_GB2312" w:hAnsi="仿宋_GB2312" w:eastAsia="仿宋_GB2312" w:cs="仿宋_GB2312"/>
                <w:b w:val="0"/>
                <w:bCs w:val="0"/>
                <w:color w:val="000000"/>
                <w:sz w:val="24"/>
                <w:szCs w:val="24"/>
              </w:rPr>
              <w:t>医院有数据或案例体现</w:t>
            </w:r>
            <w:r>
              <w:rPr>
                <w:rFonts w:hint="eastAsia" w:ascii="仿宋_GB2312" w:hAnsi="仿宋_GB2312" w:eastAsia="仿宋_GB2312" w:cs="仿宋_GB2312"/>
                <w:b w:val="0"/>
                <w:bCs w:val="0"/>
                <w:color w:val="000000"/>
                <w:sz w:val="24"/>
                <w:szCs w:val="24"/>
                <w:lang w:val="en-US" w:eastAsia="zh-CN"/>
              </w:rPr>
              <w:t>持续改进</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587" w:type="dxa"/>
            <w:gridSpan w:val="5"/>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（一百</w:t>
            </w:r>
            <w:r>
              <w:rPr>
                <w:rFonts w:hint="eastAsia" w:ascii="仿宋_GB2312" w:hAnsi="仿宋_GB2312" w:eastAsia="仿宋_GB2312" w:cs="仿宋_GB2312"/>
                <w:b w:val="0"/>
                <w:bCs w:val="0"/>
                <w:color w:val="000000"/>
                <w:kern w:val="0"/>
                <w:sz w:val="24"/>
                <w:szCs w:val="24"/>
                <w:lang w:val="en-US" w:eastAsia="zh-CN" w:bidi="ar"/>
              </w:rPr>
              <w:t>四十八</w:t>
            </w:r>
            <w:r>
              <w:rPr>
                <w:rFonts w:hint="eastAsia" w:ascii="仿宋_GB2312" w:hAnsi="仿宋_GB2312" w:eastAsia="仿宋_GB2312" w:cs="仿宋_GB2312"/>
                <w:b w:val="0"/>
                <w:bCs w:val="0"/>
                <w:color w:val="000000"/>
                <w:kern w:val="0"/>
                <w:sz w:val="24"/>
                <w:szCs w:val="24"/>
                <w:lang w:bidi="ar"/>
              </w:rPr>
              <w:t>）对对外委托服务项目质量与安全实施监督</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2分</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1"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3.1.148</w:t>
            </w:r>
            <w:r>
              <w:rPr>
                <w:rFonts w:hint="eastAsia" w:ascii="仿宋_GB2312" w:hAnsi="仿宋_GB2312" w:eastAsia="仿宋_GB2312" w:cs="仿宋_GB2312"/>
                <w:b w:val="0"/>
                <w:bCs w:val="0"/>
                <w:color w:val="000000"/>
                <w:kern w:val="0"/>
                <w:sz w:val="24"/>
                <w:szCs w:val="24"/>
              </w:rPr>
              <w:t>.1</w:t>
            </w:r>
          </w:p>
        </w:tc>
        <w:tc>
          <w:tcPr>
            <w:tcW w:w="3597"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对对外委托服务项目质量与安全实施监督管理，有主管部门与专人负责对外委托服务项目管理，制订项目的遴选、管理等相关制度和办法，有项目评估和监督考核机制。</w:t>
            </w:r>
          </w:p>
        </w:tc>
        <w:tc>
          <w:tcPr>
            <w:tcW w:w="1437"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1.有职能部门与专人负责管理（0.4</w:t>
            </w:r>
            <w:r>
              <w:rPr>
                <w:rFonts w:hint="default" w:ascii="仿宋_GB2312" w:hAnsi="仿宋_GB2312" w:eastAsia="仿宋_GB2312" w:cs="仿宋_GB2312"/>
                <w:b w:val="0"/>
                <w:bCs w:val="0"/>
                <w:color w:val="000000"/>
                <w:kern w:val="0"/>
                <w:sz w:val="24"/>
                <w:szCs w:val="24"/>
                <w:lang w:val="en-US" w:eastAsia="zh-CN" w:bidi="ar"/>
              </w:rPr>
              <w:t>分</w:t>
            </w:r>
            <w:r>
              <w:rPr>
                <w:rFonts w:hint="eastAsia" w:ascii="仿宋_GB2312" w:hAnsi="仿宋_GB2312" w:eastAsia="仿宋_GB2312" w:cs="仿宋_GB2312"/>
                <w:b w:val="0"/>
                <w:bCs w:val="0"/>
                <w:color w:val="000000"/>
                <w:kern w:val="0"/>
                <w:sz w:val="24"/>
                <w:szCs w:val="24"/>
                <w:lang w:val="en-US" w:eastAsia="zh-CN" w:bidi="ar"/>
              </w:rPr>
              <w:t>）</w:t>
            </w:r>
            <w:r>
              <w:rPr>
                <w:rFonts w:hint="default" w:ascii="仿宋_GB2312" w:hAnsi="仿宋_GB2312" w:eastAsia="仿宋_GB2312" w:cs="仿宋_GB2312"/>
                <w:b w:val="0"/>
                <w:bCs w:val="0"/>
                <w:color w:val="000000"/>
                <w:kern w:val="0"/>
                <w:sz w:val="24"/>
                <w:szCs w:val="24"/>
                <w:lang w:val="en-US" w:eastAsia="zh-CN" w:bidi="ar"/>
              </w:rPr>
              <w:t>；</w:t>
            </w:r>
          </w:p>
        </w:tc>
        <w:tc>
          <w:tcPr>
            <w:tcW w:w="982" w:type="dxa"/>
            <w:vMerge w:val="restart"/>
            <w:noWrap w:val="0"/>
            <w:vAlign w:val="center"/>
          </w:tcPr>
          <w:p>
            <w:pPr>
              <w:widowControl/>
              <w:ind w:left="420" w:leftChars="2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2.制订委托业务项目的遴选、管理等相关制度和办法（0.4</w:t>
            </w:r>
            <w:r>
              <w:rPr>
                <w:rFonts w:hint="default" w:ascii="仿宋_GB2312" w:hAnsi="仿宋_GB2312" w:eastAsia="仿宋_GB2312" w:cs="仿宋_GB2312"/>
                <w:b w:val="0"/>
                <w:bCs w:val="0"/>
                <w:color w:val="000000"/>
                <w:kern w:val="0"/>
                <w:sz w:val="24"/>
                <w:szCs w:val="24"/>
                <w:lang w:val="en-US" w:eastAsia="zh-CN" w:bidi="ar"/>
              </w:rPr>
              <w:t>分</w:t>
            </w:r>
            <w:r>
              <w:rPr>
                <w:rFonts w:hint="eastAsia" w:ascii="仿宋_GB2312" w:hAnsi="仿宋_GB2312" w:eastAsia="仿宋_GB2312" w:cs="仿宋_GB2312"/>
                <w:b w:val="0"/>
                <w:bCs w:val="0"/>
                <w:color w:val="000000"/>
                <w:kern w:val="0"/>
                <w:sz w:val="24"/>
                <w:szCs w:val="24"/>
                <w:lang w:val="en-US" w:eastAsia="zh-CN" w:bidi="ar"/>
              </w:rPr>
              <w:t>）；</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3.签订有委托合同或相关工作记录等有效证据的原始资料（0.4</w:t>
            </w:r>
            <w:r>
              <w:rPr>
                <w:rFonts w:hint="default" w:ascii="仿宋_GB2312" w:hAnsi="仿宋_GB2312" w:eastAsia="仿宋_GB2312" w:cs="仿宋_GB2312"/>
                <w:b w:val="0"/>
                <w:bCs w:val="0"/>
                <w:color w:val="000000"/>
                <w:kern w:val="0"/>
                <w:sz w:val="24"/>
                <w:szCs w:val="24"/>
                <w:lang w:val="en-US" w:eastAsia="zh-CN" w:bidi="ar"/>
              </w:rPr>
              <w:t>分</w:t>
            </w:r>
            <w:r>
              <w:rPr>
                <w:rFonts w:hint="eastAsia" w:ascii="仿宋_GB2312" w:hAnsi="仿宋_GB2312" w:eastAsia="仿宋_GB2312" w:cs="仿宋_GB2312"/>
                <w:b w:val="0"/>
                <w:bCs w:val="0"/>
                <w:color w:val="000000"/>
                <w:kern w:val="0"/>
                <w:sz w:val="24"/>
                <w:szCs w:val="24"/>
                <w:lang w:val="en-US" w:eastAsia="zh-CN" w:bidi="ar"/>
              </w:rPr>
              <w:t>）；</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4.有委托业务项目的评估和</w:t>
            </w:r>
            <w:r>
              <w:rPr>
                <w:rFonts w:hint="default" w:ascii="仿宋_GB2312" w:hAnsi="仿宋_GB2312" w:eastAsia="仿宋_GB2312" w:cs="仿宋_GB2312"/>
                <w:b w:val="0"/>
                <w:bCs w:val="0"/>
                <w:color w:val="000000"/>
                <w:kern w:val="0"/>
                <w:sz w:val="24"/>
                <w:szCs w:val="24"/>
                <w:lang w:val="en-US" w:eastAsia="zh-CN" w:bidi="ar"/>
              </w:rPr>
              <w:t>监督考核机制</w:t>
            </w:r>
            <w:r>
              <w:rPr>
                <w:rFonts w:hint="eastAsia" w:ascii="仿宋_GB2312" w:hAnsi="仿宋_GB2312" w:eastAsia="仿宋_GB2312" w:cs="仿宋_GB2312"/>
                <w:b w:val="0"/>
                <w:bCs w:val="0"/>
                <w:color w:val="000000"/>
                <w:kern w:val="0"/>
                <w:sz w:val="24"/>
                <w:szCs w:val="24"/>
                <w:lang w:val="en-US" w:eastAsia="zh-CN" w:bidi="ar"/>
              </w:rPr>
              <w:t>（0.4</w:t>
            </w:r>
            <w:r>
              <w:rPr>
                <w:rFonts w:hint="default" w:ascii="仿宋_GB2312" w:hAnsi="仿宋_GB2312" w:eastAsia="仿宋_GB2312" w:cs="仿宋_GB2312"/>
                <w:b w:val="0"/>
                <w:bCs w:val="0"/>
                <w:color w:val="000000"/>
                <w:kern w:val="0"/>
                <w:sz w:val="24"/>
                <w:szCs w:val="24"/>
                <w:lang w:val="en-US" w:eastAsia="zh-CN" w:bidi="ar"/>
              </w:rPr>
              <w:t>分</w:t>
            </w:r>
            <w:r>
              <w:rPr>
                <w:rFonts w:hint="eastAsia" w:ascii="仿宋_GB2312" w:hAnsi="仿宋_GB2312" w:eastAsia="仿宋_GB2312" w:cs="仿宋_GB2312"/>
                <w:b w:val="0"/>
                <w:bCs w:val="0"/>
                <w:color w:val="000000"/>
                <w:kern w:val="0"/>
                <w:sz w:val="24"/>
                <w:szCs w:val="24"/>
                <w:lang w:val="en-US" w:eastAsia="zh-CN" w:bidi="ar"/>
              </w:rPr>
              <w:t>）；</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59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37"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200"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5.有职能部门对委托业务项目开展检查资料（0.4</w:t>
            </w:r>
            <w:r>
              <w:rPr>
                <w:rFonts w:hint="default" w:ascii="仿宋_GB2312" w:hAnsi="仿宋_GB2312" w:eastAsia="仿宋_GB2312" w:cs="仿宋_GB2312"/>
                <w:b w:val="0"/>
                <w:bCs w:val="0"/>
                <w:color w:val="000000"/>
                <w:kern w:val="0"/>
                <w:sz w:val="24"/>
                <w:szCs w:val="24"/>
                <w:lang w:val="en-US" w:eastAsia="zh-CN" w:bidi="ar"/>
              </w:rPr>
              <w:t>分</w:t>
            </w:r>
            <w:r>
              <w:rPr>
                <w:rFonts w:hint="eastAsia" w:ascii="仿宋_GB2312" w:hAnsi="仿宋_GB2312" w:eastAsia="仿宋_GB2312" w:cs="仿宋_GB2312"/>
                <w:b w:val="0"/>
                <w:bCs w:val="0"/>
                <w:color w:val="000000"/>
                <w:kern w:val="0"/>
                <w:sz w:val="24"/>
                <w:szCs w:val="24"/>
                <w:lang w:val="en-US" w:eastAsia="zh-CN" w:bidi="ar"/>
              </w:rPr>
              <w:t>）。</w:t>
            </w:r>
          </w:p>
        </w:tc>
        <w:tc>
          <w:tcPr>
            <w:tcW w:w="982"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bl>
    <w:p>
      <w:pPr>
        <w:pStyle w:val="5"/>
        <w:bidi w:val="0"/>
        <w:rPr>
          <w:rFonts w:hint="eastAsia"/>
          <w:color w:val="000000"/>
        </w:rPr>
      </w:pPr>
      <w:bookmarkStart w:id="197" w:name="_Toc8233"/>
      <w:bookmarkStart w:id="198" w:name="_Toc28221"/>
      <w:bookmarkStart w:id="199" w:name="_Toc12933"/>
      <w:bookmarkStart w:id="200" w:name="_Toc10228"/>
      <w:r>
        <w:rPr>
          <w:rFonts w:hint="eastAsia"/>
          <w:color w:val="000000"/>
        </w:rPr>
        <w:t>二、人力资源管理（</w:t>
      </w:r>
      <w:r>
        <w:rPr>
          <w:rFonts w:hint="eastAsia"/>
          <w:color w:val="000000"/>
          <w:lang w:val="en-US" w:eastAsia="zh-CN"/>
        </w:rPr>
        <w:t>12</w:t>
      </w:r>
      <w:r>
        <w:rPr>
          <w:rFonts w:hint="eastAsia"/>
          <w:color w:val="000000"/>
        </w:rPr>
        <w:t>分）</w:t>
      </w:r>
      <w:bookmarkEnd w:id="197"/>
      <w:bookmarkEnd w:id="198"/>
      <w:bookmarkEnd w:id="199"/>
      <w:bookmarkEnd w:id="200"/>
    </w:p>
    <w:tbl>
      <w:tblPr>
        <w:tblStyle w:val="14"/>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1"/>
        <w:gridCol w:w="3639"/>
        <w:gridCol w:w="1486"/>
        <w:gridCol w:w="709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trPr>
        <w:tc>
          <w:tcPr>
            <w:tcW w:w="5010" w:type="dxa"/>
            <w:gridSpan w:val="2"/>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eastAsia="zh-CN"/>
              </w:rPr>
              <w:t>细则</w:t>
            </w:r>
          </w:p>
        </w:tc>
        <w:tc>
          <w:tcPr>
            <w:tcW w:w="1486"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7094"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1020"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8" w:hRule="atLeast"/>
        </w:trPr>
        <w:tc>
          <w:tcPr>
            <w:tcW w:w="14610" w:type="dxa"/>
            <w:gridSpan w:val="5"/>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一百四十九</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建立健全以聘用制度和岗位管理制度为主要内容的人力资源管理制度。医院人力资源配备应当满足医院功能任务和质量安全管理工作需要</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1.8分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71" w:type="dxa"/>
            <w:vMerge w:val="restart"/>
            <w:shd w:val="clear" w:color="auto" w:fill="FFFFFF"/>
            <w:noWrap w:val="0"/>
            <w:vAlign w:val="center"/>
          </w:tcPr>
          <w:p>
            <w:pPr>
              <w:widowControl/>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3.2.149.1</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建立健全以聘用制度和岗位管理制度为主要内容的人力资源管理制度，设置人力资源管理部门。</w:t>
            </w:r>
          </w:p>
        </w:tc>
        <w:tc>
          <w:tcPr>
            <w:tcW w:w="1486" w:type="dxa"/>
            <w:vMerge w:val="restart"/>
            <w:shd w:val="clear" w:color="auto" w:fill="FFFFFF"/>
            <w:noWrap w:val="0"/>
            <w:vAlign w:val="center"/>
          </w:tcPr>
          <w:p>
            <w:pPr>
              <w:spacing w:line="28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28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28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员工访谈现场检查</w:t>
            </w:r>
          </w:p>
        </w:tc>
        <w:tc>
          <w:tcPr>
            <w:tcW w:w="7094" w:type="dxa"/>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1</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有人力资源管理制度（0.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restart"/>
            <w:shd w:val="clear" w:color="auto" w:fill="FFFFFF"/>
            <w:noWrap w:val="0"/>
            <w:vAlign w:val="center"/>
          </w:tcPr>
          <w:p>
            <w:pPr>
              <w:widowControl/>
              <w:ind w:firstLine="240" w:firstLineChars="100"/>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3"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设立有人力资源管理部门</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3.</w:t>
            </w:r>
            <w:r>
              <w:rPr>
                <w:rFonts w:hint="eastAsia" w:ascii="仿宋_GB2312" w:hAnsi="仿宋_GB2312" w:eastAsia="仿宋_GB2312" w:cs="仿宋_GB2312"/>
                <w:b w:val="0"/>
                <w:bCs w:val="0"/>
                <w:color w:val="000000"/>
                <w:kern w:val="0"/>
                <w:sz w:val="24"/>
                <w:szCs w:val="24"/>
                <w:lang w:val="en-US" w:eastAsia="zh-CN" w:bidi="ar"/>
              </w:rPr>
              <w:t>人力资源管理制度及规定有多种渠道公布，方便职工查询</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bidi="ar"/>
              </w:rPr>
              <w:t>4.随机抽查不同科室、岗位和级别员工</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对本岗位职位的聘任、职务/职称晋升、绩效工资、奖惩规定等人力资源管理相关信息的获知渠道与知晓程度（0.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3.2.149.</w:t>
            </w:r>
            <w:r>
              <w:rPr>
                <w:rFonts w:hint="eastAsia" w:ascii="仿宋_GB2312" w:hAnsi="仿宋_GB2312" w:eastAsia="仿宋_GB2312" w:cs="仿宋_GB2312"/>
                <w:b w:val="0"/>
                <w:bCs w:val="0"/>
                <w:color w:val="000000"/>
                <w:kern w:val="0"/>
                <w:sz w:val="24"/>
                <w:szCs w:val="24"/>
              </w:rPr>
              <w:t>2</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人力资源配备应当满足医院功能任务和质量安全管理工作需要。</w:t>
            </w:r>
          </w:p>
        </w:tc>
        <w:tc>
          <w:tcPr>
            <w:tcW w:w="1486" w:type="dxa"/>
            <w:vMerge w:val="restart"/>
            <w:shd w:val="clear" w:color="auto" w:fill="FFFFFF"/>
            <w:noWrap w:val="0"/>
            <w:vAlign w:val="center"/>
          </w:tcPr>
          <w:p>
            <w:pPr>
              <w:spacing w:line="28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文件查阅</w:t>
            </w: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shd w:val="clear" w:color="auto" w:fill="FFFFFF"/>
                <w:lang w:val="en-US" w:eastAsia="zh-CN"/>
              </w:rPr>
              <w:t>1.</w:t>
            </w:r>
            <w:r>
              <w:rPr>
                <w:rFonts w:hint="eastAsia" w:ascii="仿宋_GB2312" w:hAnsi="仿宋_GB2312" w:eastAsia="仿宋_GB2312" w:cs="仿宋_GB2312"/>
                <w:b w:val="0"/>
                <w:bCs w:val="0"/>
                <w:color w:val="000000"/>
                <w:sz w:val="24"/>
                <w:szCs w:val="24"/>
                <w:shd w:val="clear" w:color="auto" w:fill="FFFFFF"/>
              </w:rPr>
              <w:t>有人力资源发展规划和</w:t>
            </w:r>
            <w:r>
              <w:rPr>
                <w:rFonts w:hint="eastAsia" w:ascii="仿宋_GB2312" w:hAnsi="仿宋_GB2312" w:eastAsia="仿宋_GB2312" w:cs="仿宋_GB2312"/>
                <w:b w:val="0"/>
                <w:bCs w:val="0"/>
                <w:color w:val="000000"/>
                <w:sz w:val="24"/>
                <w:szCs w:val="24"/>
                <w:shd w:val="clear" w:color="auto" w:fill="FFFFFF"/>
                <w:lang w:val="en-US" w:eastAsia="zh-CN"/>
              </w:rPr>
              <w:t>实施</w:t>
            </w:r>
            <w:r>
              <w:rPr>
                <w:rFonts w:hint="eastAsia" w:ascii="仿宋_GB2312" w:hAnsi="仿宋_GB2312" w:eastAsia="仿宋_GB2312" w:cs="仿宋_GB2312"/>
                <w:b w:val="0"/>
                <w:bCs w:val="0"/>
                <w:color w:val="000000"/>
                <w:kern w:val="0"/>
                <w:sz w:val="24"/>
                <w:szCs w:val="24"/>
                <w:shd w:val="clear" w:color="auto" w:fill="FFFFFF"/>
                <w:lang w:val="en-US" w:eastAsia="zh-CN" w:bidi="ar"/>
              </w:rPr>
              <w:t>方案</w:t>
            </w:r>
            <w:r>
              <w:rPr>
                <w:rFonts w:hint="eastAsia" w:ascii="仿宋_GB2312" w:hAnsi="仿宋_GB2312" w:eastAsia="仿宋_GB2312" w:cs="仿宋_GB2312"/>
                <w:b w:val="0"/>
                <w:bCs w:val="0"/>
                <w:color w:val="000000"/>
                <w:sz w:val="24"/>
                <w:szCs w:val="24"/>
                <w:shd w:val="clear" w:color="auto" w:fill="FFFFFF"/>
              </w:rPr>
              <w:t>（0.2分）；</w:t>
            </w:r>
          </w:p>
        </w:tc>
        <w:tc>
          <w:tcPr>
            <w:tcW w:w="1020" w:type="dxa"/>
            <w:vMerge w:val="restart"/>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根据按需设岗原则和各科室人员需要制定有医院当年的进人计划</w:t>
            </w:r>
            <w:r>
              <w:rPr>
                <w:rFonts w:hint="eastAsia" w:ascii="仿宋_GB2312" w:hAnsi="仿宋_GB2312" w:eastAsia="仿宋_GB2312" w:cs="仿宋_GB2312"/>
                <w:b w:val="0"/>
                <w:bCs w:val="0"/>
                <w:color w:val="000000"/>
                <w:kern w:val="0"/>
                <w:sz w:val="24"/>
                <w:szCs w:val="24"/>
                <w:lang w:bidi="ar"/>
              </w:rPr>
              <w:t>（0.2分）；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shd w:val="clear" w:color="auto" w:fill="FFFFFF"/>
                <w:lang w:val="en-US" w:eastAsia="zh-CN" w:bidi="ar"/>
              </w:rPr>
              <w:t>3.医院人员的学历结构、职称结构、年龄结构、专业结构合理</w:t>
            </w:r>
            <w:r>
              <w:rPr>
                <w:rFonts w:hint="eastAsia" w:ascii="仿宋_GB2312" w:hAnsi="仿宋_GB2312" w:eastAsia="仿宋_GB2312" w:cs="仿宋_GB2312"/>
                <w:b w:val="0"/>
                <w:bCs w:val="0"/>
                <w:color w:val="000000"/>
                <w:kern w:val="0"/>
                <w:sz w:val="24"/>
                <w:szCs w:val="24"/>
                <w:shd w:val="clear" w:color="auto" w:fill="FFFFFF"/>
                <w:lang w:bidi="ar"/>
              </w:rPr>
              <w:t>（0.</w:t>
            </w:r>
            <w:r>
              <w:rPr>
                <w:rFonts w:hint="eastAsia" w:ascii="仿宋_GB2312" w:hAnsi="仿宋_GB2312" w:eastAsia="仿宋_GB2312" w:cs="仿宋_GB2312"/>
                <w:b w:val="0"/>
                <w:bCs w:val="0"/>
                <w:color w:val="000000"/>
                <w:kern w:val="0"/>
                <w:sz w:val="24"/>
                <w:szCs w:val="24"/>
                <w:shd w:val="clear" w:color="auto" w:fill="FFFFFF"/>
                <w:lang w:val="en-US" w:eastAsia="zh-CN" w:bidi="ar"/>
              </w:rPr>
              <w:t>2</w:t>
            </w:r>
            <w:r>
              <w:rPr>
                <w:rFonts w:hint="eastAsia" w:ascii="仿宋_GB2312" w:hAnsi="仿宋_GB2312" w:eastAsia="仿宋_GB2312" w:cs="仿宋_GB2312"/>
                <w:b w:val="0"/>
                <w:bCs w:val="0"/>
                <w:color w:val="000000"/>
                <w:kern w:val="0"/>
                <w:sz w:val="24"/>
                <w:szCs w:val="24"/>
                <w:shd w:val="clear" w:color="auto" w:fill="FFFFFF"/>
                <w:lang w:bidi="ar"/>
              </w:rPr>
              <w:t>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kern w:val="0"/>
                <w:sz w:val="24"/>
                <w:szCs w:val="24"/>
                <w:lang w:val="en-US" w:eastAsia="zh-CN" w:bidi="ar"/>
              </w:rPr>
              <w:t>4.医院制定有人才引进激励政策及人才激励机制</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kern w:val="0"/>
                <w:sz w:val="24"/>
                <w:szCs w:val="24"/>
                <w:lang w:val="en-US" w:eastAsia="zh-CN" w:bidi="ar"/>
              </w:rPr>
              <w:t>5.定期对医院人力资源配备情况进行评估，及时根据评估情况对人力资源配备进行优化</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10" w:type="dxa"/>
            <w:gridSpan w:val="5"/>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有公平透明的卫生专业技术人员资质的认定、聘用、考核、评价管理体系，建立专业技术人员档案</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2.2分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71" w:type="dxa"/>
            <w:vMerge w:val="restart"/>
            <w:shd w:val="clear" w:color="auto" w:fill="FFFFFF"/>
            <w:noWrap w:val="0"/>
            <w:vAlign w:val="center"/>
          </w:tcPr>
          <w:p>
            <w:pPr>
              <w:widowControl/>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3.2.150.1</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有公平透明的卫生专业技术人员资质的认定、聘用考核、评价管理体系。</w:t>
            </w:r>
          </w:p>
        </w:tc>
        <w:tc>
          <w:tcPr>
            <w:tcW w:w="1486"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7094" w:type="dxa"/>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1.制定卫生技术人员资质认定、聘用、考核、评价管理的相关制度和流程（0.2分）；</w:t>
            </w:r>
          </w:p>
        </w:tc>
        <w:tc>
          <w:tcPr>
            <w:tcW w:w="1020" w:type="dxa"/>
            <w:vMerge w:val="restart"/>
            <w:shd w:val="clear" w:color="auto" w:fill="FFFFFF"/>
            <w:noWrap w:val="0"/>
            <w:vAlign w:val="center"/>
          </w:tcPr>
          <w:p>
            <w:pPr>
              <w:widowControl/>
              <w:tabs>
                <w:tab w:val="left" w:pos="312"/>
              </w:tabs>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有多种渠道公布专业技术人员的任职条件和聘用条件</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3.对专业技术人员的聘用考核结果、聘任情况实行公示，接受社会的监督</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shd w:val="clear" w:color="auto" w:fill="FFFFFF"/>
                <w:lang w:val="en-US" w:eastAsia="zh-CN" w:bidi="ar"/>
              </w:rPr>
              <w:t>4</w:t>
            </w:r>
            <w:r>
              <w:rPr>
                <w:rFonts w:hint="eastAsia" w:ascii="仿宋_GB2312" w:hAnsi="仿宋_GB2312" w:eastAsia="仿宋_GB2312" w:cs="仿宋_GB2312"/>
                <w:b w:val="0"/>
                <w:bCs w:val="0"/>
                <w:color w:val="000000"/>
                <w:kern w:val="0"/>
                <w:sz w:val="24"/>
                <w:szCs w:val="24"/>
                <w:shd w:val="clear" w:color="auto" w:fill="FFFFFF"/>
                <w:lang w:bidi="ar"/>
              </w:rPr>
              <w:t>.</w:t>
            </w:r>
            <w:r>
              <w:rPr>
                <w:rFonts w:hint="eastAsia" w:ascii="仿宋_GB2312" w:hAnsi="仿宋_GB2312" w:eastAsia="仿宋_GB2312" w:cs="仿宋_GB2312"/>
                <w:b w:val="0"/>
                <w:bCs w:val="0"/>
                <w:color w:val="000000"/>
                <w:kern w:val="0"/>
                <w:sz w:val="24"/>
                <w:szCs w:val="24"/>
                <w:shd w:val="clear" w:color="auto" w:fill="FFFFFF"/>
                <w:lang w:val="en-US" w:eastAsia="zh-CN" w:bidi="ar"/>
              </w:rPr>
              <w:t>查阅医院专业技术人员资质认定、</w:t>
            </w:r>
            <w:r>
              <w:rPr>
                <w:rFonts w:hint="eastAsia" w:ascii="仿宋_GB2312" w:hAnsi="仿宋_GB2312" w:eastAsia="仿宋_GB2312" w:cs="仿宋_GB2312"/>
                <w:b w:val="0"/>
                <w:bCs w:val="0"/>
                <w:color w:val="000000"/>
                <w:kern w:val="0"/>
                <w:sz w:val="24"/>
                <w:szCs w:val="24"/>
                <w:shd w:val="clear" w:color="auto" w:fill="FFFFFF"/>
                <w:lang w:bidi="ar"/>
              </w:rPr>
              <w:t>聘用及考核</w:t>
            </w:r>
            <w:r>
              <w:rPr>
                <w:rFonts w:hint="eastAsia" w:ascii="仿宋_GB2312" w:hAnsi="仿宋_GB2312" w:eastAsia="仿宋_GB2312" w:cs="仿宋_GB2312"/>
                <w:b w:val="0"/>
                <w:bCs w:val="0"/>
                <w:color w:val="000000"/>
                <w:kern w:val="0"/>
                <w:sz w:val="24"/>
                <w:szCs w:val="24"/>
                <w:shd w:val="clear" w:color="auto" w:fill="FFFFFF"/>
                <w:lang w:val="en-US" w:eastAsia="zh-CN" w:bidi="ar"/>
              </w:rPr>
              <w:t>相关材料符合医院相关规定要求</w:t>
            </w:r>
            <w:r>
              <w:rPr>
                <w:rFonts w:hint="eastAsia" w:ascii="仿宋_GB2312" w:hAnsi="仿宋_GB2312" w:eastAsia="仿宋_GB2312" w:cs="仿宋_GB2312"/>
                <w:b w:val="0"/>
                <w:bCs w:val="0"/>
                <w:color w:val="000000"/>
                <w:kern w:val="0"/>
                <w:sz w:val="24"/>
                <w:szCs w:val="24"/>
                <w:shd w:val="clear" w:color="auto" w:fill="FFFFFF"/>
                <w:lang w:bidi="ar"/>
              </w:rPr>
              <w:t>（0.</w:t>
            </w:r>
            <w:r>
              <w:rPr>
                <w:rFonts w:hint="eastAsia" w:ascii="仿宋_GB2312" w:hAnsi="仿宋_GB2312" w:eastAsia="仿宋_GB2312" w:cs="仿宋_GB2312"/>
                <w:b w:val="0"/>
                <w:bCs w:val="0"/>
                <w:color w:val="000000"/>
                <w:kern w:val="0"/>
                <w:sz w:val="24"/>
                <w:szCs w:val="24"/>
                <w:shd w:val="clear" w:color="auto" w:fill="FFFFFF"/>
                <w:lang w:val="en-US" w:eastAsia="zh-CN" w:bidi="ar"/>
              </w:rPr>
              <w:t>3</w:t>
            </w:r>
            <w:r>
              <w:rPr>
                <w:rFonts w:hint="eastAsia" w:ascii="仿宋_GB2312" w:hAnsi="仿宋_GB2312" w:eastAsia="仿宋_GB2312" w:cs="仿宋_GB2312"/>
                <w:b w:val="0"/>
                <w:bCs w:val="0"/>
                <w:color w:val="000000"/>
                <w:kern w:val="0"/>
                <w:sz w:val="24"/>
                <w:szCs w:val="24"/>
                <w:shd w:val="clear" w:color="auto" w:fill="FFFFFF"/>
                <w:lang w:bidi="ar"/>
              </w:rPr>
              <w:t>分）</w:t>
            </w:r>
            <w:r>
              <w:rPr>
                <w:rFonts w:hint="eastAsia" w:ascii="仿宋_GB2312" w:hAnsi="仿宋_GB2312" w:eastAsia="仿宋_GB2312" w:cs="仿宋_GB2312"/>
                <w:b w:val="0"/>
                <w:bCs w:val="0"/>
                <w:color w:val="000000"/>
                <w:kern w:val="0"/>
                <w:sz w:val="24"/>
                <w:szCs w:val="24"/>
                <w:shd w:val="clear" w:color="auto" w:fill="FFFFFF"/>
                <w:lang w:eastAsia="zh-CN" w:bidi="ar"/>
              </w:rPr>
              <w:t>。</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3.2.150</w:t>
            </w:r>
            <w:r>
              <w:rPr>
                <w:rFonts w:hint="eastAsia" w:ascii="仿宋_GB2312" w:hAnsi="仿宋_GB2312" w:eastAsia="仿宋_GB2312" w:cs="仿宋_GB2312"/>
                <w:b w:val="0"/>
                <w:bCs w:val="0"/>
                <w:color w:val="000000"/>
                <w:kern w:val="0"/>
                <w:sz w:val="24"/>
                <w:szCs w:val="24"/>
              </w:rPr>
              <w:t>.2</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建立专业技术人员档案，包括但不限于经审核的执业注册证、文凭、学位、教育和培训等资料复印件。</w:t>
            </w:r>
          </w:p>
        </w:tc>
        <w:tc>
          <w:tcPr>
            <w:tcW w:w="1486"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7094" w:type="dxa"/>
            <w:shd w:val="clear" w:color="auto" w:fill="FFFFFF"/>
            <w:noWrap w:val="0"/>
            <w:vAlign w:val="center"/>
          </w:tcPr>
          <w:p>
            <w:pPr>
              <w:widowControl/>
              <w:numPr>
                <w:ilvl w:val="0"/>
                <w:numId w:val="0"/>
              </w:numP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人事部门及各科室建立卫生专业技术人员个人技术档案（0.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20" w:type="dxa"/>
            <w:vMerge w:val="restart"/>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4" w:hRule="atLeast"/>
        </w:trPr>
        <w:tc>
          <w:tcPr>
            <w:tcW w:w="1371"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2.动态管理卫生专业技术人员个人技术档案，及时更新相关资料（0.2分）。</w:t>
            </w:r>
          </w:p>
        </w:tc>
        <w:tc>
          <w:tcPr>
            <w:tcW w:w="1020"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3.2.150.</w:t>
            </w:r>
            <w:r>
              <w:rPr>
                <w:rFonts w:hint="eastAsia" w:ascii="仿宋_GB2312" w:hAnsi="仿宋_GB2312" w:eastAsia="仿宋_GB2312" w:cs="仿宋_GB2312"/>
                <w:b w:val="0"/>
                <w:bCs w:val="0"/>
                <w:color w:val="000000"/>
                <w:kern w:val="0"/>
                <w:sz w:val="24"/>
                <w:szCs w:val="24"/>
              </w:rPr>
              <w:t>3</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根据岗位职责、技术能力等定期实施聘用、</w:t>
            </w:r>
            <w:r>
              <w:rPr>
                <w:rFonts w:hint="eastAsia" w:ascii="仿宋_GB2312" w:hAnsi="仿宋_GB2312" w:eastAsia="仿宋_GB2312" w:cs="仿宋_GB2312"/>
                <w:b w:val="0"/>
                <w:bCs w:val="0"/>
                <w:color w:val="000000"/>
                <w:sz w:val="24"/>
                <w:szCs w:val="24"/>
                <w:shd w:val="clear" w:color="auto" w:fill="FFFFFF"/>
              </w:rPr>
              <w:t>授权和再授权管理。</w:t>
            </w:r>
          </w:p>
        </w:tc>
        <w:tc>
          <w:tcPr>
            <w:tcW w:w="1486" w:type="dxa"/>
            <w:vMerge w:val="restart"/>
            <w:shd w:val="clear" w:color="auto" w:fill="FFFFFF"/>
            <w:noWrap w:val="0"/>
            <w:vAlign w:val="center"/>
          </w:tcPr>
          <w:p>
            <w:pPr>
              <w:spacing w:line="30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numPr>
                <w:ilvl w:val="0"/>
                <w:numId w:val="4"/>
              </w:numPr>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人事部门对</w:t>
            </w:r>
            <w:r>
              <w:rPr>
                <w:rFonts w:hint="eastAsia" w:ascii="仿宋_GB2312" w:hAnsi="仿宋_GB2312" w:eastAsia="仿宋_GB2312" w:cs="仿宋_GB2312"/>
                <w:b w:val="0"/>
                <w:bCs w:val="0"/>
                <w:color w:val="000000"/>
                <w:kern w:val="0"/>
                <w:sz w:val="24"/>
                <w:szCs w:val="24"/>
                <w:lang w:bidi="ar"/>
              </w:rPr>
              <w:t>卫生专业技术人员</w:t>
            </w:r>
            <w:r>
              <w:rPr>
                <w:rFonts w:hint="eastAsia" w:ascii="仿宋_GB2312" w:hAnsi="仿宋_GB2312" w:eastAsia="仿宋_GB2312" w:cs="仿宋_GB2312"/>
                <w:b w:val="0"/>
                <w:bCs w:val="0"/>
                <w:color w:val="000000"/>
                <w:kern w:val="0"/>
                <w:sz w:val="24"/>
                <w:szCs w:val="24"/>
                <w:lang w:val="en-US" w:eastAsia="zh-CN" w:bidi="ar"/>
              </w:rPr>
              <w:t>实行周期性聘用管理</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restart"/>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4"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2.医院对医疗技术岗位管理权限实施授权和再授权管理（不包括处方授权、手术分级授权、麻醉分级授权等）</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3.对高风险、</w:t>
            </w:r>
            <w:r>
              <w:rPr>
                <w:rFonts w:hint="eastAsia" w:ascii="仿宋_GB2312" w:hAnsi="仿宋_GB2312" w:eastAsia="仿宋_GB2312" w:cs="仿宋_GB2312"/>
                <w:b w:val="0"/>
                <w:bCs w:val="0"/>
                <w:color w:val="000000"/>
                <w:kern w:val="0"/>
                <w:sz w:val="24"/>
                <w:szCs w:val="24"/>
                <w:lang w:bidi="ar"/>
              </w:rPr>
              <w:t>特殊岗位</w:t>
            </w:r>
            <w:r>
              <w:rPr>
                <w:rFonts w:hint="eastAsia" w:ascii="仿宋_GB2312" w:hAnsi="仿宋_GB2312" w:eastAsia="仿宋_GB2312" w:cs="仿宋_GB2312"/>
                <w:b w:val="0"/>
                <w:bCs w:val="0"/>
                <w:color w:val="000000"/>
                <w:kern w:val="0"/>
                <w:sz w:val="24"/>
                <w:szCs w:val="24"/>
                <w:lang w:val="en-US" w:eastAsia="zh-CN" w:bidi="ar"/>
              </w:rPr>
              <w:t>人员实行</w:t>
            </w:r>
            <w:r>
              <w:rPr>
                <w:rFonts w:hint="eastAsia" w:ascii="仿宋_GB2312" w:hAnsi="仿宋_GB2312" w:eastAsia="仿宋_GB2312" w:cs="仿宋_GB2312"/>
                <w:b w:val="0"/>
                <w:bCs w:val="0"/>
                <w:color w:val="000000"/>
                <w:kern w:val="0"/>
                <w:sz w:val="24"/>
                <w:szCs w:val="24"/>
                <w:lang w:bidi="ar"/>
              </w:rPr>
              <w:t>授权和再授权管理（0.1分）；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4</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职能部门对</w:t>
            </w:r>
            <w:r>
              <w:rPr>
                <w:rFonts w:hint="eastAsia" w:ascii="仿宋_GB2312" w:hAnsi="仿宋_GB2312" w:eastAsia="仿宋_GB2312" w:cs="仿宋_GB2312"/>
                <w:b w:val="0"/>
                <w:bCs w:val="0"/>
                <w:color w:val="000000"/>
                <w:kern w:val="0"/>
                <w:sz w:val="24"/>
                <w:szCs w:val="24"/>
                <w:lang w:bidi="ar"/>
              </w:rPr>
              <w:t>卫生专业技术人员履职情况</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授权和再授权管理</w:t>
            </w:r>
            <w:r>
              <w:rPr>
                <w:rFonts w:hint="eastAsia" w:ascii="仿宋_GB2312" w:hAnsi="仿宋_GB2312" w:eastAsia="仿宋_GB2312" w:cs="仿宋_GB2312"/>
                <w:b w:val="0"/>
                <w:bCs w:val="0"/>
                <w:color w:val="000000"/>
                <w:kern w:val="0"/>
                <w:sz w:val="24"/>
                <w:szCs w:val="24"/>
                <w:lang w:val="en-US" w:eastAsia="zh-CN" w:bidi="ar"/>
              </w:rPr>
              <w:t>进行监管，有追踪与评价</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610" w:type="dxa"/>
            <w:gridSpan w:val="5"/>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一百五十一</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贯彻落实《公立医院领导人员管理暂行办法》，加强公立医院行政领导人员职业化培训</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bidi="ar"/>
              </w:rPr>
              <w:t>推行公立医院行政领导人员职业化培训</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1.4分</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3.2.151.</w:t>
            </w:r>
            <w:r>
              <w:rPr>
                <w:rFonts w:hint="eastAsia" w:ascii="仿宋_GB2312" w:hAnsi="仿宋_GB2312" w:eastAsia="仿宋_GB2312" w:cs="仿宋_GB2312"/>
                <w:b w:val="0"/>
                <w:bCs w:val="0"/>
                <w:color w:val="000000"/>
                <w:kern w:val="0"/>
                <w:sz w:val="24"/>
                <w:szCs w:val="24"/>
              </w:rPr>
              <w:t>1</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sz w:val="24"/>
                <w:szCs w:val="24"/>
              </w:rPr>
              <w:t>贯彻落实《公立医院领导人员管理暂行办法》</w:t>
            </w:r>
            <w:r>
              <w:rPr>
                <w:rFonts w:hint="eastAsia" w:ascii="仿宋_GB2312" w:hAnsi="仿宋_GB2312" w:eastAsia="仿宋_GB2312" w:cs="仿宋_GB2312"/>
                <w:b w:val="0"/>
                <w:bCs w:val="0"/>
                <w:color w:val="000000"/>
                <w:sz w:val="24"/>
                <w:szCs w:val="24"/>
                <w:lang w:eastAsia="zh-CN"/>
              </w:rPr>
              <w:t>。</w:t>
            </w:r>
          </w:p>
        </w:tc>
        <w:tc>
          <w:tcPr>
            <w:tcW w:w="1486" w:type="dxa"/>
            <w:vMerge w:val="restart"/>
            <w:shd w:val="clear" w:color="auto" w:fill="FFFFFF"/>
            <w:noWrap w:val="0"/>
            <w:vAlign w:val="center"/>
          </w:tcPr>
          <w:p>
            <w:pPr>
              <w:spacing w:line="30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1.公立医院领导人和医、药、护、技等专业技术人员直接提任的领导人员，符合办法规定的任职条件</w:t>
            </w:r>
            <w:r>
              <w:rPr>
                <w:rFonts w:hint="eastAsia" w:ascii="仿宋_GB2312" w:hAnsi="仿宋_GB2312" w:eastAsia="仿宋_GB2312" w:cs="仿宋_GB2312"/>
                <w:b w:val="0"/>
                <w:bCs w:val="0"/>
                <w:color w:val="000000"/>
                <w:kern w:val="0"/>
                <w:sz w:val="24"/>
                <w:szCs w:val="24"/>
                <w:lang w:bidi="ar"/>
              </w:rPr>
              <w:t>（0.2分）；</w:t>
            </w:r>
          </w:p>
        </w:tc>
        <w:tc>
          <w:tcPr>
            <w:tcW w:w="1020" w:type="dxa"/>
            <w:vMerge w:val="restart"/>
            <w:shd w:val="clear" w:color="auto" w:fill="FFFFFF"/>
            <w:noWrap w:val="0"/>
            <w:vAlign w:val="center"/>
          </w:tcPr>
          <w:p>
            <w:pPr>
              <w:widowControl/>
              <w:jc w:val="center"/>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执行聘任制的公立医院领导人员，聘任手续齐全，聘任期有效</w:t>
            </w:r>
            <w:r>
              <w:rPr>
                <w:rFonts w:hint="eastAsia" w:ascii="仿宋_GB2312" w:hAnsi="仿宋_GB2312" w:eastAsia="仿宋_GB2312" w:cs="仿宋_GB2312"/>
                <w:b w:val="0"/>
                <w:bCs w:val="0"/>
                <w:color w:val="000000"/>
                <w:kern w:val="0"/>
                <w:sz w:val="24"/>
                <w:szCs w:val="24"/>
                <w:lang w:bidi="ar"/>
              </w:rPr>
              <w:t>（0.2分）；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3.医院领导班子各成员周期内各年度考核和任期考核达到合格以上</w:t>
            </w:r>
            <w:r>
              <w:rPr>
                <w:rFonts w:hint="eastAsia" w:ascii="仿宋_GB2312" w:hAnsi="仿宋_GB2312" w:eastAsia="仿宋_GB2312" w:cs="仿宋_GB2312"/>
                <w:b w:val="0"/>
                <w:bCs w:val="0"/>
                <w:color w:val="000000"/>
                <w:kern w:val="0"/>
                <w:sz w:val="24"/>
                <w:szCs w:val="24"/>
                <w:lang w:bidi="ar"/>
              </w:rPr>
              <w:t>（0.2分）；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shd w:val="clear" w:color="auto" w:fill="FFFFFF"/>
                <w:lang w:bidi="ar"/>
              </w:rPr>
              <w:t>4.</w:t>
            </w:r>
            <w:r>
              <w:rPr>
                <w:rFonts w:hint="eastAsia" w:ascii="仿宋_GB2312" w:hAnsi="仿宋_GB2312" w:eastAsia="仿宋_GB2312" w:cs="仿宋_GB2312"/>
                <w:b w:val="0"/>
                <w:bCs w:val="0"/>
                <w:color w:val="000000"/>
                <w:kern w:val="0"/>
                <w:sz w:val="24"/>
                <w:szCs w:val="24"/>
                <w:shd w:val="clear" w:color="auto" w:fill="FFFFFF"/>
                <w:lang w:val="en-US" w:eastAsia="zh-CN" w:bidi="ar"/>
              </w:rPr>
              <w:t>医院领导班子成员职责分工符合纪检监察部门的规定，并按要求执行轮岗</w:t>
            </w:r>
            <w:r>
              <w:rPr>
                <w:rFonts w:hint="eastAsia" w:ascii="仿宋_GB2312" w:hAnsi="仿宋_GB2312" w:eastAsia="仿宋_GB2312" w:cs="仿宋_GB2312"/>
                <w:b w:val="0"/>
                <w:bCs w:val="0"/>
                <w:color w:val="000000"/>
                <w:kern w:val="0"/>
                <w:sz w:val="24"/>
                <w:szCs w:val="24"/>
                <w:shd w:val="clear" w:color="auto" w:fill="FFFFFF"/>
                <w:lang w:bidi="ar"/>
              </w:rPr>
              <w:t>（0.</w:t>
            </w:r>
            <w:r>
              <w:rPr>
                <w:rFonts w:hint="eastAsia" w:ascii="仿宋_GB2312" w:hAnsi="仿宋_GB2312" w:eastAsia="仿宋_GB2312" w:cs="仿宋_GB2312"/>
                <w:b w:val="0"/>
                <w:bCs w:val="0"/>
                <w:color w:val="000000"/>
                <w:kern w:val="0"/>
                <w:sz w:val="24"/>
                <w:szCs w:val="24"/>
                <w:shd w:val="clear" w:color="auto" w:fill="FFFFFF"/>
                <w:lang w:val="en-US" w:eastAsia="zh-CN" w:bidi="ar"/>
              </w:rPr>
              <w:t>1</w:t>
            </w:r>
            <w:r>
              <w:rPr>
                <w:rFonts w:hint="eastAsia" w:ascii="仿宋_GB2312" w:hAnsi="仿宋_GB2312" w:eastAsia="仿宋_GB2312" w:cs="仿宋_GB2312"/>
                <w:b w:val="0"/>
                <w:bCs w:val="0"/>
                <w:color w:val="000000"/>
                <w:kern w:val="0"/>
                <w:sz w:val="24"/>
                <w:szCs w:val="24"/>
                <w:shd w:val="clear" w:color="auto" w:fill="FFFFFF"/>
                <w:lang w:bidi="ar"/>
              </w:rPr>
              <w:t>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5</w:t>
            </w:r>
            <w:r>
              <w:rPr>
                <w:rFonts w:hint="eastAsia" w:ascii="仿宋_GB2312" w:hAnsi="仿宋_GB2312" w:eastAsia="仿宋_GB2312" w:cs="仿宋_GB2312"/>
                <w:b w:val="0"/>
                <w:bCs w:val="0"/>
                <w:color w:val="000000"/>
                <w:kern w:val="0"/>
                <w:sz w:val="24"/>
                <w:szCs w:val="24"/>
                <w:lang w:bidi="ar"/>
              </w:rPr>
              <w:t>.访谈院领导</w:t>
            </w:r>
            <w:r>
              <w:rPr>
                <w:rFonts w:hint="eastAsia" w:ascii="仿宋_GB2312" w:hAnsi="仿宋_GB2312" w:eastAsia="仿宋_GB2312" w:cs="仿宋_GB2312"/>
                <w:b w:val="0"/>
                <w:bCs w:val="0"/>
                <w:color w:val="000000"/>
                <w:kern w:val="0"/>
                <w:sz w:val="24"/>
                <w:szCs w:val="24"/>
                <w:lang w:val="en-US" w:eastAsia="zh-CN" w:bidi="ar"/>
              </w:rPr>
              <w:t>知晓各自的岗位职责及分工内容</w:t>
            </w:r>
            <w:r>
              <w:rPr>
                <w:rFonts w:hint="eastAsia" w:ascii="仿宋_GB2312" w:hAnsi="仿宋_GB2312" w:eastAsia="仿宋_GB2312" w:cs="仿宋_GB2312"/>
                <w:b w:val="0"/>
                <w:bCs w:val="0"/>
                <w:color w:val="000000"/>
                <w:kern w:val="0"/>
                <w:sz w:val="24"/>
                <w:szCs w:val="24"/>
                <w:lang w:bidi="ar"/>
              </w:rPr>
              <w:t>（0.2分）。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3.2.151.</w:t>
            </w:r>
            <w:r>
              <w:rPr>
                <w:rFonts w:hint="eastAsia" w:ascii="仿宋_GB2312" w:hAnsi="仿宋_GB2312" w:eastAsia="仿宋_GB2312" w:cs="仿宋_GB2312"/>
                <w:b w:val="0"/>
                <w:bCs w:val="0"/>
                <w:color w:val="000000"/>
                <w:kern w:val="0"/>
                <w:sz w:val="24"/>
                <w:szCs w:val="24"/>
              </w:rPr>
              <w:t>2</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加强公立医院行政领导人员职业化培训。</w:t>
            </w:r>
          </w:p>
        </w:tc>
        <w:tc>
          <w:tcPr>
            <w:tcW w:w="1486"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查阅资料</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shd w:val="clear" w:color="auto" w:fill="FFFFFF"/>
                <w:lang w:bidi="ar"/>
              </w:rPr>
              <w:t>1.</w:t>
            </w:r>
            <w:r>
              <w:rPr>
                <w:rFonts w:hint="eastAsia" w:ascii="仿宋_GB2312" w:hAnsi="仿宋_GB2312" w:eastAsia="仿宋_GB2312" w:cs="仿宋_GB2312"/>
                <w:b w:val="0"/>
                <w:bCs w:val="0"/>
                <w:color w:val="000000"/>
                <w:kern w:val="0"/>
                <w:sz w:val="24"/>
                <w:szCs w:val="24"/>
                <w:shd w:val="clear" w:color="auto" w:fill="FFFFFF"/>
                <w:lang w:val="en-US" w:eastAsia="zh-CN" w:bidi="ar"/>
              </w:rPr>
              <w:t>有</w:t>
            </w:r>
            <w:r>
              <w:rPr>
                <w:rFonts w:hint="eastAsia" w:ascii="仿宋_GB2312" w:hAnsi="仿宋_GB2312" w:eastAsia="仿宋_GB2312" w:cs="仿宋_GB2312"/>
                <w:b w:val="0"/>
                <w:bCs w:val="0"/>
                <w:color w:val="000000"/>
                <w:kern w:val="0"/>
                <w:sz w:val="24"/>
                <w:szCs w:val="24"/>
                <w:shd w:val="clear" w:color="auto" w:fill="FFFFFF"/>
                <w:lang w:bidi="ar"/>
              </w:rPr>
              <w:t>公立医院领导人员</w:t>
            </w:r>
            <w:r>
              <w:rPr>
                <w:rFonts w:hint="eastAsia" w:ascii="仿宋_GB2312" w:hAnsi="仿宋_GB2312" w:eastAsia="仿宋_GB2312" w:cs="仿宋_GB2312"/>
                <w:b w:val="0"/>
                <w:bCs w:val="0"/>
                <w:color w:val="000000"/>
                <w:kern w:val="0"/>
                <w:sz w:val="24"/>
                <w:szCs w:val="24"/>
                <w:shd w:val="clear" w:color="auto" w:fill="FFFFFF"/>
                <w:lang w:val="en-US" w:eastAsia="zh-CN" w:bidi="ar"/>
              </w:rPr>
              <w:t>参加</w:t>
            </w:r>
            <w:r>
              <w:rPr>
                <w:rFonts w:hint="eastAsia" w:ascii="仿宋_GB2312" w:hAnsi="仿宋_GB2312" w:eastAsia="仿宋_GB2312" w:cs="仿宋_GB2312"/>
                <w:b w:val="0"/>
                <w:bCs w:val="0"/>
                <w:color w:val="000000"/>
                <w:kern w:val="0"/>
                <w:sz w:val="24"/>
                <w:szCs w:val="24"/>
                <w:shd w:val="clear" w:color="auto" w:fill="FFFFFF"/>
                <w:lang w:bidi="ar"/>
              </w:rPr>
              <w:t>职业化培训</w:t>
            </w:r>
            <w:r>
              <w:rPr>
                <w:rFonts w:hint="eastAsia" w:ascii="仿宋_GB2312" w:hAnsi="仿宋_GB2312" w:eastAsia="仿宋_GB2312" w:cs="仿宋_GB2312"/>
                <w:b w:val="0"/>
                <w:bCs w:val="0"/>
                <w:color w:val="000000"/>
                <w:kern w:val="0"/>
                <w:sz w:val="24"/>
                <w:szCs w:val="24"/>
                <w:shd w:val="clear" w:color="auto" w:fill="FFFFFF"/>
                <w:lang w:val="en-US" w:eastAsia="zh-CN" w:bidi="ar"/>
              </w:rPr>
              <w:t>计划</w:t>
            </w:r>
            <w:r>
              <w:rPr>
                <w:rFonts w:hint="eastAsia" w:ascii="仿宋_GB2312" w:hAnsi="仿宋_GB2312" w:eastAsia="仿宋_GB2312" w:cs="仿宋_GB2312"/>
                <w:b w:val="0"/>
                <w:bCs w:val="0"/>
                <w:color w:val="000000"/>
                <w:kern w:val="0"/>
                <w:sz w:val="24"/>
                <w:szCs w:val="24"/>
                <w:shd w:val="clear" w:color="auto" w:fill="FFFFFF"/>
                <w:lang w:bidi="ar"/>
              </w:rPr>
              <w:t>（0.1分）；</w:t>
            </w:r>
          </w:p>
        </w:tc>
        <w:tc>
          <w:tcPr>
            <w:tcW w:w="1020"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4"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2.查阅医院领导人员参加</w:t>
            </w:r>
            <w:r>
              <w:rPr>
                <w:rFonts w:hint="eastAsia" w:ascii="仿宋_GB2312" w:hAnsi="仿宋_GB2312" w:eastAsia="仿宋_GB2312" w:cs="仿宋_GB2312"/>
                <w:b w:val="0"/>
                <w:bCs w:val="0"/>
                <w:color w:val="000000"/>
                <w:kern w:val="0"/>
                <w:sz w:val="24"/>
                <w:szCs w:val="24"/>
                <w:lang w:bidi="ar"/>
              </w:rPr>
              <w:t>医院管理培训资料</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体现所有人员均接受职业化培训</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0.2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3.访谈医院领导人员熟练掌握医院管理知识</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0.2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610" w:type="dxa"/>
            <w:gridSpan w:val="5"/>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一百五十二</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有卫生专业技术人员岗前培训、继续医学教育和政府指令性培训任务相关管理制度并组织实施。把员工能力建设作为人力资源管理的重要组成部分，推动员工的全面发展</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1.8分</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3.2.152.</w:t>
            </w:r>
            <w:r>
              <w:rPr>
                <w:rFonts w:hint="eastAsia" w:ascii="仿宋_GB2312" w:hAnsi="仿宋_GB2312" w:eastAsia="仿宋_GB2312" w:cs="仿宋_GB2312"/>
                <w:b w:val="0"/>
                <w:bCs w:val="0"/>
                <w:color w:val="000000"/>
                <w:kern w:val="0"/>
                <w:sz w:val="24"/>
                <w:szCs w:val="24"/>
              </w:rPr>
              <w:t>1</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有卫生专业技术人员岗前培训、住院医师规范化培训、继续医学教育、梯队建设和政府指令性培训任务相关管理制度并组织实施。</w:t>
            </w:r>
          </w:p>
        </w:tc>
        <w:tc>
          <w:tcPr>
            <w:tcW w:w="1486"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1.有岗前培训制度、继续医学教育管理制度、住院医师规范化培训管理制度（0.2分）；</w:t>
            </w:r>
          </w:p>
        </w:tc>
        <w:tc>
          <w:tcPr>
            <w:tcW w:w="1020"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.全院卫生技术人员年度继续医学</w:t>
            </w:r>
            <w:r>
              <w:rPr>
                <w:rFonts w:hint="eastAsia" w:ascii="仿宋_GB2312" w:hAnsi="仿宋_GB2312" w:eastAsia="仿宋_GB2312" w:cs="仿宋_GB2312"/>
                <w:b w:val="0"/>
                <w:bCs w:val="0"/>
                <w:color w:val="000000"/>
                <w:kern w:val="0"/>
                <w:sz w:val="24"/>
                <w:szCs w:val="24"/>
                <w:lang w:val="en-US" w:eastAsia="zh-CN" w:bidi="ar"/>
              </w:rPr>
              <w:t>教育学</w:t>
            </w:r>
            <w:r>
              <w:rPr>
                <w:rFonts w:hint="eastAsia" w:ascii="仿宋_GB2312" w:hAnsi="仿宋_GB2312" w:eastAsia="仿宋_GB2312" w:cs="仿宋_GB2312"/>
                <w:b w:val="0"/>
                <w:bCs w:val="0"/>
                <w:color w:val="000000"/>
                <w:kern w:val="0"/>
                <w:sz w:val="24"/>
                <w:szCs w:val="24"/>
                <w:lang w:bidi="ar"/>
              </w:rPr>
              <w:t>分及公需科目考试达标（达标率≥90%）（0.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3.2.152.</w:t>
            </w:r>
            <w:r>
              <w:rPr>
                <w:rFonts w:hint="eastAsia" w:ascii="仿宋_GB2312" w:hAnsi="仿宋_GB2312" w:eastAsia="仿宋_GB2312" w:cs="仿宋_GB2312"/>
                <w:b w:val="0"/>
                <w:bCs w:val="0"/>
                <w:color w:val="000000"/>
                <w:kern w:val="0"/>
                <w:sz w:val="24"/>
                <w:szCs w:val="24"/>
              </w:rPr>
              <w:t>2</w:t>
            </w:r>
          </w:p>
        </w:tc>
        <w:tc>
          <w:tcPr>
            <w:tcW w:w="3639" w:type="dxa"/>
            <w:vMerge w:val="restart"/>
            <w:shd w:val="clear" w:color="auto" w:fill="FFFFFF"/>
            <w:noWrap w:val="0"/>
            <w:vAlign w:val="center"/>
          </w:tcPr>
          <w:p>
            <w:pPr>
              <w:pStyle w:val="44"/>
              <w:keepNext w:val="0"/>
              <w:keepLines w:val="0"/>
              <w:pageBreakBefore w:val="0"/>
              <w:widowControl w:val="0"/>
              <w:numPr>
                <w:ilvl w:val="0"/>
                <w:numId w:val="0"/>
              </w:numPr>
              <w:tabs>
                <w:tab w:val="left" w:pos="2360"/>
              </w:tabs>
              <w:kinsoku/>
              <w:wordWrap/>
              <w:overflowPunct/>
              <w:topLinePunct w:val="0"/>
              <w:autoSpaceDE w:val="0"/>
              <w:autoSpaceDN w:val="0"/>
              <w:bidi w:val="0"/>
              <w:adjustRightInd/>
              <w:snapToGrid/>
              <w:spacing w:before="43" w:line="280" w:lineRule="exact"/>
              <w:ind w:right="42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有年度实施方案，提供培训条件及专项经费支持，有完善的管理档案。</w:t>
            </w:r>
          </w:p>
        </w:tc>
        <w:tc>
          <w:tcPr>
            <w:tcW w:w="1486" w:type="dxa"/>
            <w:vMerge w:val="restart"/>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 xml:space="preserve"> </w:t>
            </w: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1.有年度培训计划并实施（0.1分）；</w:t>
            </w:r>
          </w:p>
        </w:tc>
        <w:tc>
          <w:tcPr>
            <w:tcW w:w="1020"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1" w:hRule="atLeast"/>
        </w:trPr>
        <w:tc>
          <w:tcPr>
            <w:tcW w:w="1371"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2.教学设备设施及教学资料完善（0.1分）；</w:t>
            </w:r>
          </w:p>
        </w:tc>
        <w:tc>
          <w:tcPr>
            <w:tcW w:w="1020"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71"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3.财务预、决算报告中有对继续教育的经费支持（0.1分）；</w:t>
            </w:r>
          </w:p>
        </w:tc>
        <w:tc>
          <w:tcPr>
            <w:tcW w:w="1020"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71"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4.教学、培训、考试考核档案齐全（0.1分）。</w:t>
            </w:r>
          </w:p>
        </w:tc>
        <w:tc>
          <w:tcPr>
            <w:tcW w:w="1020"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3.2.152.</w:t>
            </w:r>
            <w:r>
              <w:rPr>
                <w:rFonts w:hint="eastAsia" w:ascii="仿宋_GB2312" w:hAnsi="仿宋_GB2312" w:eastAsia="仿宋_GB2312" w:cs="仿宋_GB2312"/>
                <w:b w:val="0"/>
                <w:bCs w:val="0"/>
                <w:color w:val="000000"/>
                <w:kern w:val="0"/>
                <w:sz w:val="24"/>
                <w:szCs w:val="24"/>
              </w:rPr>
              <w:t>3</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把卫生专业技术人员培训质量与数量作为师资绩效考核、职称晋升、评优评先的重要内容。</w:t>
            </w:r>
          </w:p>
        </w:tc>
        <w:tc>
          <w:tcPr>
            <w:tcW w:w="1486" w:type="dxa"/>
            <w:vMerge w:val="restart"/>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1.医院奖惩制度、绩效考核标准、职称晋升条件、评优评先条件中有体现对卫生专业技术人员培训质量与数量作为师资考核评定标准的相关规定（0.1分）；</w:t>
            </w:r>
          </w:p>
        </w:tc>
        <w:tc>
          <w:tcPr>
            <w:tcW w:w="1020" w:type="dxa"/>
            <w:vMerge w:val="restart"/>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9"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shd w:val="clear" w:color="auto" w:fill="FFFFFF"/>
                <w:lang w:bidi="ar"/>
              </w:rPr>
              <w:t>2.现有绩效考核</w:t>
            </w:r>
            <w:r>
              <w:rPr>
                <w:rFonts w:hint="eastAsia" w:ascii="仿宋_GB2312" w:hAnsi="仿宋_GB2312" w:eastAsia="仿宋_GB2312" w:cs="仿宋_GB2312"/>
                <w:b w:val="0"/>
                <w:bCs w:val="0"/>
                <w:color w:val="000000"/>
                <w:kern w:val="0"/>
                <w:sz w:val="24"/>
                <w:szCs w:val="24"/>
                <w:shd w:val="clear" w:color="auto" w:fill="FFFFFF"/>
                <w:lang w:eastAsia="zh-CN" w:bidi="ar"/>
              </w:rPr>
              <w:t>、</w:t>
            </w:r>
            <w:r>
              <w:rPr>
                <w:rFonts w:hint="eastAsia" w:ascii="仿宋_GB2312" w:hAnsi="仿宋_GB2312" w:eastAsia="仿宋_GB2312" w:cs="仿宋_GB2312"/>
                <w:b w:val="0"/>
                <w:bCs w:val="0"/>
                <w:color w:val="000000"/>
                <w:kern w:val="0"/>
                <w:sz w:val="24"/>
                <w:szCs w:val="24"/>
                <w:lang w:bidi="ar"/>
              </w:rPr>
              <w:t>职称晋升</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评优评先案例中有体现（0.1分）。</w:t>
            </w:r>
          </w:p>
        </w:tc>
        <w:tc>
          <w:tcPr>
            <w:tcW w:w="1020" w:type="dxa"/>
            <w:vMerge w:val="continue"/>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9"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3.2.152</w:t>
            </w:r>
            <w:r>
              <w:rPr>
                <w:rFonts w:hint="eastAsia" w:ascii="仿宋_GB2312" w:hAnsi="仿宋_GB2312" w:eastAsia="仿宋_GB2312" w:cs="仿宋_GB2312"/>
                <w:b w:val="0"/>
                <w:bCs w:val="0"/>
                <w:color w:val="000000"/>
                <w:kern w:val="0"/>
                <w:sz w:val="24"/>
                <w:szCs w:val="24"/>
              </w:rPr>
              <w:t>.4</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把员工能力建设作为人力资源管理的重要组成部分。落实“两个同等对待”要求，对经住院医师规范化培训合格的本科学历临床医师，在人员招聘、职称晋升、岗位聘用、薪酬待遇等方面，与临床医学、中医专业学位硕士研究生同等对待；面向社会招收的普通高校应届毕业生培训对象培训合格当年在医疗卫生机构就业的，在招聘、派遣、落户等方面，按当年应届毕业生同等对待。</w:t>
            </w:r>
          </w:p>
        </w:tc>
        <w:tc>
          <w:tcPr>
            <w:tcW w:w="1486" w:type="dxa"/>
            <w:vMerge w:val="restar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000000"/>
                <w:kern w:val="0"/>
                <w:sz w:val="24"/>
                <w:szCs w:val="24"/>
                <w:lang w:eastAsia="zh-CN" w:bidi="ar"/>
              </w:rPr>
            </w:pPr>
            <w:r>
              <w:rPr>
                <w:rFonts w:hint="eastAsia" w:ascii="仿宋_GB2312" w:hAnsi="仿宋_GB2312" w:eastAsia="仿宋_GB2312" w:cs="仿宋_GB2312"/>
                <w:b w:val="0"/>
                <w:bCs w:val="0"/>
                <w:color w:val="000000"/>
                <w:kern w:val="0"/>
                <w:sz w:val="24"/>
                <w:szCs w:val="24"/>
                <w:lang w:bidi="ar"/>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人员访谈</w:t>
            </w: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1.</w:t>
            </w:r>
            <w:r>
              <w:rPr>
                <w:rFonts w:hint="eastAsia" w:ascii="仿宋_GB2312" w:hAnsi="仿宋_GB2312" w:eastAsia="仿宋_GB2312" w:cs="仿宋_GB2312"/>
                <w:b w:val="0"/>
                <w:bCs w:val="0"/>
                <w:color w:val="000000"/>
                <w:kern w:val="0"/>
                <w:sz w:val="24"/>
                <w:szCs w:val="24"/>
                <w:lang w:val="en-US" w:eastAsia="zh-CN" w:bidi="ar"/>
              </w:rPr>
              <w:t>查阅人力资源管理部门职责包含有员工能力建设并作为重要组成部分</w:t>
            </w:r>
            <w:r>
              <w:rPr>
                <w:rFonts w:hint="eastAsia" w:ascii="仿宋_GB2312" w:hAnsi="仿宋_GB2312" w:eastAsia="仿宋_GB2312" w:cs="仿宋_GB2312"/>
                <w:b w:val="0"/>
                <w:bCs w:val="0"/>
                <w:color w:val="000000"/>
                <w:kern w:val="0"/>
                <w:sz w:val="24"/>
                <w:szCs w:val="24"/>
                <w:lang w:bidi="ar"/>
              </w:rPr>
              <w:t>（0.2分）；</w:t>
            </w:r>
          </w:p>
        </w:tc>
        <w:tc>
          <w:tcPr>
            <w:tcW w:w="1020" w:type="dxa"/>
            <w:vMerge w:val="restart"/>
            <w:shd w:val="clear" w:color="auto" w:fill="FFFFFF"/>
            <w:noWrap w:val="0"/>
            <w:vAlign w:val="center"/>
          </w:tcPr>
          <w:p>
            <w:pPr>
              <w:widowControl/>
              <w:ind w:firstLine="240" w:firstLineChars="100"/>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9"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tabs>
                <w:tab w:val="left" w:pos="4827"/>
              </w:tabs>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人力资源管理部门</w:t>
            </w:r>
            <w:r>
              <w:rPr>
                <w:rFonts w:hint="eastAsia" w:ascii="仿宋_GB2312" w:hAnsi="仿宋_GB2312" w:eastAsia="仿宋_GB2312" w:cs="仿宋_GB2312"/>
                <w:b w:val="0"/>
                <w:bCs w:val="0"/>
                <w:color w:val="000000"/>
                <w:kern w:val="0"/>
                <w:sz w:val="24"/>
                <w:szCs w:val="24"/>
                <w:lang w:bidi="ar"/>
              </w:rPr>
              <w:t>有人才培养计划</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经费预算</w:t>
            </w:r>
            <w:r>
              <w:rPr>
                <w:rFonts w:hint="eastAsia" w:ascii="仿宋_GB2312" w:hAnsi="仿宋_GB2312" w:eastAsia="仿宋_GB2312" w:cs="仿宋_GB2312"/>
                <w:b w:val="0"/>
                <w:bCs w:val="0"/>
                <w:color w:val="000000"/>
                <w:kern w:val="0"/>
                <w:sz w:val="24"/>
                <w:szCs w:val="24"/>
                <w:lang w:bidi="ar"/>
              </w:rPr>
              <w:t>并落实（0.2分）；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3.查阅医院有</w:t>
            </w:r>
            <w:r>
              <w:rPr>
                <w:rFonts w:hint="eastAsia" w:ascii="仿宋_GB2312" w:hAnsi="仿宋_GB2312" w:eastAsia="仿宋_GB2312" w:cs="仿宋_GB2312"/>
                <w:b w:val="0"/>
                <w:bCs w:val="0"/>
                <w:color w:val="000000"/>
                <w:kern w:val="0"/>
                <w:sz w:val="24"/>
                <w:szCs w:val="24"/>
                <w:lang w:bidi="ar"/>
              </w:rPr>
              <w:t>落实“两个同等对待”</w:t>
            </w:r>
            <w:r>
              <w:rPr>
                <w:rFonts w:hint="eastAsia" w:ascii="仿宋_GB2312" w:hAnsi="仿宋_GB2312" w:eastAsia="仿宋_GB2312" w:cs="仿宋_GB2312"/>
                <w:b w:val="0"/>
                <w:bCs w:val="0"/>
                <w:color w:val="000000"/>
                <w:kern w:val="0"/>
                <w:sz w:val="24"/>
                <w:szCs w:val="24"/>
                <w:lang w:val="en-US" w:eastAsia="zh-CN" w:bidi="ar"/>
              </w:rPr>
              <w:t>的文件规定</w:t>
            </w:r>
            <w:r>
              <w:rPr>
                <w:rFonts w:hint="eastAsia" w:ascii="仿宋_GB2312" w:hAnsi="仿宋_GB2312" w:eastAsia="仿宋_GB2312" w:cs="仿宋_GB2312"/>
                <w:b w:val="0"/>
                <w:bCs w:val="0"/>
                <w:color w:val="000000"/>
                <w:kern w:val="0"/>
                <w:sz w:val="24"/>
                <w:szCs w:val="24"/>
                <w:lang w:bidi="ar"/>
              </w:rPr>
              <w:t>（0.2分）；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shd w:val="clear" w:color="auto" w:fill="FFFFFF"/>
                <w:lang w:val="en-US" w:eastAsia="zh-CN" w:bidi="ar"/>
              </w:rPr>
              <w:t>4</w:t>
            </w:r>
            <w:r>
              <w:rPr>
                <w:rFonts w:hint="eastAsia" w:ascii="仿宋_GB2312" w:hAnsi="仿宋_GB2312" w:eastAsia="仿宋_GB2312" w:cs="仿宋_GB2312"/>
                <w:b w:val="0"/>
                <w:bCs w:val="0"/>
                <w:color w:val="000000"/>
                <w:kern w:val="0"/>
                <w:sz w:val="24"/>
                <w:szCs w:val="24"/>
                <w:shd w:val="clear" w:color="auto" w:fill="FFFFFF"/>
                <w:lang w:bidi="ar"/>
              </w:rPr>
              <w:t>.</w:t>
            </w:r>
            <w:r>
              <w:rPr>
                <w:rFonts w:hint="eastAsia" w:ascii="仿宋_GB2312" w:hAnsi="仿宋_GB2312" w:eastAsia="仿宋_GB2312" w:cs="仿宋_GB2312"/>
                <w:b w:val="0"/>
                <w:bCs w:val="0"/>
                <w:color w:val="000000"/>
                <w:kern w:val="0"/>
                <w:sz w:val="24"/>
                <w:szCs w:val="24"/>
                <w:shd w:val="clear" w:color="auto" w:fill="FFFFFF"/>
                <w:lang w:val="en-US" w:eastAsia="zh-CN" w:bidi="ar"/>
              </w:rPr>
              <w:t>访谈新招聘的本科规培生</w:t>
            </w:r>
            <w:r>
              <w:rPr>
                <w:rFonts w:hint="eastAsia" w:ascii="仿宋_GB2312" w:hAnsi="仿宋_GB2312" w:eastAsia="仿宋_GB2312" w:cs="仿宋_GB2312"/>
                <w:b w:val="0"/>
                <w:bCs w:val="0"/>
                <w:color w:val="000000"/>
                <w:kern w:val="0"/>
                <w:sz w:val="24"/>
                <w:szCs w:val="24"/>
                <w:shd w:val="clear" w:color="auto" w:fill="FFFFFF"/>
                <w:lang w:bidi="ar"/>
              </w:rPr>
              <w:t>薪酬待遇，达到硕士研究生水平（0.1分）；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5.访谈原面向</w:t>
            </w:r>
            <w:r>
              <w:rPr>
                <w:rFonts w:hint="eastAsia" w:ascii="仿宋_GB2312" w:hAnsi="仿宋_GB2312" w:eastAsia="仿宋_GB2312" w:cs="仿宋_GB2312"/>
                <w:b w:val="0"/>
                <w:bCs w:val="0"/>
                <w:color w:val="000000"/>
                <w:kern w:val="0"/>
                <w:sz w:val="24"/>
                <w:szCs w:val="24"/>
                <w:lang w:bidi="ar"/>
              </w:rPr>
              <w:t>社会招收的</w:t>
            </w:r>
            <w:r>
              <w:rPr>
                <w:rFonts w:hint="eastAsia" w:ascii="仿宋_GB2312" w:hAnsi="仿宋_GB2312" w:eastAsia="仿宋_GB2312" w:cs="仿宋_GB2312"/>
                <w:b w:val="0"/>
                <w:bCs w:val="0"/>
                <w:color w:val="000000"/>
                <w:kern w:val="0"/>
                <w:sz w:val="24"/>
                <w:szCs w:val="24"/>
                <w:lang w:val="en-US" w:eastAsia="zh-CN" w:bidi="ar"/>
              </w:rPr>
              <w:t>规培生</w:t>
            </w:r>
            <w:r>
              <w:rPr>
                <w:rFonts w:hint="eastAsia" w:ascii="仿宋_GB2312" w:hAnsi="仿宋_GB2312" w:eastAsia="仿宋_GB2312" w:cs="仿宋_GB2312"/>
                <w:b w:val="0"/>
                <w:bCs w:val="0"/>
                <w:color w:val="000000"/>
                <w:kern w:val="0"/>
                <w:sz w:val="24"/>
                <w:szCs w:val="24"/>
                <w:lang w:bidi="ar"/>
              </w:rPr>
              <w:t>当年在</w:t>
            </w:r>
            <w:r>
              <w:rPr>
                <w:rFonts w:hint="eastAsia" w:ascii="仿宋_GB2312" w:hAnsi="仿宋_GB2312" w:eastAsia="仿宋_GB2312" w:cs="仿宋_GB2312"/>
                <w:b w:val="0"/>
                <w:bCs w:val="0"/>
                <w:color w:val="000000"/>
                <w:kern w:val="0"/>
                <w:sz w:val="24"/>
                <w:szCs w:val="24"/>
                <w:lang w:val="en-US" w:eastAsia="zh-CN" w:bidi="ar"/>
              </w:rPr>
              <w:t>本医院</w:t>
            </w:r>
            <w:r>
              <w:rPr>
                <w:rFonts w:hint="eastAsia" w:ascii="仿宋_GB2312" w:hAnsi="仿宋_GB2312" w:eastAsia="仿宋_GB2312" w:cs="仿宋_GB2312"/>
                <w:b w:val="0"/>
                <w:bCs w:val="0"/>
                <w:color w:val="000000"/>
                <w:kern w:val="0"/>
                <w:sz w:val="24"/>
                <w:szCs w:val="24"/>
                <w:lang w:bidi="ar"/>
              </w:rPr>
              <w:t>就业的，在招聘、派遣、落户等方面，按当年应届毕业生同等对待（0.1分）。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10" w:type="dxa"/>
            <w:gridSpan w:val="5"/>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一百五十三</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贯彻与执行《中华人民共和国劳动法》等国家法律、法规的要求，建立与完善职业安全防护相关措施、应急预案、处理与改进的制度，上岗前有职业安全防护教育</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2分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3.2.153</w:t>
            </w:r>
            <w:r>
              <w:rPr>
                <w:rFonts w:hint="eastAsia" w:ascii="仿宋_GB2312" w:hAnsi="仿宋_GB2312" w:eastAsia="仿宋_GB2312" w:cs="仿宋_GB2312"/>
                <w:b w:val="0"/>
                <w:bCs w:val="0"/>
                <w:color w:val="000000"/>
                <w:kern w:val="0"/>
                <w:sz w:val="24"/>
                <w:szCs w:val="24"/>
              </w:rPr>
              <w:t>.1</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按照《中华人民共和国劳动法》《中华人民共和国职业病防治法》等国家法律、法规的要求，建立与完善职业安全防护相关制度与措施、职业暴露处理应急预案等，职工上岗前进行职业安全防护教育。</w:t>
            </w:r>
          </w:p>
        </w:tc>
        <w:tc>
          <w:tcPr>
            <w:tcW w:w="1486"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kern w:val="0"/>
                <w:sz w:val="24"/>
                <w:szCs w:val="24"/>
                <w:lang w:bidi="ar"/>
              </w:rPr>
              <w:t>建立与完善职业安全防护相关制度与措施（0.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20" w:type="dxa"/>
            <w:vMerge w:val="restart"/>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p>
            <w:pPr>
              <w:widowControl/>
              <w:ind w:firstLine="480" w:firstLineChars="200"/>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7"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2.按要求配备防护设施设备和用品（0.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3.有职业暴露的应急预案与处置流程并组织演练</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有总结及改进措施（0.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71"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w:t>
            </w:r>
            <w:r>
              <w:rPr>
                <w:rFonts w:hint="eastAsia" w:ascii="仿宋_GB2312" w:hAnsi="仿宋_GB2312" w:eastAsia="仿宋_GB2312" w:cs="仿宋_GB2312"/>
                <w:b w:val="0"/>
                <w:bCs w:val="0"/>
                <w:color w:val="000000"/>
                <w:kern w:val="0"/>
                <w:sz w:val="24"/>
                <w:szCs w:val="24"/>
                <w:lang w:val="en-US" w:eastAsia="zh-CN" w:bidi="ar"/>
              </w:rPr>
              <w:t>现场查看</w:t>
            </w:r>
            <w:r>
              <w:rPr>
                <w:rFonts w:hint="eastAsia" w:ascii="仿宋_GB2312" w:hAnsi="仿宋_GB2312" w:eastAsia="仿宋_GB2312" w:cs="仿宋_GB2312"/>
                <w:b w:val="0"/>
                <w:bCs w:val="0"/>
                <w:color w:val="000000"/>
                <w:kern w:val="0"/>
                <w:sz w:val="24"/>
                <w:szCs w:val="24"/>
                <w:lang w:bidi="ar"/>
              </w:rPr>
              <w:t>各类场所员工防护按要求做好防护（0.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3.2.153</w:t>
            </w:r>
            <w:r>
              <w:rPr>
                <w:rFonts w:hint="eastAsia" w:ascii="仿宋_GB2312" w:hAnsi="仿宋_GB2312" w:eastAsia="仿宋_GB2312" w:cs="仿宋_GB2312"/>
                <w:b w:val="0"/>
                <w:bCs w:val="0"/>
                <w:color w:val="000000"/>
                <w:kern w:val="0"/>
                <w:sz w:val="24"/>
                <w:szCs w:val="24"/>
              </w:rPr>
              <w:t>.2</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上岗前有职业安全防护教育，有培训和考核制度。</w:t>
            </w:r>
          </w:p>
        </w:tc>
        <w:tc>
          <w:tcPr>
            <w:tcW w:w="1486"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员工访谈员工操作</w:t>
            </w: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1.有</w:t>
            </w:r>
            <w:r>
              <w:rPr>
                <w:rFonts w:hint="eastAsia" w:ascii="仿宋_GB2312" w:hAnsi="仿宋_GB2312" w:eastAsia="仿宋_GB2312" w:cs="仿宋_GB2312"/>
                <w:b w:val="0"/>
                <w:bCs w:val="0"/>
                <w:color w:val="000000"/>
                <w:kern w:val="0"/>
                <w:sz w:val="24"/>
                <w:szCs w:val="24"/>
                <w:lang w:val="en-US" w:eastAsia="zh-CN" w:bidi="ar"/>
              </w:rPr>
              <w:t>年度岗前</w:t>
            </w:r>
            <w:r>
              <w:rPr>
                <w:rFonts w:hint="eastAsia" w:ascii="仿宋_GB2312" w:hAnsi="仿宋_GB2312" w:eastAsia="仿宋_GB2312" w:cs="仿宋_GB2312"/>
                <w:b w:val="0"/>
                <w:bCs w:val="0"/>
                <w:color w:val="000000"/>
                <w:kern w:val="0"/>
                <w:sz w:val="24"/>
                <w:szCs w:val="24"/>
                <w:lang w:bidi="ar"/>
              </w:rPr>
              <w:t>职业安全防护教育培训</w:t>
            </w:r>
            <w:r>
              <w:rPr>
                <w:rFonts w:hint="eastAsia" w:ascii="仿宋_GB2312" w:hAnsi="仿宋_GB2312" w:eastAsia="仿宋_GB2312" w:cs="仿宋_GB2312"/>
                <w:b w:val="0"/>
                <w:bCs w:val="0"/>
                <w:color w:val="000000"/>
                <w:kern w:val="0"/>
                <w:sz w:val="24"/>
                <w:szCs w:val="24"/>
                <w:lang w:val="en-US" w:eastAsia="zh-CN" w:bidi="ar"/>
              </w:rPr>
              <w:t>和考核计划</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restart"/>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0" w:hRule="atLeast"/>
        </w:trPr>
        <w:tc>
          <w:tcPr>
            <w:tcW w:w="1371" w:type="dxa"/>
            <w:vMerge w:val="continue"/>
            <w:shd w:val="clear" w:color="auto" w:fill="FFFFFF"/>
            <w:noWrap w:val="0"/>
            <w:vAlign w:val="center"/>
          </w:tcPr>
          <w:p>
            <w:pPr>
              <w:ind w:firstLine="376"/>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ind w:firstLine="376"/>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ind w:firstLine="376"/>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2.有职业安全防护教育培训</w:t>
            </w:r>
            <w:r>
              <w:rPr>
                <w:rFonts w:hint="eastAsia" w:ascii="仿宋_GB2312" w:hAnsi="仿宋_GB2312" w:eastAsia="仿宋_GB2312" w:cs="仿宋_GB2312"/>
                <w:b w:val="0"/>
                <w:bCs w:val="0"/>
                <w:color w:val="000000"/>
                <w:kern w:val="0"/>
                <w:sz w:val="24"/>
                <w:szCs w:val="24"/>
                <w:lang w:val="en-US" w:eastAsia="zh-CN" w:bidi="ar"/>
              </w:rPr>
              <w:t>和考核</w:t>
            </w:r>
            <w:r>
              <w:rPr>
                <w:rFonts w:hint="eastAsia" w:ascii="仿宋_GB2312" w:hAnsi="仿宋_GB2312" w:eastAsia="仿宋_GB2312" w:cs="仿宋_GB2312"/>
                <w:b w:val="0"/>
                <w:bCs w:val="0"/>
                <w:color w:val="000000"/>
                <w:kern w:val="0"/>
                <w:sz w:val="24"/>
                <w:szCs w:val="24"/>
                <w:lang w:bidi="ar"/>
              </w:rPr>
              <w:t>的相关资料（培训课件，照片，考试试卷，网上考试资料）（0.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ind w:firstLine="376"/>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0" w:hRule="atLeast"/>
        </w:trPr>
        <w:tc>
          <w:tcPr>
            <w:tcW w:w="1371" w:type="dxa"/>
            <w:vMerge w:val="continue"/>
            <w:shd w:val="clear" w:color="auto" w:fill="FFFFFF"/>
            <w:noWrap w:val="0"/>
            <w:vAlign w:val="center"/>
          </w:tcPr>
          <w:p>
            <w:pPr>
              <w:ind w:firstLine="376"/>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ind w:firstLine="376"/>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ind w:firstLine="376"/>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3.</w:t>
            </w:r>
            <w:r>
              <w:rPr>
                <w:rFonts w:hint="eastAsia" w:ascii="仿宋_GB2312" w:hAnsi="仿宋_GB2312" w:eastAsia="仿宋_GB2312" w:cs="仿宋_GB2312"/>
                <w:b w:val="0"/>
                <w:bCs w:val="0"/>
                <w:color w:val="000000"/>
                <w:kern w:val="0"/>
                <w:sz w:val="24"/>
                <w:szCs w:val="24"/>
                <w:lang w:val="en-US" w:eastAsia="zh-CN" w:bidi="ar"/>
              </w:rPr>
              <w:t>员工知晓</w:t>
            </w:r>
            <w:r>
              <w:rPr>
                <w:rFonts w:hint="eastAsia" w:ascii="仿宋_GB2312" w:hAnsi="仿宋_GB2312" w:eastAsia="仿宋_GB2312" w:cs="仿宋_GB2312"/>
                <w:b w:val="0"/>
                <w:bCs w:val="0"/>
                <w:color w:val="000000"/>
                <w:kern w:val="0"/>
                <w:sz w:val="24"/>
                <w:szCs w:val="24"/>
                <w:lang w:bidi="ar"/>
              </w:rPr>
              <w:t>职业安全防护教育</w:t>
            </w:r>
            <w:r>
              <w:rPr>
                <w:rFonts w:hint="eastAsia" w:ascii="仿宋_GB2312" w:hAnsi="仿宋_GB2312" w:eastAsia="仿宋_GB2312" w:cs="仿宋_GB2312"/>
                <w:b w:val="0"/>
                <w:bCs w:val="0"/>
                <w:color w:val="000000"/>
                <w:kern w:val="0"/>
                <w:sz w:val="24"/>
                <w:szCs w:val="24"/>
                <w:lang w:val="en-US" w:eastAsia="zh-CN" w:bidi="ar"/>
              </w:rPr>
              <w:t>相关知识</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ind w:firstLine="376"/>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3"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3.2.153</w:t>
            </w:r>
            <w:r>
              <w:rPr>
                <w:rFonts w:hint="eastAsia" w:ascii="仿宋_GB2312" w:hAnsi="仿宋_GB2312" w:eastAsia="仿宋_GB2312" w:cs="仿宋_GB2312"/>
                <w:b w:val="0"/>
                <w:bCs w:val="0"/>
                <w:color w:val="000000"/>
                <w:kern w:val="0"/>
                <w:sz w:val="24"/>
                <w:szCs w:val="24"/>
              </w:rPr>
              <w:t>.3</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医院设置或指定职业卫生管理机构或组织，配备专职或兼职人员，负责本单位的职业病防治工作。</w:t>
            </w:r>
          </w:p>
        </w:tc>
        <w:tc>
          <w:tcPr>
            <w:tcW w:w="1486" w:type="dxa"/>
            <w:vMerge w:val="restart"/>
            <w:shd w:val="clear" w:color="auto" w:fill="FFFFFF"/>
            <w:noWrap w:val="0"/>
            <w:vAlign w:val="center"/>
          </w:tcPr>
          <w:p>
            <w:pPr>
              <w:spacing w:line="26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26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7094"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医院设置有部门或指定职业卫生管理机构</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组织负责本单位的职业病防治工作</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并配备有专职或兼职人员（0.</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分）；</w:t>
            </w:r>
          </w:p>
        </w:tc>
        <w:tc>
          <w:tcPr>
            <w:tcW w:w="1020" w:type="dxa"/>
            <w:vMerge w:val="restart"/>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3" w:hRule="atLeast"/>
        </w:trPr>
        <w:tc>
          <w:tcPr>
            <w:tcW w:w="1371" w:type="dxa"/>
            <w:vMerge w:val="continue"/>
            <w:shd w:val="clear" w:color="auto" w:fill="FFFFFF"/>
            <w:noWrap w:val="0"/>
            <w:vAlign w:val="center"/>
          </w:tcPr>
          <w:p>
            <w:pPr>
              <w:widowControl/>
              <w:ind w:left="420" w:leftChars="200"/>
              <w:jc w:val="left"/>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ind w:left="420" w:leftChars="200"/>
              <w:jc w:val="left"/>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ind w:left="420" w:leftChars="200"/>
              <w:jc w:val="left"/>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有本单位职业病防治工作计划并实施</w:t>
            </w:r>
            <w:r>
              <w:rPr>
                <w:rFonts w:hint="eastAsia" w:ascii="仿宋_GB2312" w:hAnsi="仿宋_GB2312" w:eastAsia="仿宋_GB2312" w:cs="仿宋_GB2312"/>
                <w:b w:val="0"/>
                <w:bCs w:val="0"/>
                <w:color w:val="000000"/>
                <w:kern w:val="0"/>
                <w:sz w:val="24"/>
                <w:szCs w:val="24"/>
                <w:lang w:bidi="ar"/>
              </w:rPr>
              <w:t>（0.2分）；</w:t>
            </w:r>
          </w:p>
        </w:tc>
        <w:tc>
          <w:tcPr>
            <w:tcW w:w="1020" w:type="dxa"/>
            <w:vMerge w:val="continue"/>
            <w:shd w:val="clear" w:color="auto" w:fill="FFFFFF"/>
            <w:noWrap w:val="0"/>
            <w:vAlign w:val="center"/>
          </w:tcPr>
          <w:p>
            <w:pPr>
              <w:widowControl/>
              <w:ind w:left="420" w:leftChars="200"/>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3" w:hRule="atLeast"/>
        </w:trPr>
        <w:tc>
          <w:tcPr>
            <w:tcW w:w="1371" w:type="dxa"/>
            <w:vMerge w:val="continue"/>
            <w:shd w:val="clear" w:color="auto" w:fill="FFFFFF"/>
            <w:noWrap w:val="0"/>
            <w:vAlign w:val="center"/>
          </w:tcPr>
          <w:p>
            <w:pPr>
              <w:widowControl/>
              <w:ind w:left="420" w:leftChars="200"/>
              <w:jc w:val="left"/>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ind w:left="420" w:leftChars="200"/>
              <w:jc w:val="left"/>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ind w:left="420" w:leftChars="200"/>
              <w:jc w:val="left"/>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3.有</w:t>
            </w:r>
            <w:r>
              <w:rPr>
                <w:rFonts w:hint="eastAsia" w:ascii="仿宋_GB2312" w:hAnsi="仿宋_GB2312" w:eastAsia="仿宋_GB2312" w:cs="仿宋_GB2312"/>
                <w:b w:val="0"/>
                <w:bCs w:val="0"/>
                <w:color w:val="000000"/>
                <w:kern w:val="0"/>
                <w:sz w:val="24"/>
                <w:szCs w:val="24"/>
                <w:lang w:val="en-US" w:eastAsia="zh-CN" w:bidi="ar"/>
              </w:rPr>
              <w:t>定期（每年至少1次）检查、分析和整改资料</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20" w:type="dxa"/>
            <w:vMerge w:val="continue"/>
            <w:shd w:val="clear" w:color="auto" w:fill="FFFFFF"/>
            <w:noWrap w:val="0"/>
            <w:vAlign w:val="center"/>
          </w:tcPr>
          <w:p>
            <w:pPr>
              <w:widowControl/>
              <w:ind w:left="420" w:leftChars="200"/>
              <w:jc w:val="left"/>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8" w:hRule="atLeast"/>
        </w:trPr>
        <w:tc>
          <w:tcPr>
            <w:tcW w:w="14610" w:type="dxa"/>
            <w:gridSpan w:val="5"/>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一百五十四</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关注员工身体和心理健康，保障员工合法健康权益</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1.8分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3.2.154.</w:t>
            </w:r>
            <w:r>
              <w:rPr>
                <w:rFonts w:hint="eastAsia" w:ascii="仿宋_GB2312" w:hAnsi="仿宋_GB2312" w:eastAsia="仿宋_GB2312" w:cs="仿宋_GB2312"/>
                <w:b w:val="0"/>
                <w:bCs w:val="0"/>
                <w:color w:val="000000"/>
                <w:kern w:val="0"/>
                <w:sz w:val="24"/>
                <w:szCs w:val="24"/>
              </w:rPr>
              <w:t>1</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关注员工身体和心理健康。</w:t>
            </w:r>
          </w:p>
        </w:tc>
        <w:tc>
          <w:tcPr>
            <w:tcW w:w="1486" w:type="dxa"/>
            <w:vMerge w:val="restart"/>
            <w:shd w:val="clear" w:color="auto" w:fill="FFFFFF"/>
            <w:noWrap w:val="0"/>
            <w:vAlign w:val="center"/>
          </w:tcPr>
          <w:p>
            <w:pPr>
              <w:spacing w:line="26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7094" w:type="dxa"/>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1.有保障员工身体和心理健康的制度（0.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20" w:type="dxa"/>
            <w:vMerge w:val="restart"/>
            <w:shd w:val="clear" w:color="auto" w:fill="FFFFFF"/>
            <w:noWrap w:val="0"/>
            <w:vAlign w:val="center"/>
          </w:tcPr>
          <w:p>
            <w:pPr>
              <w:widowControl/>
              <w:jc w:val="center"/>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71" w:type="dxa"/>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639" w:type="dxa"/>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2.定期为职工提供健康体检服务</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kern w:val="0"/>
                <w:sz w:val="24"/>
                <w:szCs w:val="24"/>
                <w:lang w:bidi="ar"/>
              </w:rPr>
              <w:t>建立有员工个人健康档案（0.2分）</w:t>
            </w:r>
            <w:r>
              <w:rPr>
                <w:rFonts w:hint="eastAsia" w:ascii="仿宋_GB2312" w:hAnsi="仿宋_GB2312" w:eastAsia="仿宋_GB2312" w:cs="仿宋_GB2312"/>
                <w:b w:val="0"/>
                <w:bCs w:val="0"/>
                <w:color w:val="000000"/>
                <w:sz w:val="24"/>
                <w:szCs w:val="24"/>
              </w:rPr>
              <w:t>；</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71" w:type="dxa"/>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639" w:type="dxa"/>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w:t>
            </w:r>
            <w:r>
              <w:rPr>
                <w:rFonts w:hint="eastAsia" w:ascii="仿宋_GB2312" w:hAnsi="仿宋_GB2312" w:eastAsia="仿宋_GB2312" w:cs="仿宋_GB2312"/>
                <w:b w:val="0"/>
                <w:bCs w:val="0"/>
                <w:color w:val="000000"/>
                <w:kern w:val="0"/>
                <w:sz w:val="24"/>
                <w:szCs w:val="24"/>
                <w:lang w:val="en-US" w:eastAsia="zh-CN" w:bidi="ar"/>
              </w:rPr>
              <w:t>按规定周期</w:t>
            </w:r>
            <w:r>
              <w:rPr>
                <w:rFonts w:hint="eastAsia" w:ascii="仿宋_GB2312" w:hAnsi="仿宋_GB2312" w:eastAsia="仿宋_GB2312" w:cs="仿宋_GB2312"/>
                <w:b w:val="0"/>
                <w:bCs w:val="0"/>
                <w:color w:val="000000"/>
                <w:sz w:val="24"/>
                <w:szCs w:val="24"/>
              </w:rPr>
              <w:t>对从事职业危害作业的员工</w:t>
            </w:r>
            <w:r>
              <w:rPr>
                <w:rFonts w:hint="eastAsia" w:ascii="仿宋_GB2312" w:hAnsi="仿宋_GB2312" w:eastAsia="仿宋_GB2312" w:cs="仿宋_GB2312"/>
                <w:b w:val="0"/>
                <w:bCs w:val="0"/>
                <w:strike w:val="0"/>
                <w:dstrike w:val="0"/>
                <w:color w:val="000000"/>
                <w:sz w:val="24"/>
                <w:szCs w:val="24"/>
              </w:rPr>
              <w:t>进</w:t>
            </w:r>
            <w:r>
              <w:rPr>
                <w:rFonts w:hint="eastAsia" w:ascii="仿宋_GB2312" w:hAnsi="仿宋_GB2312" w:eastAsia="仿宋_GB2312" w:cs="仿宋_GB2312"/>
                <w:b w:val="0"/>
                <w:bCs w:val="0"/>
                <w:color w:val="000000"/>
                <w:sz w:val="24"/>
                <w:szCs w:val="24"/>
              </w:rPr>
              <w:t>行职业健康检查（0.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71" w:type="dxa"/>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639" w:type="dxa"/>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4.开展健康向上的文体活动（0.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71" w:type="dxa"/>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639" w:type="dxa"/>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5.</w:t>
            </w:r>
            <w:r>
              <w:rPr>
                <w:rFonts w:hint="eastAsia" w:ascii="仿宋_GB2312" w:hAnsi="仿宋_GB2312" w:eastAsia="仿宋_GB2312" w:cs="仿宋_GB2312"/>
                <w:b w:val="0"/>
                <w:bCs w:val="0"/>
                <w:color w:val="000000"/>
                <w:kern w:val="0"/>
                <w:sz w:val="24"/>
                <w:szCs w:val="24"/>
                <w:lang w:val="en-US" w:eastAsia="zh-CN" w:bidi="ar"/>
              </w:rPr>
              <w:t>定期对全院职工的身心健康进行总体评估，并制定有相应措施</w:t>
            </w:r>
            <w:r>
              <w:rPr>
                <w:rFonts w:hint="eastAsia" w:ascii="仿宋_GB2312" w:hAnsi="仿宋_GB2312" w:eastAsia="仿宋_GB2312" w:cs="仿宋_GB2312"/>
                <w:b w:val="0"/>
                <w:bCs w:val="0"/>
                <w:color w:val="000000"/>
                <w:kern w:val="0"/>
                <w:sz w:val="24"/>
                <w:szCs w:val="24"/>
                <w:lang w:bidi="ar"/>
              </w:rPr>
              <w:t>（0.2分）。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3.2.154.</w:t>
            </w:r>
            <w:r>
              <w:rPr>
                <w:rFonts w:hint="eastAsia" w:ascii="仿宋_GB2312" w:hAnsi="仿宋_GB2312" w:eastAsia="仿宋_GB2312" w:cs="仿宋_GB2312"/>
                <w:b w:val="0"/>
                <w:bCs w:val="0"/>
                <w:color w:val="000000"/>
                <w:kern w:val="0"/>
                <w:sz w:val="24"/>
                <w:szCs w:val="24"/>
              </w:rPr>
              <w:t>2</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保障员工合法健康权益。</w:t>
            </w:r>
          </w:p>
        </w:tc>
        <w:tc>
          <w:tcPr>
            <w:tcW w:w="1486" w:type="dxa"/>
            <w:vMerge w:val="restart"/>
            <w:shd w:val="clear" w:color="auto" w:fill="FFFFFF"/>
            <w:noWrap w:val="0"/>
            <w:vAlign w:val="center"/>
          </w:tcPr>
          <w:p>
            <w:pPr>
              <w:spacing w:line="26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260" w:lineRule="exact"/>
              <w:ind w:left="105" w:leftChars="50" w:right="105" w:rightChars="50"/>
              <w:jc w:val="center"/>
              <w:rPr>
                <w:rFonts w:hint="eastAsia" w:ascii="仿宋_GB2312" w:hAnsi="仿宋_GB2312" w:eastAsia="仿宋_GB2312" w:cs="仿宋_GB2312"/>
                <w:b w:val="0"/>
                <w:bCs w:val="0"/>
                <w:strike/>
                <w:dstrike w:val="0"/>
                <w:color w:val="000000"/>
                <w:sz w:val="24"/>
                <w:szCs w:val="24"/>
              </w:rPr>
            </w:pPr>
            <w:r>
              <w:rPr>
                <w:rFonts w:hint="eastAsia" w:ascii="仿宋_GB2312" w:hAnsi="仿宋_GB2312" w:eastAsia="仿宋_GB2312" w:cs="仿宋_GB2312"/>
                <w:b w:val="0"/>
                <w:bCs w:val="0"/>
                <w:color w:val="00000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7094" w:type="dxa"/>
            <w:shd w:val="clear" w:color="auto" w:fill="FFFFFF"/>
            <w:noWrap w:val="0"/>
            <w:vAlign w:val="center"/>
          </w:tcPr>
          <w:p>
            <w:pP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1.医院制定有职工休息休假相关规定并落实</w:t>
            </w:r>
            <w:r>
              <w:rPr>
                <w:rFonts w:hint="eastAsia"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20" w:type="dxa"/>
            <w:vMerge w:val="restart"/>
            <w:shd w:val="clear" w:color="auto" w:fill="FFFFFF"/>
            <w:noWrap w:val="0"/>
            <w:vAlign w:val="center"/>
          </w:tcPr>
          <w:p>
            <w:pPr>
              <w:widowControl/>
              <w:numPr>
                <w:ilvl w:val="0"/>
                <w:numId w:val="0"/>
              </w:numPr>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4"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widowControl/>
              <w:numPr>
                <w:ilvl w:val="0"/>
                <w:numId w:val="0"/>
              </w:num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有保障从事职业危害作业的员工按照国家有关规定进行休假疗养的制度并落实（0.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c>
          <w:tcPr>
            <w:tcW w:w="7094" w:type="dxa"/>
            <w:shd w:val="clear" w:color="auto" w:fill="FFFFFF"/>
            <w:noWrap w:val="0"/>
            <w:vAlign w:val="center"/>
          </w:tcPr>
          <w:p>
            <w:pPr>
              <w:widowControl/>
              <w:numPr>
                <w:ilvl w:val="0"/>
                <w:numId w:val="0"/>
              </w:num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按规定为职工购买社会保险，包含但不限于工伤保险、养老保险、失业保险及医疗保险等（0.2分）；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c>
          <w:tcPr>
            <w:tcW w:w="7094" w:type="dxa"/>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4.</w:t>
            </w:r>
            <w:r>
              <w:rPr>
                <w:rFonts w:hint="eastAsia" w:ascii="仿宋_GB2312" w:hAnsi="仿宋_GB2312" w:eastAsia="仿宋_GB2312" w:cs="仿宋_GB2312"/>
                <w:b w:val="0"/>
                <w:bCs w:val="0"/>
                <w:color w:val="000000"/>
                <w:sz w:val="24"/>
                <w:szCs w:val="24"/>
              </w:rPr>
              <w:t>访谈员工，</w:t>
            </w:r>
            <w:r>
              <w:rPr>
                <w:rFonts w:hint="eastAsia" w:ascii="仿宋_GB2312" w:hAnsi="仿宋_GB2312" w:eastAsia="仿宋_GB2312" w:cs="仿宋_GB2312"/>
                <w:b w:val="0"/>
                <w:bCs w:val="0"/>
                <w:color w:val="000000"/>
                <w:kern w:val="0"/>
                <w:sz w:val="24"/>
                <w:szCs w:val="24"/>
                <w:lang w:val="en-US" w:eastAsia="zh-CN" w:bidi="ar"/>
              </w:rPr>
              <w:t>是否享有以上合法健康权益</w:t>
            </w:r>
            <w:r>
              <w:rPr>
                <w:rFonts w:hint="eastAsia"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610" w:type="dxa"/>
            <w:gridSpan w:val="5"/>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一百五十五</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医院应当将科室医疗质量管理情况作为科室负责人综合目标考核以及聘任、晋升、评先评优的重要指标，将科室和医务人员医疗质量管理情况作为医师定期考核、晋升的重要依据</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1分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3.2.155.</w:t>
            </w:r>
            <w:r>
              <w:rPr>
                <w:rFonts w:hint="eastAsia" w:ascii="仿宋_GB2312" w:hAnsi="仿宋_GB2312" w:eastAsia="仿宋_GB2312" w:cs="仿宋_GB2312"/>
                <w:b w:val="0"/>
                <w:bCs w:val="0"/>
                <w:color w:val="000000"/>
                <w:kern w:val="0"/>
                <w:sz w:val="24"/>
                <w:szCs w:val="24"/>
              </w:rPr>
              <w:t>1</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将科室医疗质量管理情况作为科室负责人综合目标考核以及聘任、晋升、评先评优的重要指标。</w:t>
            </w:r>
          </w:p>
        </w:tc>
        <w:tc>
          <w:tcPr>
            <w:tcW w:w="1486" w:type="dxa"/>
            <w:vMerge w:val="restart"/>
            <w:shd w:val="clear" w:color="auto" w:fill="FFFFFF"/>
            <w:noWrap w:val="0"/>
            <w:vAlign w:val="center"/>
          </w:tcPr>
          <w:p>
            <w:pPr>
              <w:spacing w:line="26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26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记录查看现场检查</w:t>
            </w: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shd w:val="clear" w:color="auto" w:fill="FFFFFF"/>
                <w:lang w:bidi="ar"/>
              </w:rPr>
              <w:t>1.建立</w:t>
            </w:r>
            <w:r>
              <w:rPr>
                <w:rFonts w:hint="eastAsia" w:ascii="仿宋_GB2312" w:hAnsi="仿宋_GB2312" w:eastAsia="仿宋_GB2312" w:cs="仿宋_GB2312"/>
                <w:b w:val="0"/>
                <w:bCs w:val="0"/>
                <w:color w:val="000000"/>
                <w:kern w:val="0"/>
                <w:sz w:val="24"/>
                <w:szCs w:val="24"/>
                <w:shd w:val="clear" w:color="auto" w:fill="FFFFFF"/>
                <w:lang w:val="en-US" w:eastAsia="zh-CN" w:bidi="ar"/>
              </w:rPr>
              <w:t>临床、医技</w:t>
            </w:r>
            <w:r>
              <w:rPr>
                <w:rFonts w:hint="eastAsia" w:ascii="仿宋_GB2312" w:hAnsi="仿宋_GB2312" w:eastAsia="仿宋_GB2312" w:cs="仿宋_GB2312"/>
                <w:b w:val="0"/>
                <w:bCs w:val="0"/>
                <w:color w:val="000000"/>
                <w:kern w:val="0"/>
                <w:sz w:val="24"/>
                <w:szCs w:val="24"/>
                <w:shd w:val="clear" w:color="auto" w:fill="FFFFFF"/>
                <w:lang w:bidi="ar"/>
              </w:rPr>
              <w:t>科室负责人</w:t>
            </w:r>
            <w:r>
              <w:rPr>
                <w:rFonts w:hint="eastAsia" w:ascii="仿宋_GB2312" w:hAnsi="仿宋_GB2312" w:eastAsia="仿宋_GB2312" w:cs="仿宋_GB2312"/>
                <w:b w:val="0"/>
                <w:bCs w:val="0"/>
                <w:color w:val="000000"/>
                <w:kern w:val="0"/>
                <w:sz w:val="24"/>
                <w:szCs w:val="24"/>
                <w:shd w:val="clear" w:color="auto" w:fill="FFFFFF"/>
                <w:lang w:val="en-US" w:eastAsia="zh-CN" w:bidi="ar"/>
              </w:rPr>
              <w:t>年度考核制度</w:t>
            </w:r>
            <w:r>
              <w:rPr>
                <w:rFonts w:hint="eastAsia" w:ascii="仿宋_GB2312" w:hAnsi="仿宋_GB2312" w:eastAsia="仿宋_GB2312" w:cs="仿宋_GB2312"/>
                <w:b w:val="0"/>
                <w:bCs w:val="0"/>
                <w:color w:val="000000"/>
                <w:kern w:val="0"/>
                <w:sz w:val="24"/>
                <w:szCs w:val="24"/>
                <w:shd w:val="clear" w:color="auto" w:fill="FFFFFF"/>
                <w:lang w:bidi="ar"/>
              </w:rPr>
              <w:t>，将科室医疗质量管理情况作为科室负责人综合目标考核以及聘任、晋升、评先评优的重要指标（0.</w:t>
            </w:r>
            <w:r>
              <w:rPr>
                <w:rFonts w:hint="eastAsia" w:ascii="仿宋_GB2312" w:hAnsi="仿宋_GB2312" w:eastAsia="仿宋_GB2312" w:cs="仿宋_GB2312"/>
                <w:b w:val="0"/>
                <w:bCs w:val="0"/>
                <w:color w:val="000000"/>
                <w:kern w:val="0"/>
                <w:sz w:val="24"/>
                <w:szCs w:val="24"/>
                <w:shd w:val="clear" w:color="auto" w:fill="FFFFFF"/>
                <w:lang w:val="en-US" w:eastAsia="zh-CN" w:bidi="ar"/>
              </w:rPr>
              <w:t>2</w:t>
            </w:r>
            <w:r>
              <w:rPr>
                <w:rFonts w:hint="eastAsia" w:ascii="仿宋_GB2312" w:hAnsi="仿宋_GB2312" w:eastAsia="仿宋_GB2312" w:cs="仿宋_GB2312"/>
                <w:b w:val="0"/>
                <w:bCs w:val="0"/>
                <w:color w:val="000000"/>
                <w:kern w:val="0"/>
                <w:sz w:val="24"/>
                <w:szCs w:val="24"/>
                <w:shd w:val="clear" w:color="auto" w:fill="FFFFFF"/>
                <w:lang w:bidi="ar"/>
              </w:rPr>
              <w:t>分）；</w:t>
            </w:r>
          </w:p>
        </w:tc>
        <w:tc>
          <w:tcPr>
            <w:tcW w:w="1020" w:type="dxa"/>
            <w:vMerge w:val="restart"/>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0.6</w:t>
            </w:r>
          </w:p>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.查看科室负责人综合目标考核资料，有体现对科室质量管理的数据资料（0.2分）；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71"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639"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486"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3.</w:t>
            </w:r>
            <w:r>
              <w:rPr>
                <w:rFonts w:hint="eastAsia" w:ascii="仿宋_GB2312" w:hAnsi="仿宋_GB2312" w:eastAsia="仿宋_GB2312" w:cs="仿宋_GB2312"/>
                <w:b w:val="0"/>
                <w:bCs w:val="0"/>
                <w:color w:val="000000"/>
                <w:kern w:val="0"/>
                <w:sz w:val="24"/>
                <w:szCs w:val="24"/>
                <w:lang w:val="en-US" w:eastAsia="zh-CN" w:bidi="ar"/>
              </w:rPr>
              <w:t>对</w:t>
            </w:r>
            <w:r>
              <w:rPr>
                <w:rFonts w:hint="eastAsia" w:ascii="仿宋_GB2312" w:hAnsi="仿宋_GB2312" w:eastAsia="仿宋_GB2312" w:cs="仿宋_GB2312"/>
                <w:b w:val="0"/>
                <w:bCs w:val="0"/>
                <w:color w:val="000000"/>
                <w:kern w:val="0"/>
                <w:sz w:val="24"/>
                <w:szCs w:val="24"/>
                <w:lang w:bidi="ar"/>
              </w:rPr>
              <w:t>科室负责人</w:t>
            </w:r>
            <w:r>
              <w:rPr>
                <w:rFonts w:hint="eastAsia" w:ascii="仿宋_GB2312" w:hAnsi="仿宋_GB2312" w:eastAsia="仿宋_GB2312" w:cs="仿宋_GB2312"/>
                <w:b w:val="0"/>
                <w:bCs w:val="0"/>
                <w:color w:val="000000"/>
                <w:kern w:val="0"/>
                <w:sz w:val="24"/>
                <w:szCs w:val="24"/>
                <w:lang w:val="en-US" w:eastAsia="zh-CN" w:bidi="ar"/>
              </w:rPr>
              <w:t>落实年度考核制度进行总结、分析、评价</w:t>
            </w:r>
            <w:r>
              <w:rPr>
                <w:rFonts w:hint="eastAsia" w:ascii="仿宋_GB2312" w:hAnsi="仿宋_GB2312" w:eastAsia="仿宋_GB2312" w:cs="仿宋_GB2312"/>
                <w:b w:val="0"/>
                <w:bCs w:val="0"/>
                <w:color w:val="000000"/>
                <w:kern w:val="0"/>
                <w:sz w:val="24"/>
                <w:szCs w:val="24"/>
                <w:lang w:bidi="ar"/>
              </w:rPr>
              <w:t>（0.2分）。</w:t>
            </w:r>
          </w:p>
        </w:tc>
        <w:tc>
          <w:tcPr>
            <w:tcW w:w="1020"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71"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3.2.155.</w:t>
            </w:r>
            <w:r>
              <w:rPr>
                <w:rFonts w:hint="eastAsia" w:ascii="仿宋_GB2312" w:hAnsi="仿宋_GB2312" w:eastAsia="仿宋_GB2312" w:cs="仿宋_GB2312"/>
                <w:b w:val="0"/>
                <w:bCs w:val="0"/>
                <w:color w:val="000000"/>
                <w:kern w:val="0"/>
                <w:sz w:val="24"/>
                <w:szCs w:val="24"/>
              </w:rPr>
              <w:t>2</w:t>
            </w:r>
          </w:p>
        </w:tc>
        <w:tc>
          <w:tcPr>
            <w:tcW w:w="3639"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将科室和医务人员医疗质量管理情况作为医师定期考核、晋升的重要依据。</w:t>
            </w:r>
          </w:p>
        </w:tc>
        <w:tc>
          <w:tcPr>
            <w:tcW w:w="1486"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1.</w:t>
            </w:r>
            <w:r>
              <w:rPr>
                <w:rFonts w:hint="eastAsia" w:ascii="仿宋_GB2312" w:hAnsi="仿宋_GB2312" w:eastAsia="仿宋_GB2312" w:cs="仿宋_GB2312"/>
                <w:b w:val="0"/>
                <w:bCs w:val="0"/>
                <w:color w:val="000000"/>
                <w:kern w:val="0"/>
                <w:sz w:val="24"/>
                <w:szCs w:val="24"/>
                <w:lang w:val="en-US" w:eastAsia="zh-CN" w:bidi="ar"/>
              </w:rPr>
              <w:t>落实事业单位工作人员年度考核制度，并</w:t>
            </w:r>
            <w:r>
              <w:rPr>
                <w:rFonts w:hint="eastAsia" w:ascii="仿宋_GB2312" w:hAnsi="仿宋_GB2312" w:eastAsia="仿宋_GB2312" w:cs="仿宋_GB2312"/>
                <w:b w:val="0"/>
                <w:bCs w:val="0"/>
                <w:color w:val="000000"/>
                <w:kern w:val="0"/>
                <w:sz w:val="24"/>
                <w:szCs w:val="24"/>
                <w:lang w:bidi="ar"/>
              </w:rPr>
              <w:t>将医疗质量管理情况作为医师定期考核、晋升的重要依据（0.2分）；</w:t>
            </w:r>
          </w:p>
        </w:tc>
        <w:tc>
          <w:tcPr>
            <w:tcW w:w="1020" w:type="dxa"/>
            <w:vMerge w:val="restart"/>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0.4</w:t>
            </w:r>
          </w:p>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71" w:type="dxa"/>
            <w:vMerge w:val="continue"/>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sz w:val="24"/>
                <w:szCs w:val="24"/>
              </w:rPr>
            </w:pPr>
          </w:p>
        </w:tc>
        <w:tc>
          <w:tcPr>
            <w:tcW w:w="3639" w:type="dxa"/>
            <w:vMerge w:val="continue"/>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sz w:val="24"/>
                <w:szCs w:val="24"/>
              </w:rPr>
            </w:pPr>
          </w:p>
        </w:tc>
        <w:tc>
          <w:tcPr>
            <w:tcW w:w="1486" w:type="dxa"/>
            <w:vMerge w:val="continue"/>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sz w:val="24"/>
                <w:szCs w:val="24"/>
              </w:rPr>
            </w:pPr>
          </w:p>
        </w:tc>
        <w:tc>
          <w:tcPr>
            <w:tcW w:w="7094"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查看</w:t>
            </w:r>
            <w:r>
              <w:rPr>
                <w:rFonts w:hint="eastAsia" w:ascii="仿宋_GB2312" w:hAnsi="仿宋_GB2312" w:eastAsia="仿宋_GB2312" w:cs="仿宋_GB2312"/>
                <w:b w:val="0"/>
                <w:bCs w:val="0"/>
                <w:color w:val="000000"/>
                <w:kern w:val="0"/>
                <w:sz w:val="24"/>
                <w:szCs w:val="24"/>
                <w:lang w:bidi="ar"/>
              </w:rPr>
              <w:t>资料，有将医疗质量管理情况</w:t>
            </w:r>
            <w:r>
              <w:rPr>
                <w:rFonts w:hint="eastAsia" w:ascii="仿宋_GB2312" w:hAnsi="仿宋_GB2312" w:eastAsia="仿宋_GB2312" w:cs="仿宋_GB2312"/>
                <w:b w:val="0"/>
                <w:bCs w:val="0"/>
                <w:color w:val="000000"/>
                <w:kern w:val="0"/>
                <w:sz w:val="24"/>
                <w:szCs w:val="24"/>
                <w:lang w:eastAsia="zh-CN" w:bidi="ar"/>
              </w:rPr>
              <w:t>纳入</w:t>
            </w:r>
            <w:r>
              <w:rPr>
                <w:rFonts w:hint="eastAsia" w:ascii="仿宋_GB2312" w:hAnsi="仿宋_GB2312" w:eastAsia="仿宋_GB2312" w:cs="仿宋_GB2312"/>
                <w:b w:val="0"/>
                <w:bCs w:val="0"/>
                <w:color w:val="000000"/>
                <w:kern w:val="0"/>
                <w:sz w:val="24"/>
                <w:szCs w:val="24"/>
                <w:lang w:val="en-US" w:eastAsia="zh-CN" w:bidi="ar"/>
              </w:rPr>
              <w:t>为</w:t>
            </w:r>
            <w:r>
              <w:rPr>
                <w:rFonts w:hint="eastAsia" w:ascii="仿宋_GB2312" w:hAnsi="仿宋_GB2312" w:eastAsia="仿宋_GB2312" w:cs="仿宋_GB2312"/>
                <w:b w:val="0"/>
                <w:bCs w:val="0"/>
                <w:color w:val="000000"/>
                <w:kern w:val="0"/>
                <w:sz w:val="24"/>
                <w:szCs w:val="24"/>
                <w:lang w:bidi="ar"/>
              </w:rPr>
              <w:t>医师定期考核、职称晋升</w:t>
            </w:r>
            <w:r>
              <w:rPr>
                <w:rFonts w:hint="eastAsia" w:ascii="仿宋_GB2312" w:hAnsi="仿宋_GB2312" w:eastAsia="仿宋_GB2312" w:cs="仿宋_GB2312"/>
                <w:b w:val="0"/>
                <w:bCs w:val="0"/>
                <w:color w:val="000000"/>
                <w:kern w:val="0"/>
                <w:sz w:val="24"/>
                <w:szCs w:val="24"/>
                <w:lang w:val="en-US" w:eastAsia="zh-CN" w:bidi="ar"/>
              </w:rPr>
              <w:t>考核内容</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20" w:type="dxa"/>
            <w:vMerge w:val="continue"/>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p>
        </w:tc>
      </w:tr>
    </w:tbl>
    <w:p>
      <w:pPr>
        <w:pStyle w:val="2"/>
        <w:jc w:val="both"/>
        <w:rPr>
          <w:rFonts w:hint="eastAsia"/>
          <w:color w:val="000000"/>
          <w:sz w:val="28"/>
          <w:szCs w:val="28"/>
        </w:rPr>
      </w:pPr>
      <w:bookmarkStart w:id="201" w:name="_Toc17249"/>
    </w:p>
    <w:p>
      <w:pPr>
        <w:pStyle w:val="5"/>
        <w:bidi w:val="0"/>
        <w:rPr>
          <w:rFonts w:hint="eastAsia"/>
          <w:color w:val="000000"/>
        </w:rPr>
      </w:pPr>
      <w:bookmarkStart w:id="202" w:name="_Toc3756"/>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rPr>
          <w:rFonts w:hint="eastAsia"/>
          <w:color w:val="000000"/>
        </w:rPr>
      </w:pPr>
    </w:p>
    <w:p>
      <w:pPr>
        <w:pStyle w:val="5"/>
        <w:bidi w:val="0"/>
        <w:rPr>
          <w:rFonts w:hint="eastAsia"/>
          <w:color w:val="000000"/>
        </w:rPr>
      </w:pPr>
      <w:bookmarkStart w:id="203" w:name="_Toc30351"/>
      <w:bookmarkStart w:id="204" w:name="_Toc31164"/>
      <w:r>
        <w:rPr>
          <w:rFonts w:hint="eastAsia"/>
          <w:color w:val="000000"/>
        </w:rPr>
        <w:br w:type="page"/>
      </w:r>
      <w:r>
        <w:rPr>
          <w:rFonts w:hint="eastAsia"/>
          <w:color w:val="000000"/>
        </w:rPr>
        <w:t>三、财务和价格管理（</w:t>
      </w:r>
      <w:r>
        <w:rPr>
          <w:rFonts w:hint="eastAsia"/>
          <w:color w:val="000000"/>
          <w:lang w:val="en-US" w:eastAsia="zh-CN"/>
        </w:rPr>
        <w:t>13</w:t>
      </w:r>
      <w:r>
        <w:rPr>
          <w:rFonts w:hint="eastAsia"/>
          <w:color w:val="000000"/>
        </w:rPr>
        <w:t>分）</w:t>
      </w:r>
      <w:bookmarkEnd w:id="201"/>
      <w:bookmarkEnd w:id="202"/>
      <w:bookmarkEnd w:id="203"/>
      <w:bookmarkEnd w:id="20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426"/>
        <w:gridCol w:w="2456"/>
        <w:gridCol w:w="609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5106" w:type="dxa"/>
            <w:gridSpan w:val="2"/>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eastAsia="zh-CN"/>
              </w:rPr>
              <w:t>细则</w:t>
            </w:r>
          </w:p>
        </w:tc>
        <w:tc>
          <w:tcPr>
            <w:tcW w:w="2456"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6094"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1050"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706" w:type="dxa"/>
            <w:gridSpan w:val="5"/>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一百五十六</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执行《中华人民共和国会计法》《政府会计制度》《医院财务制度》等相关法律法规，财务机构设置合理、财务管理制度健全，人员配置合理，岗位职责明确，会计核算规范，三级公立医院实行总会计师制度</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2分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80" w:type="dxa"/>
            <w:vMerge w:val="restart"/>
            <w:noWrap w:val="0"/>
            <w:vAlign w:val="center"/>
          </w:tcPr>
          <w:p>
            <w:pPr>
              <w:widowControl/>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3.3.156.1</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执行《中华人民共和国会计法》《政府会计制度》《医院财务制度》等相关法律法规，财务机构设置合理、财务管理制度健全，会计核算规范。</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员工操作</w:t>
            </w:r>
          </w:p>
        </w:tc>
        <w:tc>
          <w:tcPr>
            <w:tcW w:w="6094" w:type="dxa"/>
            <w:noWrap w:val="0"/>
            <w:vAlign w:val="center"/>
          </w:tcPr>
          <w:p>
            <w:pPr>
              <w:widowControl/>
              <w:numPr>
                <w:ilvl w:val="0"/>
                <w:numId w:val="0"/>
              </w:numPr>
              <w:ind w:leftChars="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根据会计业务的需要设置会计机构（0.2分）；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jc w:val="both"/>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numPr>
                <w:ilvl w:val="0"/>
                <w:numId w:val="0"/>
              </w:numPr>
              <w:ind w:leftChars="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医院财务管理制度健全（0.2分），根据国家政策法规及时更新（0.2分）；</w:t>
            </w:r>
          </w:p>
        </w:tc>
        <w:tc>
          <w:tcPr>
            <w:tcW w:w="1050" w:type="dxa"/>
            <w:vMerge w:val="continue"/>
            <w:noWrap w:val="0"/>
            <w:vAlign w:val="center"/>
          </w:tcPr>
          <w:p>
            <w:pPr>
              <w:widowControl/>
              <w:ind w:firstLine="240" w:firstLineChars="100"/>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numPr>
                <w:ilvl w:val="0"/>
                <w:numId w:val="0"/>
              </w:numPr>
              <w:ind w:leftChars="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年度财务报告按规定由注册会计师审计（0.2分）；</w:t>
            </w:r>
          </w:p>
        </w:tc>
        <w:tc>
          <w:tcPr>
            <w:tcW w:w="1050" w:type="dxa"/>
            <w:vMerge w:val="continue"/>
            <w:noWrap w:val="0"/>
            <w:vAlign w:val="center"/>
          </w:tcPr>
          <w:p>
            <w:pPr>
              <w:widowControl/>
              <w:ind w:firstLine="240" w:firstLineChars="100"/>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numPr>
                <w:ilvl w:val="0"/>
                <w:numId w:val="0"/>
              </w:numPr>
              <w:ind w:leftChars="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4.</w:t>
            </w:r>
            <w:r>
              <w:rPr>
                <w:rFonts w:hint="eastAsia" w:ascii="仿宋_GB2312" w:hAnsi="仿宋_GB2312" w:eastAsia="仿宋_GB2312" w:cs="仿宋_GB2312"/>
                <w:b w:val="0"/>
                <w:bCs w:val="0"/>
                <w:color w:val="000000"/>
                <w:sz w:val="24"/>
                <w:szCs w:val="24"/>
              </w:rPr>
              <w:t>会计核算执行《政府会计制度》“双功能、双基础、双报告”模式（0.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ind w:firstLine="240" w:firstLineChars="100"/>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3.3.156.</w:t>
            </w:r>
            <w:r>
              <w:rPr>
                <w:rFonts w:hint="eastAsia" w:ascii="仿宋_GB2312" w:hAnsi="仿宋_GB2312" w:eastAsia="仿宋_GB2312" w:cs="仿宋_GB2312"/>
                <w:b w:val="0"/>
                <w:bCs w:val="0"/>
                <w:color w:val="000000"/>
                <w:kern w:val="0"/>
                <w:sz w:val="24"/>
                <w:szCs w:val="24"/>
              </w:rPr>
              <w:t>2</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人员配置合理，岗位职责明确。</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1.财务人员配置合理（0.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2.根据会计业务需要设置会计工作岗位,岗位职责明确,不相容岗位应相互分离、相互制约、相互牵制（0.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.财务部门负责人应当具备会计师以上专业技术职务资格或者从事会计工作三年以上经历（0.</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c>
          <w:tcPr>
            <w:tcW w:w="1050" w:type="dxa"/>
            <w:vMerge w:val="continue"/>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3.3.156.</w:t>
            </w:r>
            <w:r>
              <w:rPr>
                <w:rFonts w:hint="eastAsia" w:ascii="仿宋_GB2312" w:hAnsi="仿宋_GB2312" w:eastAsia="仿宋_GB2312" w:cs="仿宋_GB2312"/>
                <w:b w:val="0"/>
                <w:bCs w:val="0"/>
                <w:color w:val="000000"/>
                <w:kern w:val="0"/>
                <w:sz w:val="24"/>
                <w:szCs w:val="24"/>
              </w:rPr>
              <w:t>3</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三级公立医院实行总会计师制度。</w:t>
            </w:r>
          </w:p>
        </w:tc>
        <w:tc>
          <w:tcPr>
            <w:tcW w:w="2456" w:type="dxa"/>
            <w:vMerge w:val="restart"/>
            <w:noWrap w:val="0"/>
            <w:vAlign w:val="center"/>
          </w:tcPr>
          <w:p>
            <w:pPr>
              <w:spacing w:line="30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1.设置总会计师（0.</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分）；</w:t>
            </w:r>
          </w:p>
        </w:tc>
        <w:tc>
          <w:tcPr>
            <w:tcW w:w="1050" w:type="dxa"/>
            <w:vMerge w:val="restart"/>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0.4</w:t>
            </w:r>
          </w:p>
          <w:p>
            <w:pPr>
              <w:widowControl/>
              <w:ind w:firstLine="480" w:firstLineChars="200"/>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2.制订总会计师制度（0.</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分），明确总会计师的职责和权限（0.</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ind w:firstLine="480" w:firstLineChars="200"/>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3.总会计师熟悉职责权限（0.</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ind w:firstLine="480" w:firstLineChars="200"/>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706" w:type="dxa"/>
            <w:gridSpan w:val="5"/>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一百五十七</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按照《中华人民共和国预算法》和相关预算管理规定编制和执行预算，加强预算管理、监督和绩效考评</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2分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3.3.157.</w:t>
            </w:r>
            <w:r>
              <w:rPr>
                <w:rFonts w:hint="eastAsia" w:ascii="仿宋_GB2312" w:hAnsi="仿宋_GB2312" w:eastAsia="仿宋_GB2312" w:cs="仿宋_GB2312"/>
                <w:b w:val="0"/>
                <w:bCs w:val="0"/>
                <w:color w:val="000000"/>
                <w:kern w:val="0"/>
                <w:sz w:val="24"/>
                <w:szCs w:val="24"/>
              </w:rPr>
              <w:t>1</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按照《中华人民共和国预算法》和相关预算管理规定编制和执行预算，加强预算管理、监督和绩效考评。</w:t>
            </w:r>
          </w:p>
        </w:tc>
        <w:tc>
          <w:tcPr>
            <w:tcW w:w="2456" w:type="dxa"/>
            <w:vMerge w:val="restart"/>
            <w:noWrap w:val="0"/>
            <w:vAlign w:val="center"/>
          </w:tcPr>
          <w:p>
            <w:pPr>
              <w:spacing w:line="28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28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28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现场检查</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 xml:space="preserve">1.按照自治区财政厅的要求编制预算（0.2分）； </w:t>
            </w:r>
          </w:p>
        </w:tc>
        <w:tc>
          <w:tcPr>
            <w:tcW w:w="1050" w:type="dxa"/>
            <w:vMerge w:val="restart"/>
            <w:noWrap w:val="0"/>
            <w:vAlign w:val="center"/>
          </w:tcPr>
          <w:p>
            <w:pPr>
              <w:widowControl/>
              <w:jc w:val="center"/>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kern w:val="0"/>
                <w:sz w:val="24"/>
                <w:szCs w:val="24"/>
                <w:lang w:val="en-US" w:eastAsia="zh-CN" w:bidi="ar"/>
              </w:rPr>
              <w:t>每季度</w:t>
            </w:r>
            <w:r>
              <w:rPr>
                <w:rFonts w:hint="eastAsia" w:ascii="仿宋_GB2312" w:hAnsi="仿宋_GB2312" w:eastAsia="仿宋_GB2312" w:cs="仿宋_GB2312"/>
                <w:b w:val="0"/>
                <w:bCs w:val="0"/>
                <w:color w:val="000000"/>
                <w:sz w:val="24"/>
                <w:szCs w:val="24"/>
              </w:rPr>
              <w:t>进行预算执行分析并反馈（0.2分）；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3.按规定的程序进行预算调整（0.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4.将预算执行结果、成本控制目标实现情况和业务工作效率等一并作为内部业务综合考核的重要内容（0.1分）；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5.职能部门负责人应熟悉本部门预算情况（0.1分）。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3.3.157</w:t>
            </w:r>
            <w:r>
              <w:rPr>
                <w:rFonts w:hint="eastAsia" w:ascii="仿宋_GB2312" w:hAnsi="仿宋_GB2312" w:eastAsia="仿宋_GB2312" w:cs="仿宋_GB2312"/>
                <w:b w:val="0"/>
                <w:bCs w:val="0"/>
                <w:color w:val="000000"/>
                <w:kern w:val="0"/>
                <w:sz w:val="24"/>
                <w:szCs w:val="24"/>
              </w:rPr>
              <w:t>.2</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pacing w:val="-6"/>
                <w:sz w:val="24"/>
                <w:szCs w:val="24"/>
              </w:rPr>
              <w:t>建立健全预算管理制度，包括预算编制、审批、执行、调整、决算、分析和考核等</w:t>
            </w:r>
          </w:p>
        </w:tc>
        <w:tc>
          <w:tcPr>
            <w:tcW w:w="2456" w:type="dxa"/>
            <w:vMerge w:val="restart"/>
            <w:noWrap w:val="0"/>
            <w:vAlign w:val="center"/>
          </w:tcPr>
          <w:p>
            <w:pPr>
              <w:spacing w:line="28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1.制订预算管理制度（0.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8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2.预算管理制度能够有效落实（0.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3.3.157</w:t>
            </w:r>
            <w:r>
              <w:rPr>
                <w:rFonts w:hint="eastAsia" w:ascii="仿宋_GB2312" w:hAnsi="仿宋_GB2312" w:eastAsia="仿宋_GB2312" w:cs="仿宋_GB2312"/>
                <w:b w:val="0"/>
                <w:bCs w:val="0"/>
                <w:color w:val="000000"/>
                <w:kern w:val="0"/>
                <w:sz w:val="24"/>
                <w:szCs w:val="24"/>
              </w:rPr>
              <w:t>.3</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实行全面预算管理，医院所有收支全部纳入预算管理。</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6094" w:type="dxa"/>
            <w:noWrap w:val="0"/>
            <w:vAlign w:val="center"/>
          </w:tcPr>
          <w:p>
            <w:pPr>
              <w:widowControl/>
              <w:numPr>
                <w:ilvl w:val="0"/>
                <w:numId w:val="5"/>
              </w:numPr>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预算组织体系健全，有预算管理委员会、预算管理办公室、预算归口管理部门和预算科室组成的全面预算管理组织，预算责任落实到位（0.3分）</w:t>
            </w:r>
            <w:r>
              <w:rPr>
                <w:rFonts w:hint="eastAsia" w:ascii="仿宋_GB2312" w:hAnsi="仿宋_GB2312" w:eastAsia="仿宋_GB2312" w:cs="仿宋_GB2312"/>
                <w:b w:val="0"/>
                <w:bCs w:val="0"/>
                <w:color w:val="000000"/>
                <w:sz w:val="24"/>
                <w:szCs w:val="24"/>
                <w:lang w:eastAsia="zh-CN"/>
              </w:rPr>
              <w:t>；</w:t>
            </w:r>
          </w:p>
        </w:tc>
        <w:tc>
          <w:tcPr>
            <w:tcW w:w="1050" w:type="dxa"/>
            <w:vMerge w:val="restart"/>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8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numPr>
                <w:ilvl w:val="0"/>
                <w:numId w:val="0"/>
              </w:numPr>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2.单位依法取得的各项收入、支出应按规定纳入预算管理，统一核算、统一管理（0.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06" w:type="dxa"/>
            <w:gridSpan w:val="5"/>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一百五十八</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实行全成本核算管理，控制运行成本和医院债务规模，降低财务风险，优化投入产出比，提高医疗资源利用效率</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2分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3.3.158</w:t>
            </w:r>
            <w:r>
              <w:rPr>
                <w:rFonts w:hint="eastAsia" w:ascii="仿宋_GB2312" w:hAnsi="仿宋_GB2312" w:eastAsia="仿宋_GB2312" w:cs="仿宋_GB2312"/>
                <w:b w:val="0"/>
                <w:bCs w:val="0"/>
                <w:color w:val="000000"/>
                <w:kern w:val="0"/>
                <w:sz w:val="24"/>
                <w:szCs w:val="24"/>
              </w:rPr>
              <w:t>.1</w:t>
            </w:r>
          </w:p>
        </w:tc>
        <w:tc>
          <w:tcPr>
            <w:tcW w:w="3426" w:type="dxa"/>
            <w:vMerge w:val="restart"/>
            <w:noWrap w:val="0"/>
            <w:vAlign w:val="center"/>
          </w:tcPr>
          <w:p>
            <w:pPr>
              <w:pStyle w:val="44"/>
              <w:keepNext w:val="0"/>
              <w:keepLines w:val="0"/>
              <w:pageBreakBefore w:val="0"/>
              <w:widowControl w:val="0"/>
              <w:numPr>
                <w:ilvl w:val="0"/>
                <w:numId w:val="0"/>
              </w:numPr>
              <w:tabs>
                <w:tab w:val="left" w:pos="2360"/>
              </w:tabs>
              <w:kinsoku/>
              <w:wordWrap/>
              <w:overflowPunct/>
              <w:topLinePunct w:val="0"/>
              <w:autoSpaceDE w:val="0"/>
              <w:autoSpaceDN w:val="0"/>
              <w:bidi w:val="0"/>
              <w:adjustRightInd/>
              <w:snapToGrid/>
              <w:spacing w:line="280" w:lineRule="exact"/>
              <w:ind w:right="420" w:rightChars="0"/>
              <w:jc w:val="both"/>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实行全成本核算管理，控制运行成本，优化投入产出比</w:t>
            </w:r>
            <w:r>
              <w:rPr>
                <w:rFonts w:hint="eastAsia" w:ascii="仿宋_GB2312" w:hAnsi="仿宋_GB2312" w:eastAsia="仿宋_GB2312" w:cs="仿宋_GB2312"/>
                <w:b w:val="0"/>
                <w:bCs w:val="0"/>
                <w:color w:val="000000"/>
                <w:w w:val="95"/>
                <w:sz w:val="24"/>
                <w:szCs w:val="24"/>
              </w:rPr>
              <w:t>，</w:t>
            </w:r>
            <w:r>
              <w:rPr>
                <w:rFonts w:hint="eastAsia" w:ascii="仿宋_GB2312" w:hAnsi="仿宋_GB2312" w:eastAsia="仿宋_GB2312" w:cs="仿宋_GB2312"/>
                <w:b w:val="0"/>
                <w:bCs w:val="0"/>
                <w:color w:val="000000"/>
                <w:sz w:val="24"/>
                <w:szCs w:val="24"/>
              </w:rPr>
              <w:t>提高医疗资源利用效率。</w:t>
            </w:r>
          </w:p>
          <w:p>
            <w:pPr>
              <w:widowControl/>
              <w:rPr>
                <w:rFonts w:hint="eastAsia" w:ascii="仿宋_GB2312" w:hAnsi="仿宋_GB2312" w:eastAsia="仿宋_GB2312" w:cs="仿宋_GB2312"/>
                <w:b w:val="0"/>
                <w:bCs w:val="0"/>
                <w:color w:val="000000"/>
                <w:kern w:val="0"/>
                <w:sz w:val="24"/>
                <w:szCs w:val="24"/>
              </w:rPr>
            </w:pP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1.制订成本核算制度（0.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480" w:firstLineChars="2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2.开展全成本核算并编制全成本报表（0.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tabs>
                <w:tab w:val="left" w:pos="610"/>
              </w:tabs>
              <w:jc w:val="left"/>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3.</w:t>
            </w:r>
            <w:r>
              <w:rPr>
                <w:rFonts w:hint="eastAsia" w:ascii="仿宋_GB2312" w:hAnsi="仿宋_GB2312" w:eastAsia="仿宋_GB2312" w:cs="仿宋_GB2312"/>
                <w:b w:val="0"/>
                <w:bCs w:val="0"/>
                <w:color w:val="000000"/>
                <w:kern w:val="0"/>
                <w:sz w:val="24"/>
                <w:szCs w:val="24"/>
                <w:lang w:bidi="ar"/>
              </w:rPr>
              <w:t>采取成本管控措施，控制成本费用支出（0.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4.成本控制措施取得成效（0.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3.3.158</w:t>
            </w:r>
            <w:r>
              <w:rPr>
                <w:rFonts w:hint="eastAsia" w:ascii="仿宋_GB2312" w:hAnsi="仿宋_GB2312" w:eastAsia="仿宋_GB2312" w:cs="仿宋_GB2312"/>
                <w:b w:val="0"/>
                <w:bCs w:val="0"/>
                <w:color w:val="000000"/>
                <w:kern w:val="0"/>
                <w:sz w:val="24"/>
                <w:szCs w:val="24"/>
              </w:rPr>
              <w:t>.2</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控制医院债务规模，降低财务风险。</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1.及时清理并按照规定办理结算，保证各项债务在规定期限内归还（0.4分）；</w:t>
            </w:r>
          </w:p>
        </w:tc>
        <w:tc>
          <w:tcPr>
            <w:tcW w:w="1050" w:type="dxa"/>
            <w:vMerge w:val="restart"/>
            <w:noWrap w:val="0"/>
            <w:vAlign w:val="center"/>
          </w:tcPr>
          <w:p>
            <w:pPr>
              <w:widowControl/>
              <w:ind w:firstLine="480" w:firstLineChars="2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p>
            <w:pPr>
              <w:widowControl/>
              <w:ind w:firstLine="480" w:firstLineChars="200"/>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w:t>
            </w:r>
            <w:r>
              <w:rPr>
                <w:rFonts w:hint="eastAsia" w:ascii="仿宋_GB2312" w:hAnsi="仿宋_GB2312" w:eastAsia="仿宋_GB2312" w:cs="仿宋_GB2312"/>
                <w:b w:val="0"/>
                <w:bCs w:val="0"/>
                <w:color w:val="000000"/>
                <w:kern w:val="0"/>
                <w:sz w:val="24"/>
                <w:szCs w:val="24"/>
                <w:lang w:bidi="ar"/>
              </w:rPr>
              <w:t>每季度</w:t>
            </w:r>
            <w:r>
              <w:rPr>
                <w:rFonts w:hint="eastAsia" w:ascii="仿宋_GB2312" w:hAnsi="仿宋_GB2312" w:eastAsia="仿宋_GB2312" w:cs="仿宋_GB2312"/>
                <w:b w:val="0"/>
                <w:bCs w:val="0"/>
                <w:color w:val="000000"/>
                <w:sz w:val="24"/>
                <w:szCs w:val="24"/>
              </w:rPr>
              <w:t>分析债务情况，采取债务控制措施，控制债务规模（0.3分）；</w:t>
            </w:r>
          </w:p>
        </w:tc>
        <w:tc>
          <w:tcPr>
            <w:tcW w:w="105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3.债务控制措施取得成效（0.3分）。</w:t>
            </w:r>
          </w:p>
        </w:tc>
        <w:tc>
          <w:tcPr>
            <w:tcW w:w="105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706" w:type="dxa"/>
            <w:gridSpan w:val="5"/>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一百五十九</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落实《医疗机构内部价格行为管理规定》，全面落实医疗服务价格公示制度，提高收费透明度；完善医药收费复核制度；确保医药价格管理系统信息准确；规范新增医疗服务价格项目内部审核流程和申报程序</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3分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3.3.159</w:t>
            </w:r>
            <w:r>
              <w:rPr>
                <w:rFonts w:hint="eastAsia" w:ascii="仿宋_GB2312" w:hAnsi="仿宋_GB2312" w:eastAsia="仿宋_GB2312" w:cs="仿宋_GB2312"/>
                <w:b w:val="0"/>
                <w:bCs w:val="0"/>
                <w:color w:val="000000"/>
                <w:kern w:val="0"/>
                <w:sz w:val="24"/>
                <w:szCs w:val="24"/>
              </w:rPr>
              <w:t>.1</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确保医疗机构内部价格管理部门建设和人员配备达到管理规定要求。</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1.医疗机构应当建立由医疗机构分管领导、医务管理部门、价格管理部门、临床科室和医药物资采供等部门组成的医疗机构价格管理体系，设立价格管理委员会（0.2分）；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8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2.医疗机构应当明确负责内部价格管理工作的部门，并由院领导主管（0.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8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3.依据机构规模和医疗服务量配备专职医疗服务价格工作人员，各业务科室（部门）设置兼职医疗服务价格工作人员（0.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3.3.159</w:t>
            </w:r>
            <w:r>
              <w:rPr>
                <w:rFonts w:hint="eastAsia" w:ascii="仿宋_GB2312" w:hAnsi="仿宋_GB2312" w:eastAsia="仿宋_GB2312" w:cs="仿宋_GB2312"/>
                <w:b w:val="0"/>
                <w:bCs w:val="0"/>
                <w:color w:val="000000"/>
                <w:kern w:val="0"/>
                <w:sz w:val="24"/>
                <w:szCs w:val="24"/>
              </w:rPr>
              <w:t>.2</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全面落实医疗服务价格公示制度，提高收费透明度。</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现场检查</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6094"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1.制订医疗服务价格公示制度（0.</w:t>
            </w: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b w:val="0"/>
                <w:bCs w:val="0"/>
                <w:color w:val="000000"/>
                <w:kern w:val="0"/>
                <w:sz w:val="24"/>
                <w:szCs w:val="24"/>
                <w:lang w:bidi="ar"/>
              </w:rPr>
              <w:t>分）；</w:t>
            </w:r>
          </w:p>
        </w:tc>
        <w:tc>
          <w:tcPr>
            <w:tcW w:w="1050" w:type="dxa"/>
            <w:vMerge w:val="restart"/>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2.医疗服务价格公示制度有效落实（0.</w:t>
            </w: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b w:val="0"/>
                <w:bCs w:val="0"/>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3.采取措施保证医疗服务价格公示信息真实、准确（0.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4.访谈人员知晓医疗服务价格公示制度（0.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3.3.159</w:t>
            </w:r>
            <w:r>
              <w:rPr>
                <w:rFonts w:hint="eastAsia" w:ascii="仿宋_GB2312" w:hAnsi="仿宋_GB2312" w:eastAsia="仿宋_GB2312" w:cs="仿宋_GB2312"/>
                <w:b w:val="0"/>
                <w:bCs w:val="0"/>
                <w:color w:val="000000"/>
                <w:kern w:val="0"/>
                <w:sz w:val="24"/>
                <w:szCs w:val="24"/>
              </w:rPr>
              <w:t>.3</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完善医疗服务价格自查制度，做好自查抽检记录，及时纠正不规范收费行为。</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员工操作</w:t>
            </w:r>
          </w:p>
        </w:tc>
        <w:tc>
          <w:tcPr>
            <w:tcW w:w="6094" w:type="dxa"/>
            <w:noWrap w:val="0"/>
            <w:vAlign w:val="center"/>
          </w:tcPr>
          <w:p>
            <w:pPr>
              <w:widowControl/>
              <w:numPr>
                <w:ilvl w:val="0"/>
                <w:numId w:val="0"/>
              </w:numP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制订医疗服务价格自查制度（0.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8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numPr>
                <w:ilvl w:val="0"/>
                <w:numId w:val="0"/>
              </w:numP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2.医药收费自查复核制度有效落实并记录在案（0.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8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tabs>
                <w:tab w:val="left" w:pos="312"/>
              </w:tabs>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3.医药收费复核人员业务熟练，能够及时纠正不规范收费行为（0.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3.3.159</w:t>
            </w:r>
            <w:r>
              <w:rPr>
                <w:rFonts w:hint="eastAsia" w:ascii="仿宋_GB2312" w:hAnsi="仿宋_GB2312" w:eastAsia="仿宋_GB2312" w:cs="仿宋_GB2312"/>
                <w:b w:val="0"/>
                <w:bCs w:val="0"/>
                <w:color w:val="000000"/>
                <w:kern w:val="0"/>
                <w:sz w:val="24"/>
                <w:szCs w:val="24"/>
              </w:rPr>
              <w:t>.4</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确保医药价格管理系统信息准确。</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6094" w:type="dxa"/>
            <w:noWrap w:val="0"/>
            <w:vAlign w:val="center"/>
          </w:tcPr>
          <w:p>
            <w:pPr>
              <w:widowControl/>
              <w:numPr>
                <w:ilvl w:val="0"/>
                <w:numId w:val="0"/>
              </w:numP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落实国家有关规定及时调整价格（0.2分）；</w:t>
            </w:r>
          </w:p>
        </w:tc>
        <w:tc>
          <w:tcPr>
            <w:tcW w:w="1050" w:type="dxa"/>
            <w:vMerge w:val="restart"/>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tabs>
                <w:tab w:val="left" w:pos="312"/>
              </w:tabs>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2.严格执行国家物价政策，按收费标准进行收费（0.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3.3.159</w:t>
            </w:r>
            <w:r>
              <w:rPr>
                <w:rFonts w:hint="eastAsia" w:ascii="仿宋_GB2312" w:hAnsi="仿宋_GB2312" w:eastAsia="仿宋_GB2312" w:cs="仿宋_GB2312"/>
                <w:b w:val="0"/>
                <w:bCs w:val="0"/>
                <w:color w:val="000000"/>
                <w:kern w:val="0"/>
                <w:sz w:val="24"/>
                <w:szCs w:val="24"/>
              </w:rPr>
              <w:t>.5</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规范新增医疗服务价格项目内部审核流程和申报程序。</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现场检查</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1.制订新增医疗服务价格项目管理制度及内部申请、审核、复核、申报流程，程序规范（0.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0.5</w:t>
            </w:r>
            <w:r>
              <w:rPr>
                <w:rFonts w:hint="eastAsia" w:ascii="仿宋_GB2312" w:hAnsi="仿宋_GB2312" w:eastAsia="仿宋_GB2312" w:cs="仿宋_GB2312"/>
                <w:b w:val="0"/>
                <w:bCs w:val="0"/>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2.审核流程和申报程序有效落实（0.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sz w:val="24"/>
                <w:szCs w:val="24"/>
                <w:lang w:eastAsia="zh-CN"/>
              </w:rPr>
              <w:t>。</w:t>
            </w:r>
          </w:p>
        </w:tc>
        <w:tc>
          <w:tcPr>
            <w:tcW w:w="1050" w:type="dxa"/>
            <w:vMerge w:val="continue"/>
            <w:noWrap w:val="0"/>
            <w:vAlign w:val="center"/>
          </w:tcPr>
          <w:p>
            <w:pPr>
              <w:widowControl/>
              <w:ind w:firstLine="240" w:firstLineChars="100"/>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706" w:type="dxa"/>
            <w:gridSpan w:val="5"/>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一百六十</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执行《中华人民共和国政府采购法》《中华人民共和国招标投标法》及政府采购相关规定，建立药品、耗材、设备、基建、货物、服务等采购制度和流程，加强集中采购管理</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3.3.160</w:t>
            </w:r>
            <w:r>
              <w:rPr>
                <w:rFonts w:hint="eastAsia" w:ascii="仿宋_GB2312" w:hAnsi="仿宋_GB2312" w:eastAsia="仿宋_GB2312" w:cs="仿宋_GB2312"/>
                <w:b w:val="0"/>
                <w:bCs w:val="0"/>
                <w:color w:val="000000"/>
                <w:kern w:val="0"/>
                <w:sz w:val="24"/>
                <w:szCs w:val="24"/>
              </w:rPr>
              <w:t>.1</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执行《中华人民共和国政府采购法》《中华人民共和国招标投标法》及政府采购相关规定，建立药品、耗材、设备、基建、货物、服务等采购制度和流程。</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现场检查</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1.建立健全医院采购管理制度和采购流程（0.4分）；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480" w:firstLineChars="2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2.医院采购管理制度和采购流程有效落实（0.4分）；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tabs>
                <w:tab w:val="left" w:pos="377"/>
              </w:tabs>
              <w:jc w:val="left"/>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3.采购岗位人员知晓采购流程（0.2分）。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3.3.160</w:t>
            </w:r>
            <w:r>
              <w:rPr>
                <w:rFonts w:hint="eastAsia" w:ascii="仿宋_GB2312" w:hAnsi="仿宋_GB2312" w:eastAsia="仿宋_GB2312" w:cs="仿宋_GB2312"/>
                <w:b w:val="0"/>
                <w:bCs w:val="0"/>
                <w:color w:val="000000"/>
                <w:kern w:val="0"/>
                <w:sz w:val="24"/>
                <w:szCs w:val="24"/>
              </w:rPr>
              <w:t>.2</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有采购管理部门和监督部门，实行采购业务的决策、实施、监督相分离，加强集中采购管理。</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1.明确医院采购管理和监管部门（0.3分）；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480" w:firstLineChars="2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2.采购业务的决策、实施、监督相分离（0.3分）；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3.主管部门和监管部门对采购工作的执行情况有检查、分析、反馈，并检查科室整改落实情况（0.2分）</w:t>
            </w:r>
            <w:r>
              <w:rPr>
                <w:rFonts w:hint="eastAsia" w:ascii="仿宋_GB2312" w:hAnsi="仿宋_GB2312" w:eastAsia="仿宋_GB2312" w:cs="仿宋_GB2312"/>
                <w:b w:val="0"/>
                <w:bCs w:val="0"/>
                <w:color w:val="000000"/>
                <w:sz w:val="24"/>
                <w:szCs w:val="24"/>
                <w:lang w:eastAsia="zh-CN"/>
              </w:rPr>
              <w:t>；</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8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4.对反馈的问题及时整改落实（0.2分）。</w:t>
            </w:r>
          </w:p>
        </w:tc>
        <w:tc>
          <w:tcPr>
            <w:tcW w:w="1050"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6" w:type="dxa"/>
            <w:gridSpan w:val="5"/>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一百六十一</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医院实行同工同酬、多劳多得、优绩优酬的分配制度。以综合绩效考核为依据，突出服务质量、数量，逐步扩大分配，提高员工待遇。个人分配不得与业务收入直接挂钩</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3.3.161</w:t>
            </w:r>
            <w:r>
              <w:rPr>
                <w:rFonts w:hint="eastAsia" w:ascii="仿宋_GB2312" w:hAnsi="仿宋_GB2312" w:eastAsia="仿宋_GB2312" w:cs="仿宋_GB2312"/>
                <w:b w:val="0"/>
                <w:bCs w:val="0"/>
                <w:color w:val="000000"/>
                <w:kern w:val="0"/>
                <w:sz w:val="24"/>
                <w:szCs w:val="24"/>
              </w:rPr>
              <w:t>.1</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医院实行同工同酬、多劳多得、优绩优酬的分配制度。</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6094" w:type="dxa"/>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1.分配制度实行同工同酬（0.4分）；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480" w:firstLineChars="2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2.分配制度体现多劳多得、优绩优酬（0.4分）；</w:t>
            </w:r>
          </w:p>
        </w:tc>
        <w:tc>
          <w:tcPr>
            <w:tcW w:w="1050"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3.绩效考核分配总体方案经职工代表大会讨论通过（0.2分）。</w:t>
            </w:r>
          </w:p>
        </w:tc>
        <w:tc>
          <w:tcPr>
            <w:tcW w:w="1050"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3.3.161</w:t>
            </w:r>
            <w:r>
              <w:rPr>
                <w:rFonts w:hint="eastAsia" w:ascii="仿宋_GB2312" w:hAnsi="仿宋_GB2312" w:eastAsia="仿宋_GB2312" w:cs="仿宋_GB2312"/>
                <w:b w:val="0"/>
                <w:bCs w:val="0"/>
                <w:color w:val="000000"/>
                <w:kern w:val="0"/>
                <w:sz w:val="24"/>
                <w:szCs w:val="24"/>
              </w:rPr>
              <w:t>.2</w:t>
            </w:r>
          </w:p>
        </w:tc>
        <w:tc>
          <w:tcPr>
            <w:tcW w:w="3426"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以综合绩效考核为依据，突出服务质量、数量，逐步扩大分配，提高员工待遇。</w:t>
            </w: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6094" w:type="dxa"/>
            <w:noWrap w:val="0"/>
            <w:vAlign w:val="center"/>
          </w:tcPr>
          <w:p>
            <w:pPr>
              <w:widowControl/>
              <w:numPr>
                <w:ilvl w:val="0"/>
                <w:numId w:val="0"/>
              </w:numP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以服务质量和数量作为综合绩效考核重要依据（0.3分）；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426" w:type="dxa"/>
            <w:vMerge w:val="continue"/>
            <w:noWrap w:val="0"/>
            <w:vAlign w:val="center"/>
          </w:tcPr>
          <w:p>
            <w:pPr>
              <w:widowControl/>
              <w:rPr>
                <w:rFonts w:hint="eastAsia" w:ascii="仿宋_GB2312" w:hAnsi="仿宋_GB2312" w:eastAsia="仿宋_GB2312" w:cs="仿宋_GB2312"/>
                <w:b w:val="0"/>
                <w:bCs w:val="0"/>
                <w:color w:val="00000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2.医院员工待遇得到逐步提高（0.2分）。</w:t>
            </w:r>
          </w:p>
        </w:tc>
        <w:tc>
          <w:tcPr>
            <w:tcW w:w="1050" w:type="dxa"/>
            <w:vMerge w:val="continue"/>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8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3.3.161</w:t>
            </w:r>
            <w:r>
              <w:rPr>
                <w:rFonts w:hint="eastAsia" w:ascii="仿宋_GB2312" w:hAnsi="仿宋_GB2312" w:eastAsia="仿宋_GB2312" w:cs="仿宋_GB2312"/>
                <w:b w:val="0"/>
                <w:bCs w:val="0"/>
                <w:color w:val="000000"/>
                <w:kern w:val="0"/>
                <w:sz w:val="24"/>
                <w:szCs w:val="24"/>
              </w:rPr>
              <w:t>.3</w:t>
            </w:r>
          </w:p>
        </w:tc>
        <w:tc>
          <w:tcPr>
            <w:tcW w:w="3426" w:type="dxa"/>
            <w:vMerge w:val="restart"/>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医务人员薪酬不得与药品、卫生材料、检查、 化验等业务收入挂钩。</w:t>
            </w:r>
          </w:p>
          <w:p>
            <w:pPr>
              <w:widowControl/>
              <w:rPr>
                <w:rFonts w:hint="eastAsia" w:ascii="仿宋_GB2312" w:hAnsi="仿宋_GB2312" w:eastAsia="仿宋_GB2312" w:cs="仿宋_GB2312"/>
                <w:b w:val="0"/>
                <w:bCs w:val="0"/>
                <w:color w:val="000000"/>
                <w:kern w:val="0"/>
                <w:sz w:val="24"/>
                <w:szCs w:val="24"/>
              </w:rPr>
            </w:pPr>
          </w:p>
        </w:tc>
        <w:tc>
          <w:tcPr>
            <w:tcW w:w="2456"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6094" w:type="dxa"/>
            <w:noWrap w:val="0"/>
            <w:vAlign w:val="center"/>
          </w:tcPr>
          <w:p>
            <w:pPr>
              <w:widowControl/>
              <w:tabs>
                <w:tab w:val="left" w:pos="312"/>
              </w:tabs>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kern w:val="0"/>
                <w:sz w:val="24"/>
                <w:szCs w:val="24"/>
                <w:lang w:bidi="ar"/>
              </w:rPr>
              <w:t>绩效分配制度不将个人分配与业务收入直接挂钩</w:t>
            </w:r>
            <w:r>
              <w:rPr>
                <w:rFonts w:hint="eastAsia" w:ascii="仿宋_GB2312" w:hAnsi="仿宋_GB2312" w:eastAsia="仿宋_GB2312" w:cs="仿宋_GB2312"/>
                <w:b w:val="0"/>
                <w:bCs w:val="0"/>
                <w:color w:val="000000"/>
                <w:sz w:val="24"/>
                <w:szCs w:val="24"/>
              </w:rPr>
              <w:t>（0.3分）；</w:t>
            </w:r>
          </w:p>
        </w:tc>
        <w:tc>
          <w:tcPr>
            <w:tcW w:w="1050" w:type="dxa"/>
            <w:vMerge w:val="restart"/>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8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bookmarkStart w:id="205" w:name="_Toc12625"/>
          </w:p>
        </w:tc>
        <w:tc>
          <w:tcPr>
            <w:tcW w:w="3426" w:type="dxa"/>
            <w:vMerge w:val="continue"/>
            <w:noWrap w:val="0"/>
            <w:vAlign w:val="center"/>
          </w:tcPr>
          <w:p>
            <w:pPr>
              <w:widowControl/>
              <w:rPr>
                <w:rFonts w:hint="eastAsia" w:ascii="仿宋_GB2312" w:hAnsi="仿宋_GB2312" w:eastAsia="仿宋_GB2312" w:cs="仿宋_GB2312"/>
                <w:b w:val="0"/>
                <w:bCs w:val="0"/>
                <w:color w:val="000000"/>
                <w:kern w:val="0"/>
                <w:sz w:val="24"/>
                <w:szCs w:val="24"/>
              </w:rPr>
            </w:pPr>
          </w:p>
        </w:tc>
        <w:tc>
          <w:tcPr>
            <w:tcW w:w="2456" w:type="dxa"/>
            <w:vMerge w:val="continue"/>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94" w:type="dxa"/>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2.员工知晓个人绩效分配的影响因素（0.2分）。</w:t>
            </w:r>
          </w:p>
        </w:tc>
        <w:tc>
          <w:tcPr>
            <w:tcW w:w="1050" w:type="dxa"/>
            <w:vMerge w:val="continue"/>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p>
        </w:tc>
      </w:tr>
    </w:tbl>
    <w:p>
      <w:pPr>
        <w:pStyle w:val="5"/>
        <w:bidi w:val="0"/>
        <w:rPr>
          <w:rFonts w:hint="eastAsia"/>
          <w:color w:val="000000"/>
        </w:rPr>
      </w:pPr>
      <w:bookmarkStart w:id="206" w:name="_Toc22123"/>
      <w:bookmarkStart w:id="207" w:name="_Toc31700"/>
      <w:bookmarkStart w:id="208" w:name="_Toc6304"/>
      <w:r>
        <w:rPr>
          <w:rFonts w:hint="eastAsia"/>
          <w:color w:val="000000"/>
        </w:rPr>
        <w:t>四、信息管理</w:t>
      </w:r>
      <w:bookmarkEnd w:id="205"/>
      <w:r>
        <w:rPr>
          <w:rFonts w:hint="eastAsia"/>
          <w:color w:val="000000"/>
        </w:rPr>
        <w:t>（</w:t>
      </w:r>
      <w:r>
        <w:rPr>
          <w:rFonts w:hint="eastAsia"/>
          <w:color w:val="000000"/>
          <w:lang w:val="en-US" w:eastAsia="zh-CN"/>
        </w:rPr>
        <w:t>10</w:t>
      </w:r>
      <w:r>
        <w:rPr>
          <w:rFonts w:hint="eastAsia"/>
          <w:color w:val="000000"/>
        </w:rPr>
        <w:t>分）</w:t>
      </w:r>
      <w:bookmarkEnd w:id="206"/>
      <w:bookmarkEnd w:id="207"/>
      <w:bookmarkEnd w:id="208"/>
    </w:p>
    <w:tbl>
      <w:tblPr>
        <w:tblStyle w:val="1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65"/>
        <w:gridCol w:w="7"/>
        <w:gridCol w:w="3058"/>
        <w:gridCol w:w="2445"/>
        <w:gridCol w:w="6010"/>
        <w:gridCol w:w="109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29" w:hRule="atLeast"/>
          <w:tblHeader/>
        </w:trPr>
        <w:tc>
          <w:tcPr>
            <w:tcW w:w="5130" w:type="dxa"/>
            <w:gridSpan w:val="3"/>
            <w:shd w:val="clear" w:color="auto" w:fill="FEF2CC"/>
            <w:noWrap w:val="0"/>
            <w:vAlign w:val="center"/>
          </w:tcPr>
          <w:p>
            <w:pPr>
              <w:pStyle w:val="24"/>
              <w:spacing w:line="32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eastAsia="zh-CN"/>
              </w:rPr>
              <w:t>细则</w:t>
            </w:r>
          </w:p>
        </w:tc>
        <w:tc>
          <w:tcPr>
            <w:tcW w:w="2445"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6010"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1095"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393" w:hRule="atLeast"/>
        </w:trPr>
        <w:tc>
          <w:tcPr>
            <w:tcW w:w="14680" w:type="dxa"/>
            <w:gridSpan w:val="6"/>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一百六十二</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建立以院长为核心的医院信息化建设领导小组，有负责信息管理的专职机构，建立各部门间的组织协调机制，制订信息化发展规划，有与信息化建设配套的相关管理制度</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3.5</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072"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3.4.162</w:t>
            </w:r>
            <w:r>
              <w:rPr>
                <w:rFonts w:hint="eastAsia" w:ascii="仿宋_GB2312" w:hAnsi="仿宋_GB2312" w:eastAsia="仿宋_GB2312" w:cs="仿宋_GB2312"/>
                <w:b w:val="0"/>
                <w:bCs w:val="0"/>
                <w:color w:val="000000"/>
                <w:kern w:val="0"/>
                <w:sz w:val="24"/>
                <w:szCs w:val="24"/>
              </w:rPr>
              <w:t>.1</w:t>
            </w:r>
          </w:p>
        </w:tc>
        <w:tc>
          <w:tcPr>
            <w:tcW w:w="3058" w:type="dxa"/>
            <w:vMerge w:val="restart"/>
            <w:shd w:val="clear" w:color="auto" w:fill="FFFFFF"/>
            <w:noWrap w:val="0"/>
            <w:vAlign w:val="center"/>
          </w:tcPr>
          <w:p>
            <w:pPr>
              <w:widowControl/>
              <w:tabs>
                <w:tab w:val="left" w:pos="640"/>
              </w:tabs>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成</w:t>
            </w:r>
            <w:r>
              <w:rPr>
                <w:rFonts w:hint="eastAsia" w:ascii="仿宋_GB2312" w:hAnsi="仿宋_GB2312" w:eastAsia="仿宋_GB2312" w:cs="仿宋_GB2312"/>
                <w:b w:val="0"/>
                <w:bCs w:val="0"/>
                <w:color w:val="000000"/>
                <w:sz w:val="24"/>
                <w:szCs w:val="24"/>
              </w:rPr>
              <w:t>立以院长为核心的医院信息化建设领导小组，有负责信息管理的专职机构，承担信息化建设规划和管理的行政管理职能。</w:t>
            </w:r>
          </w:p>
        </w:tc>
        <w:tc>
          <w:tcPr>
            <w:tcW w:w="2445"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文件查阅（医院组织架构图）</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6010" w:type="dxa"/>
            <w:shd w:val="clear" w:color="auto" w:fill="FFFFFF"/>
            <w:noWrap w:val="0"/>
            <w:vAlign w:val="center"/>
          </w:tcPr>
          <w:p>
            <w:pPr>
              <w:widowControl/>
              <w:numPr>
                <w:ilvl w:val="0"/>
                <w:numId w:val="0"/>
              </w:numPr>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有院领导为</w:t>
            </w:r>
            <w:r>
              <w:rPr>
                <w:rFonts w:hint="eastAsia" w:ascii="仿宋_GB2312" w:hAnsi="仿宋_GB2312" w:eastAsia="仿宋_GB2312" w:cs="仿宋_GB2312"/>
                <w:b w:val="0"/>
                <w:bCs w:val="0"/>
                <w:color w:val="000000"/>
                <w:sz w:val="24"/>
                <w:szCs w:val="24"/>
                <w:lang w:val="en-US" w:eastAsia="zh-CN"/>
              </w:rPr>
              <w:t>核心</w:t>
            </w:r>
            <w:r>
              <w:rPr>
                <w:rFonts w:hint="eastAsia" w:ascii="仿宋_GB2312" w:hAnsi="仿宋_GB2312" w:eastAsia="仿宋_GB2312" w:cs="仿宋_GB2312"/>
                <w:b w:val="0"/>
                <w:bCs w:val="0"/>
                <w:color w:val="000000"/>
                <w:sz w:val="24"/>
                <w:szCs w:val="24"/>
              </w:rPr>
              <w:t>信息化领导小组（0.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95"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680" w:hRule="atLeast"/>
        </w:trPr>
        <w:tc>
          <w:tcPr>
            <w:tcW w:w="2072" w:type="dxa"/>
            <w:gridSpan w:val="2"/>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058"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2.有负责信息管理的专职部门（0.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分）；</w:t>
            </w:r>
          </w:p>
        </w:tc>
        <w:tc>
          <w:tcPr>
            <w:tcW w:w="1095"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072" w:type="dxa"/>
            <w:gridSpan w:val="2"/>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058"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.按要求</w:t>
            </w:r>
            <w:r>
              <w:rPr>
                <w:rFonts w:hint="eastAsia" w:ascii="仿宋_GB2312" w:hAnsi="仿宋_GB2312" w:eastAsia="仿宋_GB2312" w:cs="仿宋_GB2312"/>
                <w:b w:val="0"/>
                <w:bCs w:val="0"/>
                <w:strike w:val="0"/>
                <w:dstrike w:val="0"/>
                <w:color w:val="000000"/>
                <w:sz w:val="24"/>
                <w:szCs w:val="24"/>
              </w:rPr>
              <w:t>配备</w:t>
            </w:r>
            <w:r>
              <w:rPr>
                <w:rFonts w:hint="eastAsia" w:ascii="仿宋_GB2312" w:hAnsi="仿宋_GB2312" w:eastAsia="仿宋_GB2312" w:cs="仿宋_GB2312"/>
                <w:b w:val="0"/>
                <w:bCs w:val="0"/>
                <w:strike w:val="0"/>
                <w:dstrike w:val="0"/>
                <w:color w:val="000000"/>
                <w:sz w:val="24"/>
                <w:szCs w:val="24"/>
                <w:lang w:eastAsia="zh-CN"/>
              </w:rPr>
              <w:t>相关</w:t>
            </w:r>
            <w:r>
              <w:rPr>
                <w:rFonts w:hint="eastAsia" w:ascii="仿宋_GB2312" w:hAnsi="仿宋_GB2312" w:eastAsia="仿宋_GB2312" w:cs="仿宋_GB2312"/>
                <w:b w:val="0"/>
                <w:bCs w:val="0"/>
                <w:color w:val="000000"/>
                <w:sz w:val="24"/>
                <w:szCs w:val="24"/>
              </w:rPr>
              <w:t>资质</w:t>
            </w:r>
            <w:r>
              <w:rPr>
                <w:rFonts w:hint="eastAsia" w:ascii="仿宋_GB2312" w:hAnsi="仿宋_GB2312" w:eastAsia="仿宋_GB2312" w:cs="仿宋_GB2312"/>
                <w:b w:val="0"/>
                <w:bCs w:val="0"/>
                <w:color w:val="000000"/>
                <w:sz w:val="24"/>
                <w:szCs w:val="24"/>
                <w:lang w:eastAsia="zh-CN"/>
              </w:rPr>
              <w:t>的</w:t>
            </w:r>
            <w:r>
              <w:rPr>
                <w:rFonts w:hint="eastAsia" w:ascii="仿宋_GB2312" w:hAnsi="仿宋_GB2312" w:eastAsia="仿宋_GB2312" w:cs="仿宋_GB2312"/>
                <w:b w:val="0"/>
                <w:bCs w:val="0"/>
                <w:color w:val="000000"/>
                <w:sz w:val="24"/>
                <w:szCs w:val="24"/>
              </w:rPr>
              <w:t>信息管理人员（0.</w:t>
            </w:r>
            <w:r>
              <w:rPr>
                <w:rFonts w:hint="eastAsia" w:ascii="仿宋_GB2312" w:hAnsi="仿宋_GB2312" w:eastAsia="仿宋_GB2312" w:cs="仿宋_GB2312"/>
                <w:b w:val="0"/>
                <w:bCs w:val="0"/>
                <w:color w:val="000000"/>
                <w:sz w:val="24"/>
                <w:szCs w:val="24"/>
                <w:lang w:val="en-US" w:eastAsia="zh-CN"/>
              </w:rPr>
              <w:t>4</w:t>
            </w:r>
            <w:r>
              <w:rPr>
                <w:rFonts w:hint="eastAsia" w:ascii="仿宋_GB2312" w:hAnsi="仿宋_GB2312" w:eastAsia="仿宋_GB2312" w:cs="仿宋_GB2312"/>
                <w:b w:val="0"/>
                <w:bCs w:val="0"/>
                <w:color w:val="000000"/>
                <w:sz w:val="24"/>
                <w:szCs w:val="24"/>
              </w:rPr>
              <w:t>分）。</w:t>
            </w:r>
          </w:p>
        </w:tc>
        <w:tc>
          <w:tcPr>
            <w:tcW w:w="1095"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072"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3.4.162</w:t>
            </w:r>
            <w:r>
              <w:rPr>
                <w:rFonts w:hint="eastAsia" w:ascii="仿宋_GB2312" w:hAnsi="仿宋_GB2312" w:eastAsia="仿宋_GB2312" w:cs="仿宋_GB2312"/>
                <w:b w:val="0"/>
                <w:bCs w:val="0"/>
                <w:color w:val="000000"/>
                <w:kern w:val="0"/>
                <w:sz w:val="24"/>
                <w:szCs w:val="24"/>
              </w:rPr>
              <w:t>.2</w:t>
            </w:r>
          </w:p>
        </w:tc>
        <w:tc>
          <w:tcPr>
            <w:tcW w:w="3058"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sz w:val="24"/>
                <w:szCs w:val="24"/>
              </w:rPr>
              <w:t>建立各部门间的组织协调机制</w:t>
            </w:r>
            <w:r>
              <w:rPr>
                <w:rFonts w:hint="eastAsia" w:ascii="仿宋_GB2312" w:hAnsi="仿宋_GB2312" w:eastAsia="仿宋_GB2312" w:cs="仿宋_GB2312"/>
                <w:b w:val="0"/>
                <w:bCs w:val="0"/>
                <w:color w:val="000000"/>
                <w:sz w:val="24"/>
                <w:szCs w:val="24"/>
                <w:lang w:eastAsia="zh-CN"/>
              </w:rPr>
              <w:t>。</w:t>
            </w:r>
          </w:p>
        </w:tc>
        <w:tc>
          <w:tcPr>
            <w:tcW w:w="2445"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6010"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b w:val="0"/>
                <w:bCs w:val="0"/>
                <w:color w:val="000000"/>
                <w:kern w:val="0"/>
                <w:sz w:val="24"/>
                <w:szCs w:val="24"/>
                <w:lang w:bidi="ar"/>
              </w:rPr>
              <w:t>.建立</w:t>
            </w:r>
            <w:r>
              <w:rPr>
                <w:rFonts w:hint="eastAsia" w:ascii="仿宋_GB2312" w:hAnsi="仿宋_GB2312" w:eastAsia="仿宋_GB2312" w:cs="仿宋_GB2312"/>
                <w:b w:val="0"/>
                <w:bCs w:val="0"/>
                <w:color w:val="000000"/>
                <w:kern w:val="0"/>
                <w:sz w:val="24"/>
                <w:szCs w:val="24"/>
                <w:lang w:val="en-US" w:eastAsia="zh-CN" w:bidi="ar"/>
              </w:rPr>
              <w:t>有各部门间的</w:t>
            </w:r>
            <w:r>
              <w:rPr>
                <w:rFonts w:hint="eastAsia" w:ascii="仿宋_GB2312" w:hAnsi="仿宋_GB2312" w:eastAsia="仿宋_GB2312" w:cs="仿宋_GB2312"/>
                <w:b w:val="0"/>
                <w:bCs w:val="0"/>
                <w:color w:val="000000"/>
                <w:kern w:val="0"/>
                <w:sz w:val="24"/>
                <w:szCs w:val="24"/>
                <w:lang w:bidi="ar"/>
              </w:rPr>
              <w:t>沟通协调机制（0.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95" w:type="dxa"/>
            <w:vMerge w:val="restart"/>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072" w:type="dxa"/>
            <w:gridSpan w:val="2"/>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058"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信息管理部门</w:t>
            </w:r>
            <w:r>
              <w:rPr>
                <w:rFonts w:hint="eastAsia" w:ascii="仿宋_GB2312" w:hAnsi="仿宋_GB2312" w:eastAsia="仿宋_GB2312" w:cs="仿宋_GB2312"/>
                <w:b w:val="0"/>
                <w:bCs w:val="0"/>
                <w:color w:val="000000"/>
                <w:kern w:val="0"/>
                <w:sz w:val="24"/>
                <w:szCs w:val="24"/>
                <w:lang w:bidi="ar"/>
              </w:rPr>
              <w:t>对其他部门提出的问题有记录、讨论、解决的相关资料（0.</w:t>
            </w:r>
            <w:r>
              <w:rPr>
                <w:rFonts w:hint="eastAsia" w:ascii="仿宋_GB2312" w:hAnsi="仿宋_GB2312" w:eastAsia="仿宋_GB2312" w:cs="仿宋_GB2312"/>
                <w:b w:val="0"/>
                <w:bCs w:val="0"/>
                <w:color w:val="000000"/>
                <w:kern w:val="0"/>
                <w:sz w:val="24"/>
                <w:szCs w:val="24"/>
                <w:lang w:val="en-US" w:eastAsia="zh-CN" w:bidi="ar"/>
              </w:rPr>
              <w:t>4</w:t>
            </w:r>
            <w:r>
              <w:rPr>
                <w:rFonts w:hint="eastAsia" w:ascii="仿宋_GB2312" w:hAnsi="仿宋_GB2312" w:eastAsia="仿宋_GB2312" w:cs="仿宋_GB2312"/>
                <w:b w:val="0"/>
                <w:bCs w:val="0"/>
                <w:color w:val="000000"/>
                <w:kern w:val="0"/>
                <w:sz w:val="24"/>
                <w:szCs w:val="24"/>
                <w:lang w:bidi="ar"/>
              </w:rPr>
              <w:t>分）；</w:t>
            </w:r>
          </w:p>
        </w:tc>
        <w:tc>
          <w:tcPr>
            <w:tcW w:w="1095"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072" w:type="dxa"/>
            <w:gridSpan w:val="2"/>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3058"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.信息化领导小组定期</w:t>
            </w:r>
            <w:r>
              <w:rPr>
                <w:rFonts w:hint="eastAsia" w:ascii="仿宋_GB2312" w:hAnsi="仿宋_GB2312" w:eastAsia="仿宋_GB2312" w:cs="仿宋_GB2312"/>
                <w:b w:val="0"/>
                <w:bCs w:val="0"/>
                <w:color w:val="000000"/>
                <w:kern w:val="0"/>
                <w:sz w:val="24"/>
                <w:szCs w:val="24"/>
                <w:lang w:val="en-US" w:eastAsia="zh-CN" w:bidi="ar"/>
              </w:rPr>
              <w:t>召开多部门联席会议</w:t>
            </w:r>
            <w:r>
              <w:rPr>
                <w:rFonts w:hint="eastAsia" w:ascii="仿宋_GB2312" w:hAnsi="仿宋_GB2312" w:eastAsia="仿宋_GB2312" w:cs="仿宋_GB2312"/>
                <w:b w:val="0"/>
                <w:bCs w:val="0"/>
                <w:color w:val="000000"/>
                <w:kern w:val="0"/>
                <w:sz w:val="24"/>
                <w:szCs w:val="24"/>
                <w:lang w:bidi="ar"/>
              </w:rPr>
              <w:t>（每年至少2次），有会议记录，决议及执行单（0</w:t>
            </w:r>
            <w:r>
              <w:rPr>
                <w:rFonts w:hint="eastAsia" w:ascii="仿宋_GB2312" w:hAnsi="仿宋_GB2312" w:eastAsia="仿宋_GB2312" w:cs="仿宋_GB2312"/>
                <w:b w:val="0"/>
                <w:bCs w:val="0"/>
                <w:color w:val="000000"/>
                <w:kern w:val="0"/>
                <w:sz w:val="24"/>
                <w:szCs w:val="24"/>
                <w:lang w:val="en-US" w:eastAsia="zh-CN" w:bidi="ar"/>
              </w:rPr>
              <w:t>.4</w:t>
            </w:r>
            <w:r>
              <w:rPr>
                <w:rFonts w:hint="eastAsia" w:ascii="仿宋_GB2312" w:hAnsi="仿宋_GB2312" w:eastAsia="仿宋_GB2312" w:cs="仿宋_GB2312"/>
                <w:b w:val="0"/>
                <w:bCs w:val="0"/>
                <w:color w:val="000000"/>
                <w:kern w:val="0"/>
                <w:sz w:val="24"/>
                <w:szCs w:val="24"/>
                <w:lang w:bidi="ar"/>
              </w:rPr>
              <w:t>分）。</w:t>
            </w:r>
          </w:p>
        </w:tc>
        <w:tc>
          <w:tcPr>
            <w:tcW w:w="1095" w:type="dxa"/>
            <w:vMerge w:val="continue"/>
            <w:shd w:val="clear" w:color="auto" w:fill="FFFFFF"/>
            <w:noWrap w:val="0"/>
            <w:vAlign w:val="center"/>
          </w:tcPr>
          <w:p>
            <w:pPr>
              <w:widowControl/>
              <w:jc w:val="left"/>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072"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3.4.162</w:t>
            </w:r>
            <w:r>
              <w:rPr>
                <w:rFonts w:hint="eastAsia" w:ascii="仿宋_GB2312" w:hAnsi="仿宋_GB2312" w:eastAsia="仿宋_GB2312" w:cs="仿宋_GB2312"/>
                <w:b w:val="0"/>
                <w:bCs w:val="0"/>
                <w:color w:val="000000"/>
                <w:kern w:val="0"/>
                <w:sz w:val="24"/>
                <w:szCs w:val="24"/>
              </w:rPr>
              <w:t>.3</w:t>
            </w:r>
          </w:p>
        </w:tc>
        <w:tc>
          <w:tcPr>
            <w:tcW w:w="3058"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制订信息化发展总体规划，强化顶层设计，将信息化建设发展纳入医院中长期发展规划和年度工作计划。</w:t>
            </w:r>
          </w:p>
        </w:tc>
        <w:tc>
          <w:tcPr>
            <w:tcW w:w="2445" w:type="dxa"/>
            <w:vMerge w:val="restart"/>
            <w:shd w:val="clear" w:color="auto" w:fill="FFFFFF"/>
            <w:noWrap w:val="0"/>
            <w:vAlign w:val="center"/>
          </w:tcPr>
          <w:p>
            <w:pPr>
              <w:spacing w:line="30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6010" w:type="dxa"/>
            <w:shd w:val="clear" w:color="auto" w:fill="FFFFFF"/>
            <w:noWrap w:val="0"/>
            <w:vAlign w:val="center"/>
          </w:tcPr>
          <w:p>
            <w:pPr>
              <w:widowControl/>
              <w:numPr>
                <w:ilvl w:val="0"/>
                <w:numId w:val="0"/>
              </w:numP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kern w:val="0"/>
                <w:sz w:val="24"/>
                <w:szCs w:val="24"/>
                <w:lang w:val="en-US" w:eastAsia="zh-CN" w:bidi="ar"/>
              </w:rPr>
              <w:t>制定</w:t>
            </w:r>
            <w:r>
              <w:rPr>
                <w:rFonts w:hint="eastAsia" w:ascii="仿宋_GB2312" w:hAnsi="仿宋_GB2312" w:eastAsia="仿宋_GB2312" w:cs="仿宋_GB2312"/>
                <w:b w:val="0"/>
                <w:bCs w:val="0"/>
                <w:color w:val="000000"/>
                <w:sz w:val="24"/>
                <w:szCs w:val="24"/>
              </w:rPr>
              <w:t>有医院信息化</w:t>
            </w:r>
            <w:r>
              <w:rPr>
                <w:rFonts w:hint="eastAsia" w:ascii="仿宋_GB2312" w:hAnsi="仿宋_GB2312" w:eastAsia="仿宋_GB2312" w:cs="仿宋_GB2312"/>
                <w:b w:val="0"/>
                <w:bCs w:val="0"/>
                <w:color w:val="000000"/>
                <w:kern w:val="0"/>
                <w:sz w:val="24"/>
                <w:szCs w:val="24"/>
                <w:lang w:val="en-US" w:eastAsia="zh-CN" w:bidi="ar"/>
              </w:rPr>
              <w:t>发展总体规划</w:t>
            </w:r>
            <w:r>
              <w:rPr>
                <w:rFonts w:hint="eastAsia"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lang w:eastAsia="zh-CN"/>
              </w:rPr>
              <w:t>分）</w:t>
            </w:r>
            <w:r>
              <w:rPr>
                <w:rFonts w:hint="eastAsia" w:ascii="仿宋_GB2312" w:hAnsi="仿宋_GB2312" w:eastAsia="仿宋_GB2312" w:cs="仿宋_GB2312"/>
                <w:b w:val="0"/>
                <w:bCs w:val="0"/>
                <w:color w:val="000000"/>
                <w:sz w:val="24"/>
                <w:szCs w:val="24"/>
              </w:rPr>
              <w:t>；</w:t>
            </w:r>
          </w:p>
        </w:tc>
        <w:tc>
          <w:tcPr>
            <w:tcW w:w="1095"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680" w:hRule="atLeast"/>
        </w:trPr>
        <w:tc>
          <w:tcPr>
            <w:tcW w:w="2072" w:type="dxa"/>
            <w:gridSpan w:val="2"/>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058"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2.将信息化建设发展纳入医院中长期发展规划和年度工作计划</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val="en-US" w:eastAsia="zh-CN" w:bidi="ar"/>
              </w:rPr>
              <w:t>并有经费预算安排</w:t>
            </w:r>
            <w:r>
              <w:rPr>
                <w:rFonts w:hint="eastAsia" w:ascii="仿宋_GB2312" w:hAnsi="仿宋_GB2312" w:eastAsia="仿宋_GB2312" w:cs="仿宋_GB2312"/>
                <w:b w:val="0"/>
                <w:bCs w:val="0"/>
                <w:color w:val="000000"/>
                <w:kern w:val="0"/>
                <w:sz w:val="24"/>
                <w:szCs w:val="24"/>
                <w:lang w:bidi="ar"/>
              </w:rPr>
              <w:t>（0.2分）；</w:t>
            </w:r>
          </w:p>
        </w:tc>
        <w:tc>
          <w:tcPr>
            <w:tcW w:w="109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072" w:type="dxa"/>
            <w:gridSpan w:val="2"/>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3058"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244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3</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对</w:t>
            </w:r>
            <w:r>
              <w:rPr>
                <w:rFonts w:hint="eastAsia" w:ascii="仿宋_GB2312" w:hAnsi="仿宋_GB2312" w:eastAsia="仿宋_GB2312" w:cs="仿宋_GB2312"/>
                <w:b w:val="0"/>
                <w:bCs w:val="0"/>
                <w:color w:val="000000"/>
                <w:kern w:val="0"/>
                <w:sz w:val="24"/>
                <w:szCs w:val="24"/>
                <w:lang w:val="en-US" w:eastAsia="zh-CN" w:bidi="ar"/>
              </w:rPr>
              <w:t>信息化建设落实情况及执行情况进行</w:t>
            </w:r>
            <w:r>
              <w:rPr>
                <w:rFonts w:hint="eastAsia" w:ascii="仿宋_GB2312" w:hAnsi="仿宋_GB2312" w:eastAsia="仿宋_GB2312" w:cs="仿宋_GB2312"/>
                <w:b w:val="0"/>
                <w:bCs w:val="0"/>
                <w:color w:val="000000"/>
                <w:kern w:val="0"/>
                <w:sz w:val="24"/>
                <w:szCs w:val="24"/>
                <w:lang w:bidi="ar"/>
              </w:rPr>
              <w:t>总结分析（0.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109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072"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3.4.162</w:t>
            </w:r>
            <w:r>
              <w:rPr>
                <w:rFonts w:hint="eastAsia" w:ascii="仿宋_GB2312" w:hAnsi="仿宋_GB2312" w:eastAsia="仿宋_GB2312" w:cs="仿宋_GB2312"/>
                <w:b w:val="0"/>
                <w:bCs w:val="0"/>
                <w:color w:val="000000"/>
                <w:kern w:val="0"/>
                <w:sz w:val="24"/>
                <w:szCs w:val="24"/>
              </w:rPr>
              <w:t>.4</w:t>
            </w:r>
          </w:p>
        </w:tc>
        <w:tc>
          <w:tcPr>
            <w:tcW w:w="3058"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制定信息化建设配套的相关管理制度。</w:t>
            </w:r>
          </w:p>
        </w:tc>
        <w:tc>
          <w:tcPr>
            <w:tcW w:w="2445" w:type="dxa"/>
            <w:vMerge w:val="restart"/>
            <w:shd w:val="clear" w:color="auto" w:fill="FFFFFF"/>
            <w:noWrap w:val="0"/>
            <w:vAlign w:val="center"/>
          </w:tcPr>
          <w:p>
            <w:pPr>
              <w:spacing w:line="30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记录查看</w:t>
            </w:r>
          </w:p>
        </w:tc>
        <w:tc>
          <w:tcPr>
            <w:tcW w:w="6010" w:type="dxa"/>
            <w:shd w:val="clear" w:color="auto" w:fill="FFFFFF"/>
            <w:noWrap w:val="0"/>
            <w:vAlign w:val="center"/>
          </w:tcPr>
          <w:p>
            <w:pPr>
              <w:widowControl/>
              <w:numPr>
                <w:ilvl w:val="0"/>
                <w:numId w:val="0"/>
              </w:numP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kern w:val="0"/>
                <w:sz w:val="24"/>
                <w:szCs w:val="24"/>
                <w:lang w:val="en-US" w:eastAsia="zh-CN" w:bidi="ar"/>
              </w:rPr>
              <w:t>制定</w:t>
            </w:r>
            <w:r>
              <w:rPr>
                <w:rFonts w:hint="eastAsia" w:ascii="仿宋_GB2312" w:hAnsi="仿宋_GB2312" w:eastAsia="仿宋_GB2312" w:cs="仿宋_GB2312"/>
                <w:b w:val="0"/>
                <w:bCs w:val="0"/>
                <w:color w:val="000000"/>
                <w:sz w:val="24"/>
                <w:szCs w:val="24"/>
              </w:rPr>
              <w:t>有信息</w:t>
            </w:r>
            <w:r>
              <w:rPr>
                <w:rFonts w:hint="eastAsia" w:ascii="仿宋_GB2312" w:hAnsi="仿宋_GB2312" w:eastAsia="仿宋_GB2312" w:cs="仿宋_GB2312"/>
                <w:b w:val="0"/>
                <w:bCs w:val="0"/>
                <w:color w:val="000000"/>
                <w:sz w:val="24"/>
                <w:szCs w:val="24"/>
                <w:lang w:eastAsia="zh-CN"/>
              </w:rPr>
              <w:t>化</w:t>
            </w:r>
            <w:r>
              <w:rPr>
                <w:rFonts w:hint="eastAsia" w:ascii="仿宋_GB2312" w:hAnsi="仿宋_GB2312" w:eastAsia="仿宋_GB2312" w:cs="仿宋_GB2312"/>
                <w:b w:val="0"/>
                <w:bCs w:val="0"/>
                <w:strike w:val="0"/>
                <w:dstrike w:val="0"/>
                <w:color w:val="000000"/>
                <w:sz w:val="24"/>
                <w:szCs w:val="24"/>
              </w:rPr>
              <w:t>建设</w:t>
            </w:r>
            <w:r>
              <w:rPr>
                <w:rFonts w:hint="eastAsia" w:ascii="仿宋_GB2312" w:hAnsi="仿宋_GB2312" w:eastAsia="仿宋_GB2312" w:cs="仿宋_GB2312"/>
                <w:b w:val="0"/>
                <w:bCs w:val="0"/>
                <w:color w:val="000000"/>
                <w:sz w:val="24"/>
                <w:szCs w:val="24"/>
              </w:rPr>
              <w:t>管理制度（0.</w:t>
            </w:r>
            <w:r>
              <w:rPr>
                <w:rFonts w:hint="eastAsia" w:ascii="仿宋_GB2312" w:hAnsi="仿宋_GB2312" w:eastAsia="仿宋_GB2312" w:cs="仿宋_GB2312"/>
                <w:b w:val="0"/>
                <w:bCs w:val="0"/>
                <w:color w:val="000000"/>
                <w:sz w:val="24"/>
                <w:szCs w:val="24"/>
                <w:lang w:val="en-US" w:eastAsia="zh-CN"/>
              </w:rPr>
              <w:t>4</w:t>
            </w:r>
            <w:r>
              <w:rPr>
                <w:rFonts w:hint="eastAsia" w:ascii="仿宋_GB2312" w:hAnsi="仿宋_GB2312" w:eastAsia="仿宋_GB2312" w:cs="仿宋_GB2312"/>
                <w:b w:val="0"/>
                <w:bCs w:val="0"/>
                <w:color w:val="000000"/>
                <w:sz w:val="24"/>
                <w:szCs w:val="24"/>
              </w:rPr>
              <w:t>分）；</w:t>
            </w:r>
          </w:p>
        </w:tc>
        <w:tc>
          <w:tcPr>
            <w:tcW w:w="1095"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680" w:hRule="atLeast"/>
        </w:trPr>
        <w:tc>
          <w:tcPr>
            <w:tcW w:w="2072" w:type="dxa"/>
            <w:gridSpan w:val="2"/>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058" w:type="dxa"/>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numPr>
                <w:ilvl w:val="0"/>
                <w:numId w:val="0"/>
              </w:num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2.对</w:t>
            </w:r>
            <w:r>
              <w:rPr>
                <w:rFonts w:hint="eastAsia" w:ascii="仿宋_GB2312" w:hAnsi="仿宋_GB2312" w:eastAsia="仿宋_GB2312" w:cs="仿宋_GB2312"/>
                <w:b w:val="0"/>
                <w:bCs w:val="0"/>
                <w:color w:val="000000"/>
                <w:sz w:val="24"/>
                <w:szCs w:val="24"/>
              </w:rPr>
              <w:t>相关</w:t>
            </w:r>
            <w:r>
              <w:rPr>
                <w:rFonts w:hint="eastAsia" w:ascii="仿宋_GB2312" w:hAnsi="仿宋_GB2312" w:eastAsia="仿宋_GB2312" w:cs="仿宋_GB2312"/>
                <w:b w:val="0"/>
                <w:bCs w:val="0"/>
                <w:color w:val="000000"/>
                <w:kern w:val="0"/>
                <w:sz w:val="24"/>
                <w:szCs w:val="24"/>
                <w:lang w:val="en-US" w:eastAsia="zh-CN" w:bidi="ar"/>
              </w:rPr>
              <w:t>配套制度的落实情况及时分析、总结、更新</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4</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095" w:type="dxa"/>
            <w:vMerge w:val="continue"/>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579" w:hRule="atLeast"/>
        </w:trPr>
        <w:tc>
          <w:tcPr>
            <w:tcW w:w="14680" w:type="dxa"/>
            <w:gridSpan w:val="6"/>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一百六十三</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医院信息系统能够系统、连续、准确地采集、存储、传输、处理相关的信息，为医院管理、临床医疗和服务提供包括决策支持类的信息技术支撑，并根据国家相关规定，实现信息互联互通、交互共享</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2.5</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59" w:hRule="atLeast"/>
        </w:trPr>
        <w:tc>
          <w:tcPr>
            <w:tcW w:w="2065" w:type="dxa"/>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3.4.163</w:t>
            </w:r>
            <w:r>
              <w:rPr>
                <w:rFonts w:hint="eastAsia" w:ascii="仿宋_GB2312" w:hAnsi="仿宋_GB2312" w:eastAsia="仿宋_GB2312" w:cs="仿宋_GB2312"/>
                <w:b w:val="0"/>
                <w:bCs w:val="0"/>
                <w:color w:val="000000"/>
                <w:kern w:val="0"/>
                <w:sz w:val="24"/>
                <w:szCs w:val="24"/>
              </w:rPr>
              <w:t>.1</w:t>
            </w:r>
          </w:p>
        </w:tc>
        <w:tc>
          <w:tcPr>
            <w:tcW w:w="3065" w:type="dxa"/>
            <w:gridSpan w:val="2"/>
            <w:shd w:val="clear" w:color="auto" w:fill="FFFFFF"/>
            <w:noWrap w:val="0"/>
            <w:vAlign w:val="center"/>
          </w:tcPr>
          <w:p>
            <w:pPr>
              <w:widowControl/>
              <w:tabs>
                <w:tab w:val="left" w:pos="982"/>
              </w:tabs>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医院信息系统能够系统、连续、准确地采集、存储、传输、处理相关的信息。</w:t>
            </w:r>
          </w:p>
        </w:tc>
        <w:tc>
          <w:tcPr>
            <w:tcW w:w="2445" w:type="dxa"/>
            <w:shd w:val="clear" w:color="auto" w:fill="FFFFFF"/>
            <w:noWrap w:val="0"/>
            <w:vAlign w:val="center"/>
          </w:tcPr>
          <w:p>
            <w:pPr>
              <w:spacing w:line="30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现场检查</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文件查阅</w:t>
            </w:r>
          </w:p>
        </w:tc>
        <w:tc>
          <w:tcPr>
            <w:tcW w:w="6010" w:type="dxa"/>
            <w:shd w:val="clear" w:color="auto" w:fill="FFFFFF"/>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医院信息系统建设符合 《全国医院信息化建设标准与规范 (试行)》,业务应用信息系统包括便民服务、医疗服务、医疗管理、医疗协同、应用管理、后勤管理、科研管理、教学管理、人力资源管理等9类</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连续、准确采集、存储、传输、处理相关信息</w:t>
            </w:r>
            <w:r>
              <w:rPr>
                <w:rFonts w:hint="eastAsia" w:ascii="仿宋_GB2312" w:hAnsi="仿宋_GB2312" w:eastAsia="仿宋_GB2312" w:cs="仿宋_GB2312"/>
                <w:b w:val="0"/>
                <w:bCs w:val="0"/>
                <w:i w:val="0"/>
                <w:iCs w:val="0"/>
                <w:color w:val="000000"/>
                <w:kern w:val="0"/>
                <w:sz w:val="24"/>
                <w:szCs w:val="24"/>
                <w:u w:val="none"/>
                <w:lang w:val="en-US" w:eastAsia="zh-CN" w:bidi="ar"/>
              </w:rPr>
              <w:t>（0.5分）。</w:t>
            </w:r>
          </w:p>
        </w:tc>
        <w:tc>
          <w:tcPr>
            <w:tcW w:w="1095" w:type="dxa"/>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1971" w:hRule="atLeast"/>
        </w:trPr>
        <w:tc>
          <w:tcPr>
            <w:tcW w:w="2065" w:type="dxa"/>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3.4.163</w:t>
            </w:r>
            <w:r>
              <w:rPr>
                <w:rFonts w:hint="eastAsia" w:ascii="仿宋_GB2312" w:hAnsi="仿宋_GB2312" w:eastAsia="仿宋_GB2312" w:cs="仿宋_GB2312"/>
                <w:b w:val="0"/>
                <w:bCs w:val="0"/>
                <w:color w:val="000000"/>
                <w:kern w:val="0"/>
                <w:sz w:val="24"/>
                <w:szCs w:val="24"/>
              </w:rPr>
              <w:t>.2</w:t>
            </w:r>
          </w:p>
        </w:tc>
        <w:tc>
          <w:tcPr>
            <w:tcW w:w="3065" w:type="dxa"/>
            <w:gridSpan w:val="2"/>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医院信息系统能够为医院管理、临床医疗和服务提供包括决策支持类的信息技术支撑。</w:t>
            </w:r>
          </w:p>
        </w:tc>
        <w:tc>
          <w:tcPr>
            <w:tcW w:w="2445" w:type="dxa"/>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现场检查</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文件查阅</w:t>
            </w: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医院信息化建设应用符合《公立医院运营管理信息化功能指引》要求,整体功能涵盖医教研防业务活动、综合管理、财务、资产、人力、事项、运营管理决策、数据基础、基础管理与集成9大类业务，45级163个功能点，能够为医院管理、临床医疗和服务提供包括决策支持类的信息技术支撑</w:t>
            </w:r>
            <w:r>
              <w:rPr>
                <w:rFonts w:hint="eastAsia" w:ascii="仿宋_GB2312" w:hAnsi="仿宋_GB2312" w:eastAsia="仿宋_GB2312" w:cs="仿宋_GB2312"/>
                <w:b w:val="0"/>
                <w:bCs w:val="0"/>
                <w:i w:val="0"/>
                <w:iCs w:val="0"/>
                <w:color w:val="000000"/>
                <w:kern w:val="0"/>
                <w:sz w:val="24"/>
                <w:szCs w:val="24"/>
                <w:u w:val="none"/>
                <w:lang w:val="en-US" w:eastAsia="zh-CN" w:bidi="ar"/>
              </w:rPr>
              <w:t>（1分）</w:t>
            </w:r>
            <w:r>
              <w:rPr>
                <w:rFonts w:hint="eastAsia" w:ascii="仿宋_GB2312" w:hAnsi="仿宋_GB2312" w:eastAsia="仿宋_GB2312" w:cs="仿宋_GB2312"/>
                <w:b w:val="0"/>
                <w:bCs w:val="0"/>
                <w:color w:val="000000"/>
                <w:kern w:val="0"/>
                <w:sz w:val="24"/>
                <w:szCs w:val="24"/>
                <w:lang w:val="en-US" w:eastAsia="zh-CN" w:bidi="ar"/>
              </w:rPr>
              <w:t>。</w:t>
            </w:r>
          </w:p>
        </w:tc>
        <w:tc>
          <w:tcPr>
            <w:tcW w:w="1095" w:type="dxa"/>
            <w:shd w:val="clear" w:color="auto" w:fill="FFFFFF"/>
            <w:noWrap w:val="0"/>
            <w:vAlign w:val="center"/>
          </w:tcPr>
          <w:p>
            <w:pPr>
              <w:widowControl/>
              <w:ind w:firstLine="480" w:firstLineChars="2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p>
            <w:pPr>
              <w:widowControl/>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7" w:hRule="atLeast"/>
        </w:trPr>
        <w:tc>
          <w:tcPr>
            <w:tcW w:w="2065"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3.4.163</w:t>
            </w:r>
            <w:r>
              <w:rPr>
                <w:rFonts w:hint="eastAsia" w:ascii="仿宋_GB2312" w:hAnsi="仿宋_GB2312" w:eastAsia="仿宋_GB2312" w:cs="仿宋_GB2312"/>
                <w:b w:val="0"/>
                <w:bCs w:val="0"/>
                <w:color w:val="000000"/>
                <w:kern w:val="0"/>
                <w:sz w:val="24"/>
                <w:szCs w:val="24"/>
              </w:rPr>
              <w:t>.3</w:t>
            </w:r>
          </w:p>
        </w:tc>
        <w:tc>
          <w:tcPr>
            <w:tcW w:w="3065"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根据国家相关规定，实现信息互联互通、交互共享。</w:t>
            </w:r>
          </w:p>
        </w:tc>
        <w:tc>
          <w:tcPr>
            <w:tcW w:w="2445"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现场检查</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员工访谈</w:t>
            </w: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b w:val="0"/>
                <w:bCs w:val="0"/>
                <w:color w:val="000000"/>
                <w:kern w:val="0"/>
                <w:sz w:val="24"/>
                <w:szCs w:val="24"/>
                <w:lang w:bidi="ar"/>
              </w:rPr>
              <w:t>医院实现信息互联互通、交互共享</w:t>
            </w:r>
            <w:r>
              <w:rPr>
                <w:rFonts w:hint="eastAsia" w:ascii="仿宋_GB2312" w:hAnsi="仿宋_GB2312" w:eastAsia="仿宋_GB2312" w:cs="仿宋_GB2312"/>
                <w:b w:val="0"/>
                <w:bCs w:val="0"/>
                <w:i w:val="0"/>
                <w:iCs w:val="0"/>
                <w:color w:val="000000"/>
                <w:kern w:val="0"/>
                <w:sz w:val="24"/>
                <w:szCs w:val="24"/>
                <w:u w:val="none"/>
                <w:lang w:val="en-US" w:eastAsia="zh-CN" w:bidi="ar"/>
              </w:rPr>
              <w:t>（0.3分）；</w:t>
            </w:r>
          </w:p>
        </w:tc>
        <w:tc>
          <w:tcPr>
            <w:tcW w:w="1095"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p>
            <w:pPr>
              <w:widowControl/>
              <w:ind w:firstLine="240" w:firstLineChars="100"/>
              <w:jc w:val="center"/>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785" w:hRule="atLeast"/>
        </w:trPr>
        <w:tc>
          <w:tcPr>
            <w:tcW w:w="2065" w:type="dxa"/>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p>
        </w:tc>
        <w:tc>
          <w:tcPr>
            <w:tcW w:w="3065" w:type="dxa"/>
            <w:gridSpan w:val="2"/>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bidi="ar"/>
              </w:rPr>
              <w:t>2.有互联互通相关系统技术文档，设备文档和佐证材料（0.1分）；</w:t>
            </w:r>
          </w:p>
        </w:tc>
        <w:tc>
          <w:tcPr>
            <w:tcW w:w="1095" w:type="dxa"/>
            <w:vMerge w:val="continue"/>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730" w:hRule="atLeast"/>
        </w:trPr>
        <w:tc>
          <w:tcPr>
            <w:tcW w:w="206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065"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按照自治区要求，实现与自治区全民健康信息平台等对接</w:t>
            </w:r>
            <w:r>
              <w:rPr>
                <w:rFonts w:hint="eastAsia" w:ascii="仿宋_GB2312" w:hAnsi="仿宋_GB2312" w:eastAsia="仿宋_GB2312" w:cs="仿宋_GB2312"/>
                <w:b w:val="0"/>
                <w:bCs w:val="0"/>
                <w:i w:val="0"/>
                <w:iCs w:val="0"/>
                <w:color w:val="000000"/>
                <w:kern w:val="0"/>
                <w:sz w:val="24"/>
                <w:szCs w:val="24"/>
                <w:u w:val="none"/>
                <w:lang w:val="en-US" w:eastAsia="zh-CN" w:bidi="ar"/>
              </w:rPr>
              <w:t>（0.2分）；</w:t>
            </w:r>
          </w:p>
        </w:tc>
        <w:tc>
          <w:tcPr>
            <w:tcW w:w="109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31" w:hRule="atLeast"/>
        </w:trPr>
        <w:tc>
          <w:tcPr>
            <w:tcW w:w="206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065"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4</w:t>
            </w:r>
            <w:r>
              <w:rPr>
                <w:rFonts w:hint="eastAsia" w:ascii="仿宋_GB2312" w:hAnsi="仿宋_GB2312" w:eastAsia="仿宋_GB2312" w:cs="仿宋_GB2312"/>
                <w:b w:val="0"/>
                <w:bCs w:val="0"/>
                <w:color w:val="000000"/>
                <w:kern w:val="0"/>
                <w:sz w:val="24"/>
                <w:szCs w:val="24"/>
                <w:lang w:bidi="ar"/>
              </w:rPr>
              <w:t>.有与公共卫生专业机构共享、围绕新发传染病预防控制、突发公共卫生事件应急处置等内容，按要求向属地卫生健康行政部门报告情况，与公共卫生专业机构共享相关数据（0.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9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71" w:hRule="atLeast"/>
        </w:trPr>
        <w:tc>
          <w:tcPr>
            <w:tcW w:w="206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065"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spacing w:line="320" w:lineRule="exact"/>
              <w:jc w:val="left"/>
              <w:textAlignment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5</w:t>
            </w:r>
            <w:r>
              <w:rPr>
                <w:rFonts w:hint="eastAsia" w:ascii="仿宋_GB2312" w:hAnsi="仿宋_GB2312" w:eastAsia="仿宋_GB2312" w:cs="仿宋_GB2312"/>
                <w:b w:val="0"/>
                <w:bCs w:val="0"/>
                <w:color w:val="000000"/>
                <w:kern w:val="0"/>
                <w:sz w:val="24"/>
                <w:szCs w:val="24"/>
                <w:lang w:bidi="ar"/>
              </w:rPr>
              <w:t>.访谈信息上报人员及信息科相关人员，不知晓相关制度扣0.05分/人次，扣完为止（0.2分）。</w:t>
            </w:r>
          </w:p>
        </w:tc>
        <w:tc>
          <w:tcPr>
            <w:tcW w:w="109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84" w:hRule="atLeast"/>
        </w:trPr>
        <w:tc>
          <w:tcPr>
            <w:tcW w:w="14680" w:type="dxa"/>
            <w:gridSpan w:val="6"/>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一百六十四</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落实《中华人</w:t>
            </w:r>
            <w:r>
              <w:rPr>
                <w:rFonts w:hint="eastAsia" w:ascii="仿宋_GB2312" w:hAnsi="仿宋_GB2312" w:eastAsia="仿宋_GB2312" w:cs="仿宋_GB2312"/>
                <w:b w:val="0"/>
                <w:bCs w:val="0"/>
                <w:color w:val="000000"/>
                <w:kern w:val="0"/>
                <w:sz w:val="24"/>
                <w:szCs w:val="24"/>
                <w:lang w:val="en-US" w:eastAsia="zh-CN"/>
              </w:rPr>
              <w:t>民</w:t>
            </w:r>
            <w:r>
              <w:rPr>
                <w:rFonts w:hint="eastAsia" w:ascii="仿宋_GB2312" w:hAnsi="仿宋_GB2312" w:eastAsia="仿宋_GB2312" w:cs="仿宋_GB2312"/>
                <w:b w:val="0"/>
                <w:bCs w:val="0"/>
                <w:color w:val="000000"/>
                <w:kern w:val="0"/>
                <w:sz w:val="24"/>
                <w:szCs w:val="24"/>
              </w:rPr>
              <w:t>共和国网络安全法》，实施国家信息安全等级保护制度，实行信息系统按等级保护分级管理，保障网络信息安全，保护患者隐私。推动系统运行维护的规范化管理，落实突发事件响应机制，保证业务的连续性</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2.5分</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74" w:hRule="atLeast"/>
        </w:trPr>
        <w:tc>
          <w:tcPr>
            <w:tcW w:w="2065"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3.4.164</w:t>
            </w:r>
            <w:r>
              <w:rPr>
                <w:rFonts w:hint="eastAsia" w:ascii="仿宋_GB2312" w:hAnsi="仿宋_GB2312" w:eastAsia="仿宋_GB2312" w:cs="仿宋_GB2312"/>
                <w:b w:val="0"/>
                <w:bCs w:val="0"/>
                <w:color w:val="000000"/>
                <w:kern w:val="0"/>
                <w:sz w:val="24"/>
                <w:szCs w:val="24"/>
              </w:rPr>
              <w:t>.1</w:t>
            </w:r>
          </w:p>
        </w:tc>
        <w:tc>
          <w:tcPr>
            <w:tcW w:w="3065"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落实《中华人</w:t>
            </w:r>
            <w:r>
              <w:rPr>
                <w:rFonts w:hint="eastAsia" w:ascii="仿宋_GB2312" w:hAnsi="仿宋_GB2312" w:eastAsia="仿宋_GB2312" w:cs="仿宋_GB2312"/>
                <w:b w:val="0"/>
                <w:bCs w:val="0"/>
                <w:color w:val="000000"/>
                <w:sz w:val="24"/>
                <w:szCs w:val="24"/>
                <w:lang w:val="en-US" w:eastAsia="zh-CN"/>
              </w:rPr>
              <w:t>民</w:t>
            </w:r>
            <w:r>
              <w:rPr>
                <w:rFonts w:hint="eastAsia" w:ascii="仿宋_GB2312" w:hAnsi="仿宋_GB2312" w:eastAsia="仿宋_GB2312" w:cs="仿宋_GB2312"/>
                <w:b w:val="0"/>
                <w:bCs w:val="0"/>
                <w:color w:val="000000"/>
                <w:sz w:val="24"/>
                <w:szCs w:val="24"/>
              </w:rPr>
              <w:t>共和国网络安全法》，实施国家信息安全等级保护制度，实行信息系统按等级保护分级管理，保障网络信息安全，保护患者隐私。</w:t>
            </w:r>
          </w:p>
        </w:tc>
        <w:tc>
          <w:tcPr>
            <w:tcW w:w="2445"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现场检查</w:t>
            </w:r>
          </w:p>
        </w:tc>
        <w:tc>
          <w:tcPr>
            <w:tcW w:w="6010" w:type="dxa"/>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kern w:val="0"/>
                <w:sz w:val="24"/>
                <w:szCs w:val="24"/>
                <w:lang w:bidi="ar"/>
              </w:rPr>
              <w:t>建立</w:t>
            </w:r>
            <w:r>
              <w:rPr>
                <w:rFonts w:hint="eastAsia" w:ascii="仿宋_GB2312" w:hAnsi="仿宋_GB2312" w:eastAsia="仿宋_GB2312" w:cs="仿宋_GB2312"/>
                <w:b w:val="0"/>
                <w:bCs w:val="0"/>
                <w:color w:val="000000"/>
                <w:kern w:val="0"/>
                <w:sz w:val="24"/>
                <w:szCs w:val="24"/>
                <w:lang w:val="en-US" w:eastAsia="zh-CN" w:bidi="ar"/>
              </w:rPr>
              <w:t>有医院</w:t>
            </w:r>
            <w:r>
              <w:rPr>
                <w:rFonts w:hint="eastAsia" w:ascii="仿宋_GB2312" w:hAnsi="仿宋_GB2312" w:eastAsia="仿宋_GB2312" w:cs="仿宋_GB2312"/>
                <w:b w:val="0"/>
                <w:bCs w:val="0"/>
                <w:color w:val="000000"/>
                <w:kern w:val="0"/>
                <w:sz w:val="24"/>
                <w:szCs w:val="24"/>
                <w:lang w:bidi="ar"/>
              </w:rPr>
              <w:t>信息安全保护制度（0.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095" w:type="dxa"/>
            <w:vMerge w:val="restart"/>
            <w:shd w:val="clear" w:color="auto" w:fill="FFFFFF"/>
            <w:noWrap w:val="0"/>
            <w:vAlign w:val="center"/>
          </w:tcPr>
          <w:p>
            <w:pPr>
              <w:widowControl/>
              <w:ind w:firstLine="240" w:firstLineChars="100"/>
              <w:jc w:val="both"/>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0.6</w:t>
            </w:r>
          </w:p>
          <w:p>
            <w:pPr>
              <w:widowControl/>
              <w:ind w:firstLine="480" w:firstLineChars="200"/>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1388" w:hRule="atLeast"/>
        </w:trPr>
        <w:tc>
          <w:tcPr>
            <w:tcW w:w="206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065"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2.实行信息系统操作权限分级管理，信息安全采用身份认证、权限控制（包括数据库和运用系统）、患者数据使用控制、保障网络信息安全和保护患者隐私，实行三级等级保护制度（0.</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 xml:space="preserve">分）；  </w:t>
            </w:r>
          </w:p>
        </w:tc>
        <w:tc>
          <w:tcPr>
            <w:tcW w:w="109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03" w:hRule="atLeast"/>
        </w:trPr>
        <w:tc>
          <w:tcPr>
            <w:tcW w:w="206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065"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3.</w:t>
            </w:r>
            <w:r>
              <w:rPr>
                <w:rFonts w:hint="eastAsia" w:ascii="仿宋_GB2312" w:hAnsi="仿宋_GB2312" w:eastAsia="仿宋_GB2312" w:cs="仿宋_GB2312"/>
                <w:b w:val="0"/>
                <w:bCs w:val="0"/>
                <w:color w:val="000000"/>
                <w:kern w:val="0"/>
                <w:sz w:val="24"/>
                <w:szCs w:val="24"/>
                <w:lang w:val="en-US" w:eastAsia="zh-CN" w:bidi="ar"/>
              </w:rPr>
              <w:t>医院</w:t>
            </w:r>
            <w:r>
              <w:rPr>
                <w:rFonts w:hint="eastAsia" w:ascii="仿宋_GB2312" w:hAnsi="仿宋_GB2312" w:eastAsia="仿宋_GB2312" w:cs="仿宋_GB2312"/>
                <w:b w:val="0"/>
                <w:bCs w:val="0"/>
                <w:color w:val="000000"/>
                <w:kern w:val="0"/>
                <w:sz w:val="24"/>
                <w:szCs w:val="24"/>
                <w:lang w:bidi="ar"/>
              </w:rPr>
              <w:t>信息系统</w:t>
            </w:r>
            <w:r>
              <w:rPr>
                <w:rFonts w:hint="eastAsia" w:ascii="仿宋_GB2312" w:hAnsi="仿宋_GB2312" w:eastAsia="仿宋_GB2312" w:cs="仿宋_GB2312"/>
                <w:b w:val="0"/>
                <w:bCs w:val="0"/>
                <w:color w:val="000000"/>
                <w:kern w:val="0"/>
                <w:sz w:val="24"/>
                <w:szCs w:val="24"/>
                <w:lang w:val="en-US" w:eastAsia="zh-CN" w:bidi="ar"/>
              </w:rPr>
              <w:t>具备相应防护功能，包含</w:t>
            </w:r>
            <w:r>
              <w:rPr>
                <w:rFonts w:hint="eastAsia" w:ascii="仿宋_GB2312" w:hAnsi="仿宋_GB2312" w:eastAsia="仿宋_GB2312" w:cs="仿宋_GB2312"/>
                <w:b w:val="0"/>
                <w:bCs w:val="0"/>
                <w:color w:val="000000"/>
                <w:kern w:val="0"/>
                <w:sz w:val="24"/>
                <w:szCs w:val="24"/>
                <w:lang w:bidi="ar"/>
              </w:rPr>
              <w:t>防灾备份系统</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lang w:bidi="ar"/>
              </w:rPr>
              <w:t>网络运行监控，防病毒、</w:t>
            </w:r>
            <w:r>
              <w:rPr>
                <w:rFonts w:hint="eastAsia" w:ascii="仿宋_GB2312" w:hAnsi="仿宋_GB2312" w:eastAsia="仿宋_GB2312" w:cs="仿宋_GB2312"/>
                <w:b w:val="0"/>
                <w:bCs w:val="0"/>
                <w:color w:val="000000"/>
                <w:kern w:val="0"/>
                <w:sz w:val="24"/>
                <w:szCs w:val="24"/>
                <w:lang w:val="en-US" w:eastAsia="zh-CN" w:bidi="ar"/>
              </w:rPr>
              <w:t>防攻击、</w:t>
            </w:r>
            <w:r>
              <w:rPr>
                <w:rFonts w:hint="eastAsia" w:ascii="仿宋_GB2312" w:hAnsi="仿宋_GB2312" w:eastAsia="仿宋_GB2312" w:cs="仿宋_GB2312"/>
                <w:b w:val="0"/>
                <w:bCs w:val="0"/>
                <w:color w:val="000000"/>
                <w:kern w:val="0"/>
                <w:sz w:val="24"/>
                <w:szCs w:val="24"/>
                <w:lang w:bidi="ar"/>
              </w:rPr>
              <w:t>防入侵</w:t>
            </w:r>
            <w:r>
              <w:rPr>
                <w:rFonts w:hint="eastAsia" w:ascii="仿宋_GB2312" w:hAnsi="仿宋_GB2312" w:eastAsia="仿宋_GB2312" w:cs="仿宋_GB2312"/>
                <w:b w:val="0"/>
                <w:bCs w:val="0"/>
                <w:color w:val="000000"/>
                <w:kern w:val="0"/>
                <w:sz w:val="24"/>
                <w:szCs w:val="24"/>
                <w:lang w:val="en-US" w:eastAsia="zh-CN" w:bidi="ar"/>
              </w:rPr>
              <w:t>等</w:t>
            </w:r>
            <w:r>
              <w:rPr>
                <w:rFonts w:hint="eastAsia" w:ascii="仿宋_GB2312" w:hAnsi="仿宋_GB2312" w:eastAsia="仿宋_GB2312" w:cs="仿宋_GB2312"/>
                <w:b w:val="0"/>
                <w:bCs w:val="0"/>
                <w:color w:val="000000"/>
                <w:kern w:val="0"/>
                <w:sz w:val="24"/>
                <w:szCs w:val="24"/>
                <w:lang w:bidi="ar"/>
              </w:rPr>
              <w:t>措施（0.</w:t>
            </w: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b w:val="0"/>
                <w:bCs w:val="0"/>
                <w:color w:val="000000"/>
                <w:kern w:val="0"/>
                <w:sz w:val="24"/>
                <w:szCs w:val="24"/>
                <w:lang w:bidi="ar"/>
              </w:rPr>
              <w:t>分）；</w:t>
            </w:r>
          </w:p>
        </w:tc>
        <w:tc>
          <w:tcPr>
            <w:tcW w:w="109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9" w:hRule="atLeast"/>
        </w:trPr>
        <w:tc>
          <w:tcPr>
            <w:tcW w:w="206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065"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4.有主管部门</w:t>
            </w:r>
            <w:r>
              <w:rPr>
                <w:rFonts w:hint="eastAsia" w:ascii="仿宋_GB2312" w:hAnsi="仿宋_GB2312" w:eastAsia="仿宋_GB2312" w:cs="仿宋_GB2312"/>
                <w:b w:val="0"/>
                <w:bCs w:val="0"/>
                <w:color w:val="000000"/>
                <w:kern w:val="0"/>
                <w:sz w:val="24"/>
                <w:szCs w:val="24"/>
                <w:lang w:val="en-US" w:eastAsia="zh-CN" w:bidi="ar"/>
              </w:rPr>
              <w:t>定期</w:t>
            </w:r>
            <w:r>
              <w:rPr>
                <w:rFonts w:hint="eastAsia" w:ascii="仿宋_GB2312" w:hAnsi="仿宋_GB2312" w:eastAsia="仿宋_GB2312" w:cs="仿宋_GB2312"/>
                <w:b w:val="0"/>
                <w:bCs w:val="0"/>
                <w:color w:val="000000"/>
                <w:sz w:val="24"/>
                <w:szCs w:val="24"/>
              </w:rPr>
              <w:t>督查记录及整改措施（0.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9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91" w:hRule="atLeast"/>
        </w:trPr>
        <w:tc>
          <w:tcPr>
            <w:tcW w:w="2065"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3.4.164</w:t>
            </w:r>
            <w:r>
              <w:rPr>
                <w:rFonts w:hint="eastAsia" w:ascii="仿宋_GB2312" w:hAnsi="仿宋_GB2312" w:eastAsia="仿宋_GB2312" w:cs="仿宋_GB2312"/>
                <w:b w:val="0"/>
                <w:bCs w:val="0"/>
                <w:color w:val="000000"/>
                <w:kern w:val="0"/>
                <w:sz w:val="24"/>
                <w:szCs w:val="24"/>
              </w:rPr>
              <w:t>.2</w:t>
            </w:r>
          </w:p>
        </w:tc>
        <w:tc>
          <w:tcPr>
            <w:tcW w:w="3065"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推动系统运行维护的规范化管理，落实突发事件响应机制，保证业务的连续性。</w:t>
            </w:r>
          </w:p>
        </w:tc>
        <w:tc>
          <w:tcPr>
            <w:tcW w:w="2445"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现场检查</w:t>
            </w:r>
          </w:p>
        </w:tc>
        <w:tc>
          <w:tcPr>
            <w:tcW w:w="6010" w:type="dxa"/>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1.有信息网络运行、设备管理和维护、技术文档管理</w:t>
            </w:r>
            <w:r>
              <w:rPr>
                <w:rFonts w:hint="eastAsia" w:ascii="仿宋_GB2312" w:hAnsi="仿宋_GB2312" w:eastAsia="仿宋_GB2312" w:cs="仿宋_GB2312"/>
                <w:b w:val="0"/>
                <w:bCs w:val="0"/>
                <w:color w:val="000000"/>
                <w:sz w:val="24"/>
                <w:szCs w:val="24"/>
                <w:lang w:eastAsia="zh-CN"/>
              </w:rPr>
              <w:t>、</w:t>
            </w:r>
            <w:r>
              <w:rPr>
                <w:rStyle w:val="28"/>
                <w:rFonts w:hint="eastAsia" w:ascii="仿宋_GB2312" w:hAnsi="仿宋_GB2312" w:eastAsia="仿宋_GB2312" w:cs="仿宋_GB2312"/>
                <w:b w:val="0"/>
                <w:bCs w:val="0"/>
                <w:color w:val="000000"/>
                <w:sz w:val="24"/>
                <w:szCs w:val="24"/>
                <w:lang w:val="en-US" w:eastAsia="zh-CN" w:bidi="ar"/>
              </w:rPr>
              <w:t>数据查询管理</w:t>
            </w:r>
            <w:r>
              <w:rPr>
                <w:rFonts w:hint="eastAsia" w:ascii="仿宋_GB2312" w:hAnsi="仿宋_GB2312" w:eastAsia="仿宋_GB2312" w:cs="仿宋_GB2312"/>
                <w:b w:val="0"/>
                <w:bCs w:val="0"/>
                <w:color w:val="000000"/>
                <w:sz w:val="24"/>
                <w:szCs w:val="24"/>
              </w:rPr>
              <w:t>制度并落实（0.</w:t>
            </w:r>
            <w:r>
              <w:rPr>
                <w:rFonts w:hint="eastAsia" w:ascii="仿宋_GB2312" w:hAnsi="仿宋_GB2312" w:eastAsia="仿宋_GB2312" w:cs="仿宋_GB2312"/>
                <w:b w:val="0"/>
                <w:bCs w:val="0"/>
                <w:color w:val="000000"/>
                <w:sz w:val="24"/>
                <w:szCs w:val="24"/>
                <w:lang w:val="en-US" w:eastAsia="zh-CN"/>
              </w:rPr>
              <w:t>2分</w:t>
            </w:r>
            <w:r>
              <w:rPr>
                <w:rFonts w:hint="eastAsia" w:ascii="仿宋_GB2312" w:hAnsi="仿宋_GB2312" w:eastAsia="仿宋_GB2312" w:cs="仿宋_GB2312"/>
                <w:b w:val="0"/>
                <w:bCs w:val="0"/>
                <w:color w:val="000000"/>
                <w:sz w:val="24"/>
                <w:szCs w:val="24"/>
              </w:rPr>
              <w:t>）；</w:t>
            </w:r>
          </w:p>
        </w:tc>
        <w:tc>
          <w:tcPr>
            <w:tcW w:w="1095" w:type="dxa"/>
            <w:vMerge w:val="restart"/>
            <w:shd w:val="clear" w:color="auto" w:fill="FFFFFF"/>
            <w:noWrap w:val="0"/>
            <w:vAlign w:val="center"/>
          </w:tcPr>
          <w:p>
            <w:pPr>
              <w:widowControl/>
              <w:jc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0" w:hRule="atLeast"/>
        </w:trPr>
        <w:tc>
          <w:tcPr>
            <w:tcW w:w="2065" w:type="dxa"/>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065" w:type="dxa"/>
            <w:gridSpan w:val="2"/>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2.有信息值班、交接班制度（0.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分）；有信息系统变更、发布、配置管理制度（0.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分）；有完整的日常运维记录和值班记录（0.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分）；及时处置安全隐患（0.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color w:val="000000"/>
                <w:sz w:val="24"/>
                <w:szCs w:val="24"/>
                <w:lang w:eastAsia="zh-CN"/>
              </w:rPr>
              <w:t>共</w:t>
            </w:r>
            <w:r>
              <w:rPr>
                <w:rFonts w:hint="eastAsia" w:ascii="仿宋_GB2312" w:hAnsi="仿宋_GB2312" w:eastAsia="仿宋_GB2312" w:cs="仿宋_GB2312"/>
                <w:b w:val="0"/>
                <w:bCs w:val="0"/>
                <w:i w:val="0"/>
                <w:iCs w:val="0"/>
                <w:color w:val="000000"/>
                <w:kern w:val="0"/>
                <w:sz w:val="24"/>
                <w:szCs w:val="24"/>
                <w:u w:val="none"/>
                <w:lang w:val="en-US" w:eastAsia="zh-CN" w:bidi="ar"/>
              </w:rPr>
              <w:t>0.8分）</w:t>
            </w:r>
            <w:r>
              <w:rPr>
                <w:rFonts w:hint="eastAsia" w:ascii="仿宋_GB2312" w:hAnsi="仿宋_GB2312" w:eastAsia="仿宋_GB2312" w:cs="仿宋_GB2312"/>
                <w:b w:val="0"/>
                <w:bCs w:val="0"/>
                <w:color w:val="000000"/>
                <w:sz w:val="24"/>
                <w:szCs w:val="24"/>
              </w:rPr>
              <w:t>；</w:t>
            </w:r>
          </w:p>
        </w:tc>
        <w:tc>
          <w:tcPr>
            <w:tcW w:w="109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39" w:hRule="atLeast"/>
        </w:trPr>
        <w:tc>
          <w:tcPr>
            <w:tcW w:w="2065" w:type="dxa"/>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065" w:type="dxa"/>
            <w:gridSpan w:val="2"/>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3.有信息系统应急预案并开展演练（0.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9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26" w:hRule="atLeast"/>
        </w:trPr>
        <w:tc>
          <w:tcPr>
            <w:tcW w:w="2065" w:type="dxa"/>
            <w:vMerge w:val="continue"/>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065" w:type="dxa"/>
            <w:gridSpan w:val="2"/>
            <w:vMerge w:val="continue"/>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4.主管部门开展督查发现问题及时整改（0.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9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3" w:hRule="atLeast"/>
        </w:trPr>
        <w:tc>
          <w:tcPr>
            <w:tcW w:w="2065"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3.4.164</w:t>
            </w:r>
            <w:r>
              <w:rPr>
                <w:rFonts w:hint="eastAsia" w:ascii="仿宋_GB2312" w:hAnsi="仿宋_GB2312" w:eastAsia="仿宋_GB2312" w:cs="仿宋_GB2312"/>
                <w:b w:val="0"/>
                <w:bCs w:val="0"/>
                <w:color w:val="000000"/>
                <w:kern w:val="0"/>
                <w:sz w:val="24"/>
                <w:szCs w:val="24"/>
              </w:rPr>
              <w:t>.</w:t>
            </w:r>
            <w:r>
              <w:rPr>
                <w:rFonts w:hint="eastAsia" w:ascii="仿宋_GB2312" w:hAnsi="仿宋_GB2312" w:eastAsia="仿宋_GB2312" w:cs="仿宋_GB2312"/>
                <w:b w:val="0"/>
                <w:bCs w:val="0"/>
                <w:color w:val="000000"/>
                <w:kern w:val="0"/>
                <w:sz w:val="24"/>
                <w:szCs w:val="24"/>
                <w:lang w:val="en-US" w:eastAsia="zh-CN"/>
              </w:rPr>
              <w:t>3</w:t>
            </w:r>
          </w:p>
        </w:tc>
        <w:tc>
          <w:tcPr>
            <w:tcW w:w="3065"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医院定期对信息系统开展信息网络检查，保障信息安全。</w:t>
            </w:r>
          </w:p>
        </w:tc>
        <w:tc>
          <w:tcPr>
            <w:tcW w:w="2445"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tc>
        <w:tc>
          <w:tcPr>
            <w:tcW w:w="6010" w:type="dxa"/>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1.医院建立有信息网络安全日常巡检制度（0.</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分）；</w:t>
            </w:r>
          </w:p>
        </w:tc>
        <w:tc>
          <w:tcPr>
            <w:tcW w:w="1095" w:type="dxa"/>
            <w:vMerge w:val="restart"/>
            <w:shd w:val="clear" w:color="auto" w:fill="FFFFFF"/>
            <w:noWrap w:val="0"/>
            <w:vAlign w:val="center"/>
          </w:tcPr>
          <w:p>
            <w:pPr>
              <w:widowControl/>
              <w:ind w:firstLine="240" w:firstLineChars="100"/>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5" w:type="dxa"/>
          <w:trHeight w:val="732" w:hRule="atLeast"/>
        </w:trPr>
        <w:tc>
          <w:tcPr>
            <w:tcW w:w="206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065"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职能</w:t>
            </w:r>
            <w:r>
              <w:rPr>
                <w:rFonts w:hint="eastAsia" w:ascii="仿宋_GB2312" w:hAnsi="仿宋_GB2312" w:eastAsia="仿宋_GB2312" w:cs="仿宋_GB2312"/>
                <w:b w:val="0"/>
                <w:bCs w:val="0"/>
                <w:color w:val="000000"/>
                <w:kern w:val="0"/>
                <w:sz w:val="24"/>
                <w:szCs w:val="24"/>
                <w:lang w:bidi="ar"/>
              </w:rPr>
              <w:t>部门</w:t>
            </w:r>
            <w:r>
              <w:rPr>
                <w:rFonts w:hint="eastAsia" w:ascii="仿宋_GB2312" w:hAnsi="仿宋_GB2312" w:eastAsia="仿宋_GB2312" w:cs="仿宋_GB2312"/>
                <w:b w:val="0"/>
                <w:bCs w:val="0"/>
                <w:color w:val="000000"/>
                <w:kern w:val="0"/>
                <w:sz w:val="24"/>
                <w:szCs w:val="24"/>
                <w:lang w:val="en-US" w:eastAsia="zh-CN" w:bidi="ar"/>
              </w:rPr>
              <w:t>认真执行信息</w:t>
            </w:r>
            <w:r>
              <w:rPr>
                <w:rFonts w:hint="eastAsia" w:ascii="仿宋_GB2312" w:hAnsi="仿宋_GB2312" w:eastAsia="仿宋_GB2312" w:cs="仿宋_GB2312"/>
                <w:b w:val="0"/>
                <w:bCs w:val="0"/>
                <w:color w:val="000000"/>
                <w:kern w:val="0"/>
                <w:sz w:val="24"/>
                <w:szCs w:val="24"/>
                <w:lang w:bidi="ar"/>
              </w:rPr>
              <w:t>网络安全日常巡检</w:t>
            </w:r>
            <w:r>
              <w:rPr>
                <w:rFonts w:hint="eastAsia" w:ascii="仿宋_GB2312" w:hAnsi="仿宋_GB2312" w:eastAsia="仿宋_GB2312" w:cs="仿宋_GB2312"/>
                <w:b w:val="0"/>
                <w:bCs w:val="0"/>
                <w:color w:val="000000"/>
                <w:kern w:val="0"/>
                <w:sz w:val="24"/>
                <w:szCs w:val="24"/>
                <w:lang w:val="en-US" w:eastAsia="zh-CN" w:bidi="ar"/>
              </w:rPr>
              <w:t>工作</w:t>
            </w:r>
            <w:r>
              <w:rPr>
                <w:rFonts w:hint="eastAsia" w:ascii="仿宋_GB2312" w:hAnsi="仿宋_GB2312" w:eastAsia="仿宋_GB2312" w:cs="仿宋_GB2312"/>
                <w:b w:val="0"/>
                <w:bCs w:val="0"/>
                <w:color w:val="000000"/>
                <w:kern w:val="0"/>
                <w:sz w:val="24"/>
                <w:szCs w:val="24"/>
                <w:lang w:bidi="ar"/>
              </w:rPr>
              <w:t>，及时发现并解决安全隐患，有记录（0.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109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21" w:hRule="atLeast"/>
        </w:trPr>
        <w:tc>
          <w:tcPr>
            <w:tcW w:w="14680" w:type="dxa"/>
            <w:gridSpan w:val="6"/>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一百六十五</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《中华人民共和国统计法》与卫生健康行政部门规定，完成医院基本运行状况、医疗质量安全、诊疗信息和临床用药监测信息等相关数据报送工作，确保数据真实可靠、可追溯</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b w:val="0"/>
                <w:bCs w:val="0"/>
                <w:color w:val="000000"/>
                <w:kern w:val="0"/>
                <w:sz w:val="24"/>
                <w:szCs w:val="24"/>
                <w:lang w:bidi="ar"/>
              </w:rPr>
              <w:t>.</w:t>
            </w:r>
            <w:r>
              <w:rPr>
                <w:rFonts w:hint="eastAsia" w:ascii="仿宋_GB2312" w:hAnsi="仿宋_GB2312" w:eastAsia="仿宋_GB2312" w:cs="仿宋_GB2312"/>
                <w:b w:val="0"/>
                <w:bCs w:val="0"/>
                <w:color w:val="000000"/>
                <w:kern w:val="0"/>
                <w:sz w:val="24"/>
                <w:szCs w:val="24"/>
                <w:lang w:val="en-US" w:eastAsia="zh-CN" w:bidi="ar"/>
              </w:rPr>
              <w:t>5</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r>
              <w:rPr>
                <w:rFonts w:hint="eastAsia" w:ascii="仿宋_GB2312" w:hAnsi="仿宋_GB2312" w:eastAsia="仿宋_GB2312" w:cs="仿宋_GB2312"/>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072"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3.4.165</w:t>
            </w:r>
            <w:r>
              <w:rPr>
                <w:rFonts w:hint="eastAsia" w:ascii="仿宋_GB2312" w:hAnsi="仿宋_GB2312" w:eastAsia="仿宋_GB2312" w:cs="仿宋_GB2312"/>
                <w:b w:val="0"/>
                <w:bCs w:val="0"/>
                <w:color w:val="000000"/>
                <w:kern w:val="0"/>
                <w:sz w:val="24"/>
                <w:szCs w:val="24"/>
              </w:rPr>
              <w:t>.1</w:t>
            </w:r>
          </w:p>
        </w:tc>
        <w:tc>
          <w:tcPr>
            <w:tcW w:w="3058"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根据《中华人民共和国统计法》与卫生健康行政部门规定，完成医院基本运行状况、医疗质量安全、医疗技术、诊疗信息和临床用药监测信息等相关数据报送工作。</w:t>
            </w:r>
          </w:p>
        </w:tc>
        <w:tc>
          <w:tcPr>
            <w:tcW w:w="2445"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数据核查</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现场检查</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病历检查</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病案检查</w:t>
            </w: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1.</w:t>
            </w:r>
            <w:r>
              <w:rPr>
                <w:rFonts w:hint="eastAsia" w:ascii="仿宋_GB2312" w:hAnsi="仿宋_GB2312" w:eastAsia="仿宋_GB2312" w:cs="仿宋_GB2312"/>
                <w:b w:val="0"/>
                <w:bCs w:val="0"/>
                <w:color w:val="000000"/>
                <w:kern w:val="0"/>
                <w:sz w:val="24"/>
                <w:szCs w:val="24"/>
                <w:lang w:val="en-US" w:eastAsia="zh-CN" w:bidi="ar"/>
              </w:rPr>
              <w:t>指定专门部门、专门人员负责医院数据统计、上报工作，职责明确</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5</w:t>
            </w:r>
            <w:r>
              <w:rPr>
                <w:rFonts w:hint="eastAsia" w:ascii="仿宋_GB2312" w:hAnsi="仿宋_GB2312" w:eastAsia="仿宋_GB2312" w:cs="仿宋_GB2312"/>
                <w:b w:val="0"/>
                <w:bCs w:val="0"/>
                <w:color w:val="000000"/>
                <w:kern w:val="0"/>
                <w:sz w:val="24"/>
                <w:szCs w:val="24"/>
                <w:lang w:bidi="ar"/>
              </w:rPr>
              <w:t>分）；</w:t>
            </w:r>
          </w:p>
        </w:tc>
        <w:tc>
          <w:tcPr>
            <w:tcW w:w="1110" w:type="dxa"/>
            <w:gridSpan w:val="2"/>
            <w:vMerge w:val="restart"/>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072" w:type="dxa"/>
            <w:gridSpan w:val="2"/>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3058"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查阅相关数据报告记录，无漏报</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5</w:t>
            </w:r>
            <w:r>
              <w:rPr>
                <w:rFonts w:hint="eastAsia" w:ascii="仿宋_GB2312" w:hAnsi="仿宋_GB2312" w:eastAsia="仿宋_GB2312" w:cs="仿宋_GB2312"/>
                <w:b w:val="0"/>
                <w:bCs w:val="0"/>
                <w:color w:val="000000"/>
                <w:kern w:val="0"/>
                <w:sz w:val="24"/>
                <w:szCs w:val="24"/>
                <w:lang w:bidi="ar"/>
              </w:rPr>
              <w:t>分）</w:t>
            </w:r>
            <w:r>
              <w:rPr>
                <w:rFonts w:hint="eastAsia" w:ascii="仿宋_GB2312" w:hAnsi="仿宋_GB2312" w:eastAsia="仿宋_GB2312" w:cs="仿宋_GB2312"/>
                <w:b w:val="0"/>
                <w:bCs w:val="0"/>
                <w:color w:val="000000"/>
                <w:kern w:val="0"/>
                <w:sz w:val="24"/>
                <w:szCs w:val="24"/>
                <w:lang w:eastAsia="zh-CN" w:bidi="ar"/>
              </w:rPr>
              <w:t>。</w:t>
            </w:r>
          </w:p>
        </w:tc>
        <w:tc>
          <w:tcPr>
            <w:tcW w:w="1110" w:type="dxa"/>
            <w:gridSpan w:val="2"/>
            <w:vMerge w:val="continue"/>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072" w:type="dxa"/>
            <w:gridSpan w:val="2"/>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3.4.165</w:t>
            </w:r>
            <w:r>
              <w:rPr>
                <w:rFonts w:hint="eastAsia" w:ascii="仿宋_GB2312" w:hAnsi="仿宋_GB2312" w:eastAsia="仿宋_GB2312" w:cs="仿宋_GB2312"/>
                <w:b w:val="0"/>
                <w:bCs w:val="0"/>
                <w:color w:val="000000"/>
                <w:kern w:val="0"/>
                <w:sz w:val="24"/>
                <w:szCs w:val="24"/>
              </w:rPr>
              <w:t>.2</w:t>
            </w:r>
          </w:p>
        </w:tc>
        <w:tc>
          <w:tcPr>
            <w:tcW w:w="3058" w:type="dxa"/>
            <w:vMerge w:val="restart"/>
            <w:shd w:val="clear" w:color="auto" w:fill="FFFFFF"/>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有内部数据核查制度，确保数据真实可靠，可追溯。</w:t>
            </w:r>
          </w:p>
        </w:tc>
        <w:tc>
          <w:tcPr>
            <w:tcW w:w="2445" w:type="dxa"/>
            <w:vMerge w:val="restart"/>
            <w:shd w:val="clear" w:color="auto" w:fill="FFFFFF"/>
            <w:noWrap w:val="0"/>
            <w:vAlign w:val="center"/>
          </w:tcPr>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rPr>
              <w:t>数据核查</w:t>
            </w: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1</w:t>
            </w:r>
            <w:r>
              <w:rPr>
                <w:rFonts w:hint="eastAsia" w:ascii="仿宋_GB2312" w:hAnsi="仿宋_GB2312" w:eastAsia="仿宋_GB2312" w:cs="仿宋_GB2312"/>
                <w:b w:val="0"/>
                <w:bCs w:val="0"/>
                <w:color w:val="000000"/>
                <w:kern w:val="0"/>
                <w:sz w:val="24"/>
                <w:szCs w:val="24"/>
                <w:lang w:val="en-US" w:eastAsia="zh-CN" w:bidi="ar"/>
              </w:rPr>
              <w:t>.建立有医院内部数据核查制度</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3</w:t>
            </w:r>
            <w:r>
              <w:rPr>
                <w:rFonts w:hint="eastAsia" w:ascii="仿宋_GB2312" w:hAnsi="仿宋_GB2312" w:eastAsia="仿宋_GB2312" w:cs="仿宋_GB2312"/>
                <w:b w:val="0"/>
                <w:bCs w:val="0"/>
                <w:color w:val="000000"/>
                <w:kern w:val="0"/>
                <w:sz w:val="24"/>
                <w:szCs w:val="24"/>
                <w:lang w:bidi="ar"/>
              </w:rPr>
              <w:t>分）；</w:t>
            </w:r>
          </w:p>
        </w:tc>
        <w:tc>
          <w:tcPr>
            <w:tcW w:w="1110" w:type="dxa"/>
            <w:gridSpan w:val="2"/>
            <w:vMerge w:val="restart"/>
            <w:shd w:val="clear" w:color="auto" w:fill="FFFFFF"/>
            <w:noWrap w:val="0"/>
            <w:vAlign w:val="center"/>
          </w:tcPr>
          <w:p>
            <w:pPr>
              <w:widowControl/>
              <w:jc w:val="center"/>
              <w:rPr>
                <w:rFonts w:hint="eastAsia" w:ascii="仿宋_GB2312" w:hAnsi="仿宋_GB2312" w:eastAsia="仿宋_GB2312" w:cs="仿宋_GB2312"/>
                <w:b w:val="0"/>
                <w:bCs w:val="0"/>
                <w:color w:val="000000"/>
                <w:kern w:val="0"/>
                <w:sz w:val="24"/>
                <w:szCs w:val="24"/>
              </w:rPr>
            </w:pP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072"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3058"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2445" w:type="dxa"/>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sz w:val="24"/>
                <w:szCs w:val="24"/>
              </w:rPr>
            </w:pPr>
          </w:p>
        </w:tc>
        <w:tc>
          <w:tcPr>
            <w:tcW w:w="6010"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2.</w:t>
            </w:r>
            <w:r>
              <w:rPr>
                <w:rFonts w:hint="eastAsia" w:ascii="仿宋_GB2312" w:hAnsi="仿宋_GB2312" w:eastAsia="仿宋_GB2312" w:cs="仿宋_GB2312"/>
                <w:b w:val="0"/>
                <w:bCs w:val="0"/>
                <w:color w:val="000000"/>
                <w:kern w:val="0"/>
                <w:sz w:val="24"/>
                <w:szCs w:val="24"/>
                <w:lang w:val="en-US" w:eastAsia="zh-CN" w:bidi="ar"/>
              </w:rPr>
              <w:t>查阅相关记录，有核查人员签名，数据真实可靠，可追溯</w:t>
            </w:r>
            <w:r>
              <w:rPr>
                <w:rFonts w:hint="eastAsia" w:ascii="仿宋_GB2312" w:hAnsi="仿宋_GB2312" w:eastAsia="仿宋_GB2312" w:cs="仿宋_GB2312"/>
                <w:b w:val="0"/>
                <w:bCs w:val="0"/>
                <w:color w:val="000000"/>
                <w:kern w:val="0"/>
                <w:sz w:val="24"/>
                <w:szCs w:val="24"/>
                <w:lang w:bidi="ar"/>
              </w:rPr>
              <w:t>（0.</w:t>
            </w: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bidi="ar"/>
              </w:rPr>
              <w:t>分）。</w:t>
            </w:r>
          </w:p>
        </w:tc>
        <w:tc>
          <w:tcPr>
            <w:tcW w:w="1110" w:type="dxa"/>
            <w:gridSpan w:val="2"/>
            <w:vMerge w:val="continue"/>
            <w:shd w:val="clear" w:color="auto" w:fill="FFFFFF"/>
            <w:noWrap w:val="0"/>
            <w:vAlign w:val="center"/>
          </w:tcPr>
          <w:p>
            <w:pPr>
              <w:widowControl/>
              <w:jc w:val="both"/>
              <w:rPr>
                <w:rFonts w:hint="eastAsia" w:ascii="仿宋_GB2312" w:hAnsi="仿宋_GB2312" w:eastAsia="仿宋_GB2312" w:cs="仿宋_GB2312"/>
                <w:b w:val="0"/>
                <w:bCs w:val="0"/>
                <w:color w:val="000000"/>
                <w:kern w:val="0"/>
                <w:sz w:val="24"/>
                <w:szCs w:val="24"/>
              </w:rPr>
            </w:pPr>
          </w:p>
        </w:tc>
      </w:tr>
    </w:tbl>
    <w:p>
      <w:pPr>
        <w:pStyle w:val="5"/>
        <w:bidi w:val="0"/>
        <w:rPr>
          <w:rFonts w:hint="eastAsia"/>
          <w:color w:val="000000"/>
        </w:rPr>
      </w:pPr>
      <w:bookmarkStart w:id="209" w:name="_Toc11992"/>
      <w:bookmarkStart w:id="210" w:name="_Toc22583"/>
      <w:bookmarkStart w:id="211" w:name="_Toc24838"/>
    </w:p>
    <w:p>
      <w:pPr>
        <w:pStyle w:val="5"/>
        <w:bidi w:val="0"/>
        <w:rPr>
          <w:rFonts w:hint="eastAsia"/>
          <w:color w:val="000000"/>
        </w:rPr>
      </w:pPr>
    </w:p>
    <w:p>
      <w:pPr>
        <w:pStyle w:val="5"/>
        <w:bidi w:val="0"/>
        <w:rPr>
          <w:rFonts w:hint="eastAsia"/>
          <w:color w:val="000000"/>
        </w:rPr>
      </w:pPr>
    </w:p>
    <w:p>
      <w:pPr>
        <w:pStyle w:val="5"/>
        <w:bidi w:val="0"/>
        <w:rPr>
          <w:rFonts w:hint="eastAsia"/>
          <w:color w:val="000000"/>
        </w:rPr>
      </w:pPr>
    </w:p>
    <w:p>
      <w:pPr>
        <w:pStyle w:val="5"/>
        <w:bidi w:val="0"/>
        <w:rPr>
          <w:rFonts w:hint="eastAsia"/>
          <w:color w:val="000000"/>
        </w:rPr>
      </w:pPr>
      <w:bookmarkStart w:id="212" w:name="_Toc25785"/>
      <w:r>
        <w:rPr>
          <w:rFonts w:hint="eastAsia"/>
          <w:color w:val="000000"/>
        </w:rPr>
        <w:t>五、医学装备管理</w:t>
      </w:r>
      <w:bookmarkEnd w:id="209"/>
      <w:r>
        <w:rPr>
          <w:rFonts w:hint="eastAsia"/>
          <w:color w:val="000000"/>
        </w:rPr>
        <w:t>（1</w:t>
      </w:r>
      <w:r>
        <w:rPr>
          <w:rFonts w:hint="eastAsia"/>
          <w:color w:val="000000"/>
          <w:lang w:val="en-US" w:eastAsia="zh-CN"/>
        </w:rPr>
        <w:t>1</w:t>
      </w:r>
      <w:r>
        <w:rPr>
          <w:rFonts w:hint="eastAsia"/>
          <w:color w:val="000000"/>
        </w:rPr>
        <w:t>分）</w:t>
      </w:r>
      <w:bookmarkEnd w:id="210"/>
      <w:bookmarkEnd w:id="211"/>
      <w:bookmarkEnd w:id="212"/>
    </w:p>
    <w:tbl>
      <w:tblPr>
        <w:tblStyle w:val="14"/>
        <w:tblW w:w="14696"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346"/>
        <w:gridCol w:w="5345"/>
        <w:gridCol w:w="1269"/>
        <w:gridCol w:w="462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blHeader/>
        </w:trPr>
        <w:tc>
          <w:tcPr>
            <w:tcW w:w="7691" w:type="dxa"/>
            <w:gridSpan w:val="2"/>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评审指标细则</w:t>
            </w:r>
          </w:p>
        </w:tc>
        <w:tc>
          <w:tcPr>
            <w:tcW w:w="1269" w:type="dxa"/>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评审方法</w:t>
            </w:r>
          </w:p>
        </w:tc>
        <w:tc>
          <w:tcPr>
            <w:tcW w:w="4626" w:type="dxa"/>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评分细则</w:t>
            </w:r>
          </w:p>
        </w:tc>
        <w:tc>
          <w:tcPr>
            <w:tcW w:w="1110" w:type="dxa"/>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96" w:type="dxa"/>
            <w:gridSpan w:val="5"/>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（一百六十六）根据国家法律法规及相关规定，建立和完善医学装备管理组织架构，人员配置合理，制定常规或大型医学装备配置方案</w:t>
            </w:r>
            <w:r>
              <w:rPr>
                <w:rStyle w:val="37"/>
                <w:rFonts w:hint="eastAsia" w:ascii="仿宋_GB2312" w:hAnsi="仿宋_GB2312" w:eastAsia="仿宋_GB2312" w:cs="仿宋_GB2312"/>
                <w:b w:val="0"/>
                <w:bCs w:val="0"/>
                <w:color w:val="000000"/>
                <w:sz w:val="24"/>
                <w:szCs w:val="24"/>
                <w:highlight w:val="none"/>
                <w:lang w:val="en-US" w:eastAsia="zh-CN" w:bidi="ar"/>
              </w:rPr>
              <w:t>（0.8分）</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3.5.166.</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根据国家法律法规及相关规定，建立和完善医学装备管理组织架构，人员配置合理。</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w:t>
            </w:r>
            <w:r>
              <w:rPr>
                <w:rStyle w:val="45"/>
                <w:rFonts w:hint="eastAsia" w:ascii="仿宋_GB2312" w:hAnsi="仿宋_GB2312" w:eastAsia="仿宋_GB2312" w:cs="仿宋_GB2312"/>
                <w:b w:val="0"/>
                <w:bCs w:val="0"/>
                <w:color w:val="000000"/>
                <w:sz w:val="24"/>
                <w:szCs w:val="24"/>
                <w:highlight w:val="none"/>
                <w:lang w:val="en-US" w:eastAsia="zh-CN" w:bidi="ar"/>
              </w:rPr>
              <w:t>和完善医学装备</w:t>
            </w:r>
            <w:r>
              <w:rPr>
                <w:rStyle w:val="37"/>
                <w:rFonts w:hint="eastAsia" w:ascii="仿宋_GB2312" w:hAnsi="仿宋_GB2312" w:eastAsia="仿宋_GB2312" w:cs="仿宋_GB2312"/>
                <w:b w:val="0"/>
                <w:bCs w:val="0"/>
                <w:color w:val="000000"/>
                <w:sz w:val="24"/>
                <w:szCs w:val="24"/>
                <w:highlight w:val="none"/>
                <w:lang w:val="en-US" w:eastAsia="zh-CN" w:bidi="ar"/>
              </w:rPr>
              <w:t>组织架构，成立医学装备管理委员会（0.2分）；</w:t>
            </w:r>
          </w:p>
        </w:tc>
        <w:tc>
          <w:tcPr>
            <w:tcW w:w="1110"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2.医学装备管理部门配备有相适应的医学工程及其他专业技术人员（0.2分）。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3.5.166.</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制定常规或大型医学装备配置方案。</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1.制定有医院常规或大型医学装备配置方案（0.2分）；</w:t>
            </w:r>
          </w:p>
        </w:tc>
        <w:tc>
          <w:tcPr>
            <w:tcW w:w="1110"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2.现场检查医院常规或大型医学装备与制定的配置方案相匹配（0.2分）。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96" w:type="dxa"/>
            <w:gridSpan w:val="5"/>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（一百六十七）根据医院功能定位和发展规划，有大型医用设备使用、功能开发、社会效益、成本效益等分析评价（1.5分）。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3.5.167.</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根据医院功能定位和发展规划，鼓励与规范医用设备使用、功能开发。</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1.医院有规范使用医用设备的操作规程（SOP）（0.2分）；</w:t>
            </w:r>
          </w:p>
        </w:tc>
        <w:tc>
          <w:tcPr>
            <w:tcW w:w="1110" w:type="dxa"/>
            <w:vMerge w:val="restart"/>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Style w:val="45"/>
                <w:rFonts w:hint="eastAsia" w:ascii="仿宋_GB2312" w:hAnsi="仿宋_GB2312" w:eastAsia="仿宋_GB2312" w:cs="仿宋_GB2312"/>
                <w:b w:val="0"/>
                <w:bCs w:val="0"/>
                <w:color w:val="000000"/>
                <w:sz w:val="24"/>
                <w:szCs w:val="24"/>
                <w:highlight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346"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2.制定有医用设备功能开发的鼓励措施并用案例体现（0.2分）；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346"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3.大型设备实现区域卫生资源共享，设备使用率高（0.2分）。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3.5.167.</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开展医用设备的社会效益、成本效益等分析评价。</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1.医院制定有医学装备使用评价相关制度（0.2分）；</w:t>
            </w:r>
          </w:p>
        </w:tc>
        <w:tc>
          <w:tcPr>
            <w:tcW w:w="1110" w:type="dxa"/>
            <w:vMerge w:val="restart"/>
            <w:shd w:val="clear" w:color="auto" w:fill="FFFFFF"/>
            <w:noWrap w:val="0"/>
            <w:vAlign w:val="center"/>
          </w:tcPr>
          <w:p>
            <w:pPr>
              <w:keepNext w:val="0"/>
              <w:keepLines w:val="0"/>
              <w:widowControl/>
              <w:suppressLineNumbers w:val="0"/>
              <w:ind w:firstLineChars="1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2.定期对医用设备的社会效益、成本效益等进行分析评价（0.3分）。</w:t>
            </w:r>
          </w:p>
        </w:tc>
        <w:tc>
          <w:tcPr>
            <w:tcW w:w="1110"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3.5.167.</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配置医用设备应当符合国务院卫生健康主管部门制定的医用设备配置规划，与功能定位、临床服务需求相适应，具有相应的技术条件、配套设施和具备相应资质、能力的专业技术人员，并经省级以上卫生健康主管部门批准，取得医用设备配置许可证。</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1.医用设备配置符合国家或省市级卫生健康主管部门的规划设置（0.1分）；</w:t>
            </w:r>
          </w:p>
        </w:tc>
        <w:tc>
          <w:tcPr>
            <w:tcW w:w="1110" w:type="dxa"/>
            <w:vMerge w:val="restart"/>
            <w:shd w:val="clear" w:color="auto" w:fill="FFFFFF"/>
            <w:noWrap w:val="0"/>
            <w:vAlign w:val="center"/>
          </w:tcPr>
          <w:p>
            <w:pPr>
              <w:keepNext w:val="0"/>
              <w:keepLines w:val="0"/>
              <w:widowControl/>
              <w:suppressLineNumbers w:val="0"/>
              <w:ind w:firstLineChars="1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2.配置大型医用设备前有充分的调研与论证，有相应数据支撑（0.1分）；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3.有相应的硬件设施支持，如场馆、电力供应、用水等，并实施对周围环境影响的评估（0.1分）；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4.有具备相应资质、能力的专业技术人员，取得大型设备的操作许可证（0.1分）。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696" w:type="dxa"/>
            <w:gridSpan w:val="5"/>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（一百六十八）加强医学装备安全管理，有明确的医疗器械临床使用安全控制与风险管理工作制度与流程。建立医疗器械临床使用安全事件监测与报告机制（2分）。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3.5.168.</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加强医学装备安全管理，有明确的医疗器械临床使用安全控制与风险管理工作制度与流程。</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数据核查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1.有医学装备临床使用安全控制与风险管理制度与流程(0.2分)；</w:t>
            </w:r>
          </w:p>
        </w:tc>
        <w:tc>
          <w:tcPr>
            <w:tcW w:w="1110" w:type="dxa"/>
            <w:vMerge w:val="restart"/>
            <w:shd w:val="clear" w:color="auto" w:fill="FFFFFF"/>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3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2.有医学装备质量保障要求，如：操作者自我检查，医学装备计（剂）量准确、安全防护、性能指标符合要求，对暂停或终止使用的高风险器械有记录（0.2分）；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3.有生命支持类、急救类、植入类、辐射类、灭菌类和大型医用设备等医学装备临床使用安全监测与报告制度（0.2分）；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4.访谈员工知晓相关制度与流程（0.2分）；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5.主管部门有监管、分析、反馈，并检查科室整改落实情况（0.2分）。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3.5.168</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建立医疗器械临床使用安全事件监测与报告机制。</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1.建立有医疗器械临床使用安全事件监测与报告机制，有鼓励医疗器械临床使用不良事件报告的措施（0.2分）；</w:t>
            </w:r>
          </w:p>
        </w:tc>
        <w:tc>
          <w:tcPr>
            <w:tcW w:w="1110" w:type="dxa"/>
            <w:vMerge w:val="restart"/>
            <w:shd w:val="clear" w:color="auto" w:fill="FFFFFF"/>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2.有不良事件报告信息平台，报告信息完整无漏报（0.2分）；</w:t>
            </w:r>
          </w:p>
        </w:tc>
        <w:tc>
          <w:tcPr>
            <w:tcW w:w="1110" w:type="dxa"/>
            <w:vMerge w:val="continue"/>
            <w:shd w:val="clear" w:color="auto" w:fill="FFFFFF"/>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3.按要求向有关部门报告医疗器械临床使用安全事件并有相关记录（0.2分）；</w:t>
            </w:r>
          </w:p>
        </w:tc>
        <w:tc>
          <w:tcPr>
            <w:tcW w:w="1110"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4.访谈员工知晓不良事件报告制度和流程（0.2分）；</w:t>
            </w:r>
          </w:p>
        </w:tc>
        <w:tc>
          <w:tcPr>
            <w:tcW w:w="1110"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5.主管部门有监管、分析、反馈，并检查科室整改落实情况（0.2分）。</w:t>
            </w:r>
          </w:p>
        </w:tc>
        <w:tc>
          <w:tcPr>
            <w:tcW w:w="1110"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696" w:type="dxa"/>
            <w:gridSpan w:val="5"/>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（一百六十九）加强医疗仪器设备管理和使用人员的培训，为医疗器械临床合理使用提供技术支持与咨询服务（1分）。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3.5.169</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加强医疗仪器设备管理和使用人员的培训，有考核。</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1.制定有医疗仪器设备管理和使用人员的培训计划及考核方法（0.1分）；</w:t>
            </w:r>
          </w:p>
        </w:tc>
        <w:tc>
          <w:tcPr>
            <w:tcW w:w="1110"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2.定期对设备管理和使用人员开展培训并有考核记录（0.2分）；</w:t>
            </w:r>
          </w:p>
        </w:tc>
        <w:tc>
          <w:tcPr>
            <w:tcW w:w="1110" w:type="dxa"/>
            <w:vMerge w:val="continue"/>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3.现场考核相关工作人员操作（0.2分）。</w:t>
            </w:r>
          </w:p>
        </w:tc>
        <w:tc>
          <w:tcPr>
            <w:tcW w:w="1110" w:type="dxa"/>
            <w:vMerge w:val="continue"/>
            <w:shd w:val="clear" w:color="auto" w:fill="FFFFFF"/>
            <w:noWrap w:val="0"/>
            <w:vAlign w:val="center"/>
          </w:tcPr>
          <w:p>
            <w:pPr>
              <w:jc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3.5.169</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为医疗器械临床合理使用提供技术支持与咨询服务。</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1.有指导临床使用仪器的相关资料（0.2分）；</w:t>
            </w:r>
          </w:p>
        </w:tc>
        <w:tc>
          <w:tcPr>
            <w:tcW w:w="1110"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2.有技术支持工程人员联系方式，大型设备有技术工程师的巡检记录（0.2分）；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r>
              <w:rPr>
                <w:rStyle w:val="45"/>
                <w:rFonts w:hint="eastAsia" w:ascii="仿宋_GB2312" w:hAnsi="仿宋_GB2312" w:eastAsia="仿宋_GB2312" w:cs="仿宋_GB2312"/>
                <w:b w:val="0"/>
                <w:bCs w:val="0"/>
                <w:color w:val="000000"/>
                <w:sz w:val="24"/>
                <w:szCs w:val="24"/>
                <w:highlight w:val="none"/>
                <w:lang w:val="en-US" w:eastAsia="zh-CN" w:bidi="ar"/>
              </w:rPr>
              <w:t>访谈员工知晓提供技术支持与咨询服务的途径（0.1分）。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96" w:type="dxa"/>
            <w:gridSpan w:val="5"/>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（一百七十）建立保障医学装备处于完好状态的制度与规范，对用于急救、生命支持系统仪器装备要始终保持在待用状态，建立全院应急调配机制（2.2分）。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3.5.170</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建立保障医学装备处于完好状态的制度与规范。</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1.医院建立有保障医学装备处于完好状态的制度与规范（0.2分）；</w:t>
            </w:r>
          </w:p>
        </w:tc>
        <w:tc>
          <w:tcPr>
            <w:tcW w:w="1110"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sz w:val="24"/>
                <w:szCs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2.制定有统一的医学装备运行状态标识，标识内容完整（0.3分）；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3.使用科室定期自查并有记录（0.3分）；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4.主管部门有监管、分析、反馈，并检查科室整改落实情况（0.2分）。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3.5.170</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急救、生命支持系统仪器装备应始终保持在待用状态。</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员工操作</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w:t>
            </w:r>
            <w:r>
              <w:rPr>
                <w:rStyle w:val="45"/>
                <w:rFonts w:hint="eastAsia" w:ascii="仿宋_GB2312" w:hAnsi="仿宋_GB2312" w:eastAsia="仿宋_GB2312" w:cs="仿宋_GB2312"/>
                <w:b w:val="0"/>
                <w:bCs w:val="0"/>
                <w:color w:val="000000"/>
                <w:sz w:val="24"/>
                <w:szCs w:val="24"/>
                <w:highlight w:val="none"/>
                <w:lang w:val="en-US" w:eastAsia="zh-CN" w:bidi="ar"/>
              </w:rPr>
              <w:t>急救、生命支持系统仪器装备</w:t>
            </w:r>
            <w:r>
              <w:rPr>
                <w:rStyle w:val="46"/>
                <w:rFonts w:hint="eastAsia" w:ascii="仿宋_GB2312" w:hAnsi="仿宋_GB2312" w:eastAsia="仿宋_GB2312" w:cs="仿宋_GB2312"/>
                <w:b w:val="0"/>
                <w:bCs w:val="0"/>
                <w:color w:val="000000"/>
                <w:sz w:val="24"/>
                <w:szCs w:val="24"/>
                <w:highlight w:val="none"/>
                <w:lang w:val="en-US" w:eastAsia="zh-CN" w:bidi="ar"/>
              </w:rPr>
              <w:t>清单（0.1分）；</w:t>
            </w:r>
          </w:p>
        </w:tc>
        <w:tc>
          <w:tcPr>
            <w:tcW w:w="1110" w:type="dxa"/>
            <w:vMerge w:val="restart"/>
            <w:shd w:val="clear" w:color="auto" w:fill="FFFFFF"/>
            <w:noWrap w:val="0"/>
            <w:vAlign w:val="center"/>
          </w:tcPr>
          <w:p>
            <w:pPr>
              <w:keepNext w:val="0"/>
              <w:keepLines w:val="0"/>
              <w:widowControl/>
              <w:suppressLineNumbers w:val="0"/>
              <w:ind w:firstLineChars="1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2.使用科室建立急救、生命支持系统仪器装备使用状态记录表（0.2分）；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3.主管部门对急救类、生命支持类装备完好情况和使用情况有监管、分析、反馈，并检查科室整改落实情况</w:t>
            </w:r>
            <w:r>
              <w:rPr>
                <w:rStyle w:val="45"/>
                <w:rFonts w:hint="eastAsia" w:ascii="仿宋_GB2312" w:hAnsi="仿宋_GB2312" w:eastAsia="仿宋_GB2312" w:cs="仿宋_GB2312"/>
                <w:b w:val="0"/>
                <w:bCs w:val="0"/>
                <w:color w:val="000000"/>
                <w:sz w:val="24"/>
                <w:szCs w:val="24"/>
                <w:highlight w:val="none"/>
                <w:lang w:val="en-US" w:eastAsia="zh-CN" w:bidi="ar"/>
              </w:rPr>
              <w:t>（0.2分）；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4.现场抽查</w:t>
            </w:r>
            <w:r>
              <w:rPr>
                <w:rStyle w:val="45"/>
                <w:rFonts w:hint="eastAsia" w:ascii="仿宋_GB2312" w:hAnsi="仿宋_GB2312" w:eastAsia="仿宋_GB2312" w:cs="仿宋_GB2312"/>
                <w:b w:val="0"/>
                <w:bCs w:val="0"/>
                <w:color w:val="000000"/>
                <w:sz w:val="24"/>
                <w:szCs w:val="24"/>
                <w:highlight w:val="none"/>
                <w:lang w:val="en-US" w:eastAsia="zh-CN" w:bidi="ar"/>
              </w:rPr>
              <w:t>急救、生命支持系统仪器装备是否处于</w:t>
            </w:r>
            <w:r>
              <w:rPr>
                <w:rStyle w:val="46"/>
                <w:rFonts w:hint="eastAsia" w:ascii="仿宋_GB2312" w:hAnsi="仿宋_GB2312" w:eastAsia="仿宋_GB2312" w:cs="仿宋_GB2312"/>
                <w:b w:val="0"/>
                <w:bCs w:val="0"/>
                <w:color w:val="000000"/>
                <w:sz w:val="24"/>
                <w:szCs w:val="24"/>
                <w:highlight w:val="none"/>
                <w:lang w:val="en-US" w:eastAsia="zh-CN" w:bidi="ar"/>
              </w:rPr>
              <w:t>待用状态（0.2分）。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3.5.170</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建立全院应急调配机制。</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1.建立与规模、功能相匹配的生命支持医疗器械故障的应急管理预案，装备故障时有紧急替代流程（0.1分）；</w:t>
            </w:r>
          </w:p>
        </w:tc>
        <w:tc>
          <w:tcPr>
            <w:tcW w:w="1110" w:type="dxa"/>
            <w:vMerge w:val="restart"/>
            <w:shd w:val="clear" w:color="auto" w:fill="FFFFFF"/>
            <w:noWrap w:val="0"/>
            <w:vAlign w:val="center"/>
          </w:tcPr>
          <w:p>
            <w:pPr>
              <w:keepNext w:val="0"/>
              <w:keepLines w:val="0"/>
              <w:widowControl/>
              <w:suppressLineNumbers w:val="0"/>
              <w:ind w:firstLineChars="1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2.优先保障急救类、生命支持类装备的应急调配（0.1分）；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3.有设备应急调配预案的演练资料，有总结分析及改进措施（0.2分）；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4.谈员工知晓应急调配相关内容</w:t>
            </w:r>
            <w:r>
              <w:rPr>
                <w:rStyle w:val="45"/>
                <w:rFonts w:hint="eastAsia" w:ascii="仿宋_GB2312" w:hAnsi="仿宋_GB2312" w:eastAsia="仿宋_GB2312" w:cs="仿宋_GB2312"/>
                <w:b w:val="0"/>
                <w:bCs w:val="0"/>
                <w:color w:val="000000"/>
                <w:sz w:val="24"/>
                <w:szCs w:val="24"/>
                <w:highlight w:val="none"/>
                <w:lang w:val="en-US" w:eastAsia="zh-CN" w:bidi="ar"/>
              </w:rPr>
              <w:t>（0.1分）。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696" w:type="dxa"/>
            <w:gridSpan w:val="5"/>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（一百七十一）依据国家相关规定，加强对医用耗材的溯源、不良事件监测与报告的管理（2分）。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3.5.171</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依据国家相关规定，加强对医用耗材的溯源管理。</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r>
              <w:rPr>
                <w:rStyle w:val="45"/>
                <w:rFonts w:hint="eastAsia" w:ascii="仿宋_GB2312" w:hAnsi="仿宋_GB2312" w:eastAsia="仿宋_GB2312" w:cs="仿宋_GB2312"/>
                <w:b w:val="0"/>
                <w:bCs w:val="0"/>
                <w:color w:val="000000"/>
                <w:sz w:val="24"/>
                <w:szCs w:val="24"/>
                <w:highlight w:val="none"/>
                <w:lang w:val="en-US" w:eastAsia="zh-CN" w:bidi="ar"/>
              </w:rPr>
              <w:t>有对医用耗材溯源管理的相关规定</w:t>
            </w:r>
            <w:r>
              <w:rPr>
                <w:rStyle w:val="46"/>
                <w:rFonts w:hint="eastAsia" w:ascii="仿宋_GB2312" w:hAnsi="仿宋_GB2312" w:eastAsia="仿宋_GB2312" w:cs="仿宋_GB2312"/>
                <w:b w:val="0"/>
                <w:bCs w:val="0"/>
                <w:color w:val="000000"/>
                <w:sz w:val="24"/>
                <w:szCs w:val="24"/>
                <w:highlight w:val="none"/>
                <w:lang w:val="en-US" w:eastAsia="zh-CN" w:bidi="ar"/>
              </w:rPr>
              <w:t>（0.2分）；</w:t>
            </w:r>
          </w:p>
        </w:tc>
        <w:tc>
          <w:tcPr>
            <w:tcW w:w="1110"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2.有医用耗材、一次性使用无菌器械的采购记录，可追溯到每批产品的进货来源（0.2分）；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3.有医用耗材使用程序与记录（0.2分）；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4.使用科室对医用耗材使用情况有重点监控、点评，对存在问题有整改（0.2分）；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5.主管部门有监管、分析、反馈，并检查科室整改落实情况（0.2分）。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3.5.171</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医用耗材不良事件监测与报告工作机制健全，流程规范，报告质量和数量符合相关规定。</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1.有医用耗材使用不良事件报告与监测相关制度和流程（0.2分）；</w:t>
            </w:r>
          </w:p>
        </w:tc>
        <w:tc>
          <w:tcPr>
            <w:tcW w:w="1110" w:type="dxa"/>
            <w:vMerge w:val="restart"/>
            <w:shd w:val="clear" w:color="auto" w:fill="FFFFFF"/>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2.有医用耗材使用不良事件报告案例，报告质量和数量符合规定（0.2分）；</w:t>
            </w:r>
          </w:p>
        </w:tc>
        <w:tc>
          <w:tcPr>
            <w:tcW w:w="1110" w:type="dxa"/>
            <w:vMerge w:val="continue"/>
            <w:shd w:val="clear" w:color="auto" w:fill="FFFFFF"/>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r>
              <w:rPr>
                <w:rStyle w:val="45"/>
                <w:rFonts w:hint="eastAsia" w:ascii="仿宋_GB2312" w:hAnsi="仿宋_GB2312" w:eastAsia="仿宋_GB2312" w:cs="仿宋_GB2312"/>
                <w:b w:val="0"/>
                <w:bCs w:val="0"/>
                <w:color w:val="000000"/>
                <w:sz w:val="24"/>
                <w:szCs w:val="24"/>
                <w:highlight w:val="none"/>
                <w:lang w:val="en-US" w:eastAsia="zh-CN" w:bidi="ar"/>
              </w:rPr>
              <w:t>使用科室</w:t>
            </w:r>
            <w:r>
              <w:rPr>
                <w:rStyle w:val="46"/>
                <w:rFonts w:hint="eastAsia" w:ascii="仿宋_GB2312" w:hAnsi="仿宋_GB2312" w:eastAsia="仿宋_GB2312" w:cs="仿宋_GB2312"/>
                <w:b w:val="0"/>
                <w:bCs w:val="0"/>
                <w:color w:val="000000"/>
                <w:sz w:val="24"/>
                <w:szCs w:val="24"/>
                <w:highlight w:val="none"/>
                <w:lang w:val="en-US" w:eastAsia="zh-CN" w:bidi="ar"/>
              </w:rPr>
              <w:t>对重点监控耗材有点评记录（0.2分）；</w:t>
            </w:r>
          </w:p>
        </w:tc>
        <w:tc>
          <w:tcPr>
            <w:tcW w:w="1110"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4.主管部门对耗材管理检查资料，有评估、分析、反馈及改进措施</w:t>
            </w:r>
            <w:r>
              <w:rPr>
                <w:rStyle w:val="45"/>
                <w:rFonts w:hint="eastAsia" w:ascii="仿宋_GB2312" w:hAnsi="仿宋_GB2312" w:eastAsia="仿宋_GB2312" w:cs="仿宋_GB2312"/>
                <w:b w:val="0"/>
                <w:bCs w:val="0"/>
                <w:color w:val="000000"/>
                <w:sz w:val="24"/>
                <w:szCs w:val="24"/>
                <w:highlight w:val="none"/>
                <w:lang w:val="en-US" w:eastAsia="zh-CN" w:bidi="ar"/>
              </w:rPr>
              <w:t>（0.2分）；</w:t>
            </w:r>
          </w:p>
        </w:tc>
        <w:tc>
          <w:tcPr>
            <w:tcW w:w="1110"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5.访谈</w:t>
            </w:r>
            <w:r>
              <w:rPr>
                <w:rStyle w:val="45"/>
                <w:rFonts w:hint="eastAsia" w:ascii="仿宋_GB2312" w:hAnsi="仿宋_GB2312" w:eastAsia="仿宋_GB2312" w:cs="仿宋_GB2312"/>
                <w:b w:val="0"/>
                <w:bCs w:val="0"/>
                <w:color w:val="000000"/>
                <w:sz w:val="24"/>
                <w:szCs w:val="24"/>
                <w:highlight w:val="none"/>
                <w:lang w:val="en-US" w:eastAsia="zh-CN" w:bidi="ar"/>
              </w:rPr>
              <w:t>员工知晓</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医用耗材</w:t>
            </w:r>
            <w:r>
              <w:rPr>
                <w:rStyle w:val="45"/>
                <w:rFonts w:hint="eastAsia" w:ascii="仿宋_GB2312" w:hAnsi="仿宋_GB2312" w:eastAsia="仿宋_GB2312" w:cs="仿宋_GB2312"/>
                <w:b w:val="0"/>
                <w:bCs w:val="0"/>
                <w:color w:val="000000"/>
                <w:sz w:val="24"/>
                <w:szCs w:val="24"/>
                <w:highlight w:val="none"/>
                <w:lang w:val="en-US" w:eastAsia="zh-CN" w:bidi="ar"/>
              </w:rPr>
              <w:t>不良事件相关规定</w:t>
            </w:r>
            <w:r>
              <w:rPr>
                <w:rStyle w:val="46"/>
                <w:rFonts w:hint="eastAsia" w:ascii="仿宋_GB2312" w:hAnsi="仿宋_GB2312" w:eastAsia="仿宋_GB2312" w:cs="仿宋_GB2312"/>
                <w:b w:val="0"/>
                <w:bCs w:val="0"/>
                <w:color w:val="000000"/>
                <w:sz w:val="24"/>
                <w:szCs w:val="24"/>
                <w:highlight w:val="none"/>
                <w:lang w:val="en-US" w:eastAsia="zh-CN" w:bidi="ar"/>
              </w:rPr>
              <w:t>（0.2分）。</w:t>
            </w:r>
          </w:p>
        </w:tc>
        <w:tc>
          <w:tcPr>
            <w:tcW w:w="1110"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696" w:type="dxa"/>
            <w:gridSpan w:val="5"/>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（一百七十二）医学装备部门与使用部门共同管理医学装备，医学装备部门建立质量安全小组，使用部门将医学装备纳入科室管理（1.5分）。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3.5.172</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建立医学装备部门与使用部门共同管理医学装备的机制。</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Style w:val="37"/>
                <w:rFonts w:hint="eastAsia" w:ascii="仿宋_GB2312" w:hAnsi="仿宋_GB2312" w:eastAsia="仿宋_GB2312" w:cs="仿宋_GB2312"/>
                <w:b w:val="0"/>
                <w:bCs w:val="0"/>
                <w:color w:val="000000"/>
                <w:sz w:val="24"/>
                <w:szCs w:val="24"/>
                <w:highlight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1.医学装备管理实行机构领导、医学装备管理部门与使用部门三级管理制度，成立医学装备管理委员会（0.2分）；</w:t>
            </w:r>
          </w:p>
        </w:tc>
        <w:tc>
          <w:tcPr>
            <w:tcW w:w="1110" w:type="dxa"/>
            <w:vMerge w:val="restart"/>
            <w:shd w:val="clear" w:color="auto" w:fill="FFFFFF"/>
            <w:noWrap w:val="0"/>
            <w:vAlign w:val="center"/>
          </w:tcPr>
          <w:p>
            <w:pPr>
              <w:keepNext w:val="0"/>
              <w:keepLines w:val="0"/>
              <w:widowControl/>
              <w:suppressLineNumbers w:val="0"/>
              <w:ind w:firstLineChars="1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2.建立有医学装备部门与使用部门共同管理医学装备的机制（0.3分）。</w:t>
            </w:r>
          </w:p>
        </w:tc>
        <w:tc>
          <w:tcPr>
            <w:tcW w:w="1110"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3.5.172</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医学装备部门建立质量安全小组</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1.医学装备部门成立质量与安全管理小组，小组成员至少包括科主任、工程师与具备资质的质量控制人员，职责明确（0.1分）；</w:t>
            </w:r>
          </w:p>
        </w:tc>
        <w:tc>
          <w:tcPr>
            <w:tcW w:w="1110" w:type="dxa"/>
            <w:vMerge w:val="restart"/>
            <w:shd w:val="clear" w:color="auto" w:fill="FFFFFF"/>
            <w:noWrap w:val="0"/>
            <w:vAlign w:val="center"/>
          </w:tcPr>
          <w:p>
            <w:pPr>
              <w:keepNext w:val="0"/>
              <w:keepLines w:val="0"/>
              <w:widowControl/>
              <w:suppressLineNumbers w:val="0"/>
              <w:ind w:firstLineChars="1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2.制定有质量与安全管理小组年度工作计划并实施（0.2分）；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3.有数据或案例体现质量与安全管理小组工作有成效（0.2分）。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346"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3.5.172</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p>
        </w:tc>
        <w:tc>
          <w:tcPr>
            <w:tcW w:w="5345" w:type="dxa"/>
            <w:vMerge w:val="restart"/>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医学装备使用部门将医学装备纳入科室管理。</w:t>
            </w:r>
          </w:p>
        </w:tc>
        <w:tc>
          <w:tcPr>
            <w:tcW w:w="1269" w:type="dxa"/>
            <w:vMerge w:val="restart"/>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现场检查</w:t>
            </w:r>
          </w:p>
        </w:tc>
        <w:tc>
          <w:tcPr>
            <w:tcW w:w="4626" w:type="dxa"/>
            <w:shd w:val="clear" w:color="auto" w:fill="FFFFFF"/>
            <w:noWrap w:val="0"/>
            <w:vAlign w:val="center"/>
          </w:tcPr>
          <w:p>
            <w:pPr>
              <w:keepNext w:val="0"/>
              <w:keepLines w:val="0"/>
              <w:widowControl/>
              <w:suppressLineNumbers w:val="0"/>
              <w:jc w:val="both"/>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1.使用科室对新购仪器设备有培训考核记录（0.1分）；</w:t>
            </w:r>
          </w:p>
        </w:tc>
        <w:tc>
          <w:tcPr>
            <w:tcW w:w="1110" w:type="dxa"/>
            <w:vMerge w:val="restart"/>
            <w:shd w:val="clear" w:color="auto" w:fill="FFFFFF"/>
            <w:noWrap w:val="0"/>
            <w:vAlign w:val="center"/>
          </w:tcPr>
          <w:p>
            <w:pPr>
              <w:keepNext w:val="0"/>
              <w:keepLines w:val="0"/>
              <w:widowControl/>
              <w:suppressLineNumbers w:val="0"/>
              <w:ind w:firstLineChars="10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0"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2.使用科室有仪器设备维护保养、自查记录（0.1分）；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3.使用科室有设备管理台账（0.1分）；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4.有医用设备预防性维护保养相关规定并执行（0.1分）；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346"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bookmarkStart w:id="213" w:name="_Toc29163"/>
          </w:p>
        </w:tc>
        <w:tc>
          <w:tcPr>
            <w:tcW w:w="5345"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c>
          <w:tcPr>
            <w:tcW w:w="1269" w:type="dxa"/>
            <w:vMerge w:val="continue"/>
            <w:shd w:val="clear" w:color="auto" w:fill="FFFFFF"/>
            <w:noWrap/>
            <w:vAlign w:val="center"/>
          </w:tcPr>
          <w:p>
            <w:pPr>
              <w:rPr>
                <w:rFonts w:hint="eastAsia" w:ascii="仿宋_GB2312" w:hAnsi="仿宋_GB2312" w:eastAsia="仿宋_GB2312" w:cs="仿宋_GB2312"/>
                <w:b w:val="0"/>
                <w:bCs w:val="0"/>
                <w:i w:val="0"/>
                <w:iCs w:val="0"/>
                <w:color w:val="000000"/>
                <w:sz w:val="24"/>
                <w:szCs w:val="24"/>
                <w:highlight w:val="none"/>
                <w:u w:val="none"/>
              </w:rPr>
            </w:pPr>
          </w:p>
        </w:tc>
        <w:tc>
          <w:tcPr>
            <w:tcW w:w="4626" w:type="dxa"/>
            <w:shd w:val="clear" w:color="auto" w:fill="FFFFFF"/>
            <w:noWrap w:val="0"/>
            <w:vAlign w:val="center"/>
          </w:tcPr>
          <w:p>
            <w:pPr>
              <w:keepNext w:val="0"/>
              <w:keepLines w:val="0"/>
              <w:widowControl/>
              <w:suppressLineNumbers w:val="0"/>
              <w:jc w:val="both"/>
              <w:textAlignment w:val="center"/>
              <w:rPr>
                <w:rFonts w:hint="default"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5.主管部门对医用设备质量与安全管理情况有检查、分析、反馈，并检查科室整改落实情况（0.1分）。</w:t>
            </w:r>
          </w:p>
        </w:tc>
        <w:tc>
          <w:tcPr>
            <w:tcW w:w="1110" w:type="dxa"/>
            <w:vMerge w:val="continue"/>
            <w:shd w:val="clear" w:color="auto" w:fill="FFFFFF"/>
            <w:noWrap w:val="0"/>
            <w:vAlign w:val="center"/>
          </w:tcPr>
          <w:p>
            <w:pPr>
              <w:jc w:val="both"/>
              <w:rPr>
                <w:rFonts w:hint="eastAsia" w:ascii="仿宋_GB2312" w:hAnsi="仿宋_GB2312" w:eastAsia="仿宋_GB2312" w:cs="仿宋_GB2312"/>
                <w:b w:val="0"/>
                <w:bCs w:val="0"/>
                <w:i w:val="0"/>
                <w:iCs w:val="0"/>
                <w:color w:val="000000"/>
                <w:sz w:val="24"/>
                <w:szCs w:val="24"/>
                <w:highlight w:val="none"/>
                <w:u w:val="none"/>
              </w:rPr>
            </w:pPr>
          </w:p>
        </w:tc>
      </w:tr>
    </w:tbl>
    <w:p>
      <w:pPr>
        <w:pStyle w:val="5"/>
        <w:bidi w:val="0"/>
        <w:rPr>
          <w:rFonts w:hint="eastAsia"/>
          <w:color w:val="000000"/>
        </w:rPr>
      </w:pPr>
    </w:p>
    <w:p>
      <w:pPr>
        <w:pStyle w:val="5"/>
        <w:bidi w:val="0"/>
        <w:rPr>
          <w:color w:val="000000"/>
        </w:rPr>
      </w:pPr>
      <w:bookmarkStart w:id="214" w:name="_Toc22260"/>
      <w:bookmarkStart w:id="215" w:name="_Toc15708"/>
      <w:bookmarkStart w:id="216" w:name="_Toc10055"/>
      <w:r>
        <w:rPr>
          <w:rFonts w:hint="eastAsia"/>
          <w:color w:val="000000"/>
        </w:rPr>
        <w:t>六、后勤保障管理（1</w:t>
      </w:r>
      <w:r>
        <w:rPr>
          <w:rFonts w:hint="eastAsia"/>
          <w:color w:val="000000"/>
          <w:lang w:val="en-US" w:eastAsia="zh-CN"/>
        </w:rPr>
        <w:t>3</w:t>
      </w:r>
      <w:r>
        <w:rPr>
          <w:rFonts w:hint="eastAsia"/>
          <w:color w:val="000000"/>
        </w:rPr>
        <w:t>分）</w:t>
      </w:r>
      <w:bookmarkEnd w:id="213"/>
      <w:bookmarkEnd w:id="214"/>
      <w:bookmarkEnd w:id="215"/>
      <w:bookmarkEnd w:id="216"/>
    </w:p>
    <w:tbl>
      <w:tblPr>
        <w:tblStyle w:val="14"/>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5408"/>
        <w:gridCol w:w="1451"/>
        <w:gridCol w:w="4631"/>
        <w:gridCol w:w="1035"/>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61" w:hRule="atLeast"/>
          <w:tblHeader/>
        </w:trPr>
        <w:tc>
          <w:tcPr>
            <w:tcW w:w="7429" w:type="dxa"/>
            <w:gridSpan w:val="2"/>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eastAsia="zh-CN"/>
              </w:rPr>
              <w:t>指</w:t>
            </w:r>
            <w:r>
              <w:rPr>
                <w:rFonts w:hint="eastAsia" w:ascii="仿宋_GB2312" w:hAnsi="仿宋_GB2312" w:eastAsia="仿宋_GB2312" w:cs="仿宋_GB2312"/>
                <w:b/>
                <w:bCs/>
                <w:color w:val="000000"/>
                <w:sz w:val="24"/>
                <w:szCs w:val="24"/>
              </w:rPr>
              <w:t>标</w:t>
            </w:r>
            <w:r>
              <w:rPr>
                <w:rFonts w:hint="eastAsia" w:ascii="仿宋_GB2312" w:hAnsi="仿宋_GB2312" w:eastAsia="仿宋_GB2312" w:cs="仿宋_GB2312"/>
                <w:b/>
                <w:bCs/>
                <w:color w:val="000000"/>
                <w:sz w:val="24"/>
                <w:szCs w:val="24"/>
                <w:lang w:eastAsia="zh-CN"/>
              </w:rPr>
              <w:t>细则</w:t>
            </w:r>
          </w:p>
        </w:tc>
        <w:tc>
          <w:tcPr>
            <w:tcW w:w="1451"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4631"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1035" w:type="dxa"/>
            <w:shd w:val="clear" w:color="auto" w:fill="FEF2CC"/>
            <w:noWrap w:val="0"/>
            <w:vAlign w:val="center"/>
          </w:tcPr>
          <w:p>
            <w:pPr>
              <w:pStyle w:val="24"/>
              <w:spacing w:line="32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8" w:hRule="atLeast"/>
        </w:trPr>
        <w:tc>
          <w:tcPr>
            <w:tcW w:w="14546" w:type="dxa"/>
            <w:gridSpan w:val="5"/>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一百七十三</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有后勤保障管理组织、规章制度与人员岗位职责。后勤保障服务能够坚持“以患者为中心”，满足医疗服务流程需要，注重员工合理需求</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04"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3.6.173</w:t>
            </w:r>
            <w:r>
              <w:rPr>
                <w:rFonts w:hint="eastAsia" w:ascii="仿宋_GB2312" w:hAnsi="仿宋_GB2312" w:eastAsia="仿宋_GB2312" w:cs="仿宋_GB2312"/>
                <w:color w:val="000000"/>
                <w:kern w:val="0"/>
                <w:sz w:val="24"/>
                <w:szCs w:val="24"/>
              </w:rPr>
              <w:t>.1</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有后勤保障管理组织、规章制度与人员岗位职责。</w:t>
            </w:r>
          </w:p>
        </w:tc>
        <w:tc>
          <w:tcPr>
            <w:tcW w:w="1451" w:type="dxa"/>
            <w:vMerge w:val="restart"/>
            <w:noWrap w:val="0"/>
            <w:vAlign w:val="center"/>
          </w:tcPr>
          <w:p>
            <w:pPr>
              <w:spacing w:line="30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0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1.后勤保障管理组织机构健</w:t>
            </w:r>
            <w:r>
              <w:rPr>
                <w:rFonts w:hint="eastAsia" w:ascii="仿宋_GB2312" w:hAnsi="仿宋_GB2312" w:eastAsia="仿宋_GB2312" w:cs="仿宋_GB2312"/>
                <w:color w:val="000000"/>
                <w:kern w:val="0"/>
                <w:sz w:val="24"/>
                <w:szCs w:val="24"/>
                <w:lang w:eastAsia="zh-CN" w:bidi="ar"/>
              </w:rPr>
              <w:t>全</w:t>
            </w:r>
            <w:r>
              <w:rPr>
                <w:rFonts w:hint="eastAsia" w:ascii="仿宋_GB2312" w:hAnsi="仿宋_GB2312" w:eastAsia="仿宋_GB2312" w:cs="仿宋_GB2312"/>
                <w:color w:val="000000"/>
                <w:kern w:val="0"/>
                <w:sz w:val="24"/>
                <w:szCs w:val="24"/>
                <w:lang w:bidi="ar"/>
              </w:rPr>
              <w:t>，相关制度齐全，岗位职责明确（0.1分）；</w:t>
            </w:r>
          </w:p>
        </w:tc>
        <w:tc>
          <w:tcPr>
            <w:tcW w:w="1035" w:type="dxa"/>
            <w:vMerge w:val="restart"/>
            <w:noWrap w:val="0"/>
            <w:vAlign w:val="center"/>
          </w:tcPr>
          <w:p>
            <w:pPr>
              <w:widowControl/>
              <w:rPr>
                <w:rFonts w:hint="eastAsia" w:ascii="仿宋_GB2312" w:hAnsi="仿宋_GB2312" w:eastAsia="仿宋_GB2312" w:cs="仿宋_GB2312"/>
                <w:color w:val="000000"/>
                <w:kern w:val="0"/>
                <w:sz w:val="24"/>
                <w:szCs w:val="24"/>
              </w:rPr>
            </w:pPr>
          </w:p>
          <w:p>
            <w:pPr>
              <w:widowControl/>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94" w:hRule="atLeast"/>
        </w:trPr>
        <w:tc>
          <w:tcPr>
            <w:tcW w:w="2021"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eastAsia="zh-CN" w:bidi="ar"/>
              </w:rPr>
              <w:t>定期对</w:t>
            </w:r>
            <w:r>
              <w:rPr>
                <w:rFonts w:hint="eastAsia" w:ascii="仿宋_GB2312" w:hAnsi="仿宋_GB2312" w:eastAsia="仿宋_GB2312" w:cs="仿宋_GB2312"/>
                <w:color w:val="000000"/>
                <w:kern w:val="0"/>
                <w:sz w:val="24"/>
                <w:szCs w:val="24"/>
                <w:lang w:bidi="ar"/>
              </w:rPr>
              <w:t>后勤</w:t>
            </w:r>
            <w:r>
              <w:rPr>
                <w:rFonts w:hint="eastAsia" w:ascii="仿宋_GB2312" w:hAnsi="仿宋_GB2312" w:eastAsia="仿宋_GB2312" w:cs="仿宋_GB2312"/>
                <w:color w:val="000000"/>
                <w:kern w:val="0"/>
                <w:sz w:val="24"/>
                <w:szCs w:val="24"/>
                <w:lang w:eastAsia="zh-CN" w:bidi="ar"/>
              </w:rPr>
              <w:t>管理与工作</w:t>
            </w:r>
            <w:r>
              <w:rPr>
                <w:rFonts w:hint="eastAsia" w:ascii="仿宋_GB2312" w:hAnsi="仿宋_GB2312" w:eastAsia="仿宋_GB2312" w:cs="仿宋_GB2312"/>
                <w:color w:val="000000"/>
                <w:kern w:val="0"/>
                <w:sz w:val="24"/>
                <w:szCs w:val="24"/>
                <w:lang w:bidi="ar"/>
              </w:rPr>
              <w:t>人员</w:t>
            </w:r>
            <w:r>
              <w:rPr>
                <w:rFonts w:hint="eastAsia" w:ascii="仿宋_GB2312" w:hAnsi="仿宋_GB2312" w:eastAsia="仿宋_GB2312" w:cs="仿宋_GB2312"/>
                <w:color w:val="000000"/>
                <w:kern w:val="0"/>
                <w:sz w:val="24"/>
                <w:szCs w:val="24"/>
                <w:lang w:eastAsia="zh-CN" w:bidi="ar"/>
              </w:rPr>
              <w:t>进行培训与考核</w:t>
            </w:r>
            <w:r>
              <w:rPr>
                <w:rFonts w:hint="eastAsia" w:ascii="仿宋_GB2312" w:hAnsi="仿宋_GB2312" w:eastAsia="仿宋_GB2312" w:cs="仿宋_GB2312"/>
                <w:color w:val="000000"/>
                <w:kern w:val="0"/>
                <w:sz w:val="24"/>
                <w:szCs w:val="24"/>
                <w:lang w:bidi="ar"/>
              </w:rPr>
              <w:t>（0.2分）；</w:t>
            </w:r>
          </w:p>
        </w:tc>
        <w:tc>
          <w:tcPr>
            <w:tcW w:w="1035"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04" w:hRule="atLeast"/>
        </w:trPr>
        <w:tc>
          <w:tcPr>
            <w:tcW w:w="202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eastAsia="zh-CN" w:bidi="ar"/>
              </w:rPr>
              <w:t>访谈员工知晓相关制度职责</w:t>
            </w:r>
            <w:r>
              <w:rPr>
                <w:rFonts w:hint="eastAsia" w:ascii="仿宋_GB2312" w:hAnsi="仿宋_GB2312" w:eastAsia="仿宋_GB2312" w:cs="仿宋_GB2312"/>
                <w:color w:val="000000"/>
                <w:kern w:val="0"/>
                <w:sz w:val="24"/>
                <w:szCs w:val="24"/>
                <w:lang w:bidi="ar"/>
              </w:rPr>
              <w:t>（0.2分）。</w:t>
            </w:r>
          </w:p>
        </w:tc>
        <w:tc>
          <w:tcPr>
            <w:tcW w:w="1035"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814"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3.6.173</w:t>
            </w:r>
            <w:r>
              <w:rPr>
                <w:rFonts w:hint="eastAsia" w:ascii="仿宋_GB2312" w:hAnsi="仿宋_GB2312" w:eastAsia="仿宋_GB2312" w:cs="仿宋_GB2312"/>
                <w:color w:val="000000"/>
                <w:kern w:val="0"/>
                <w:sz w:val="24"/>
                <w:szCs w:val="24"/>
              </w:rPr>
              <w:t>.2</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后勤保障服务能够坚持“以患者为中心”，满足医疗服务流程需要。</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eastAsia="zh-CN" w:bidi="ar"/>
              </w:rPr>
              <w:t>后勤保障部门制定有满足医疗服务流程需要的年度工作计划并实施</w:t>
            </w:r>
            <w:r>
              <w:rPr>
                <w:rFonts w:hint="eastAsia" w:ascii="仿宋_GB2312" w:hAnsi="仿宋_GB2312" w:eastAsia="仿宋_GB2312" w:cs="仿宋_GB2312"/>
                <w:color w:val="000000"/>
                <w:kern w:val="0"/>
                <w:sz w:val="24"/>
                <w:szCs w:val="24"/>
                <w:lang w:bidi="ar"/>
              </w:rPr>
              <w:t>（0.2分）；</w:t>
            </w:r>
          </w:p>
        </w:tc>
        <w:tc>
          <w:tcPr>
            <w:tcW w:w="1035" w:type="dxa"/>
            <w:vMerge w:val="restart"/>
            <w:noWrap w:val="0"/>
            <w:vAlign w:val="center"/>
          </w:tcPr>
          <w:p>
            <w:pPr>
              <w:widowControl/>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74" w:hRule="atLeast"/>
        </w:trPr>
        <w:tc>
          <w:tcPr>
            <w:tcW w:w="2021" w:type="dxa"/>
            <w:vMerge w:val="continue"/>
            <w:noWrap w:val="0"/>
            <w:vAlign w:val="center"/>
          </w:tcPr>
          <w:p>
            <w:pPr>
              <w:pStyle w:val="2"/>
              <w:rPr>
                <w:rFonts w:hint="eastAsia" w:ascii="仿宋_GB2312" w:hAnsi="仿宋_GB2312" w:eastAsia="仿宋_GB2312" w:cs="仿宋_GB2312"/>
                <w:color w:val="000000"/>
                <w:sz w:val="24"/>
                <w:szCs w:val="24"/>
              </w:rPr>
            </w:pPr>
          </w:p>
        </w:tc>
        <w:tc>
          <w:tcPr>
            <w:tcW w:w="5408" w:type="dxa"/>
            <w:vMerge w:val="continue"/>
            <w:noWrap w:val="0"/>
            <w:vAlign w:val="center"/>
          </w:tcPr>
          <w:p>
            <w:pPr>
              <w:pStyle w:val="2"/>
              <w:rPr>
                <w:rFonts w:hint="eastAsia" w:ascii="仿宋_GB2312" w:hAnsi="仿宋_GB2312" w:eastAsia="仿宋_GB2312" w:cs="仿宋_GB2312"/>
                <w:color w:val="000000"/>
                <w:sz w:val="24"/>
                <w:szCs w:val="24"/>
              </w:rPr>
            </w:pPr>
          </w:p>
        </w:tc>
        <w:tc>
          <w:tcPr>
            <w:tcW w:w="1451" w:type="dxa"/>
            <w:vMerge w:val="continue"/>
            <w:noWrap w:val="0"/>
            <w:vAlign w:val="center"/>
          </w:tcPr>
          <w:p>
            <w:pPr>
              <w:pStyle w:val="2"/>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2.后勤管理部门对后勤服务有自查，对存在问题有分析、总结、整改（0.2分）；</w:t>
            </w:r>
          </w:p>
        </w:tc>
        <w:tc>
          <w:tcPr>
            <w:tcW w:w="1035" w:type="dxa"/>
            <w:vMerge w:val="continue"/>
            <w:noWrap w:val="0"/>
            <w:vAlign w:val="center"/>
          </w:tcPr>
          <w:p>
            <w:pPr>
              <w:pStyle w:val="2"/>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814" w:hRule="atLeast"/>
        </w:trPr>
        <w:tc>
          <w:tcPr>
            <w:tcW w:w="2021" w:type="dxa"/>
            <w:vMerge w:val="continue"/>
            <w:noWrap w:val="0"/>
            <w:vAlign w:val="center"/>
          </w:tcPr>
          <w:p>
            <w:pPr>
              <w:pStyle w:val="2"/>
              <w:rPr>
                <w:rFonts w:hint="eastAsia" w:ascii="仿宋_GB2312" w:hAnsi="仿宋_GB2312" w:eastAsia="仿宋_GB2312" w:cs="仿宋_GB2312"/>
                <w:color w:val="000000"/>
                <w:sz w:val="24"/>
                <w:szCs w:val="24"/>
              </w:rPr>
            </w:pPr>
          </w:p>
        </w:tc>
        <w:tc>
          <w:tcPr>
            <w:tcW w:w="5408" w:type="dxa"/>
            <w:vMerge w:val="continue"/>
            <w:noWrap w:val="0"/>
            <w:vAlign w:val="center"/>
          </w:tcPr>
          <w:p>
            <w:pPr>
              <w:pStyle w:val="2"/>
              <w:rPr>
                <w:rFonts w:hint="eastAsia" w:ascii="仿宋_GB2312" w:hAnsi="仿宋_GB2312" w:eastAsia="仿宋_GB2312" w:cs="仿宋_GB2312"/>
                <w:color w:val="000000"/>
                <w:sz w:val="24"/>
                <w:szCs w:val="24"/>
              </w:rPr>
            </w:pPr>
          </w:p>
        </w:tc>
        <w:tc>
          <w:tcPr>
            <w:tcW w:w="1451" w:type="dxa"/>
            <w:vMerge w:val="continue"/>
            <w:noWrap w:val="0"/>
            <w:vAlign w:val="center"/>
          </w:tcPr>
          <w:p>
            <w:pPr>
              <w:pStyle w:val="2"/>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3.有患者对后勤服务的满意度调查</w:t>
            </w:r>
            <w:r>
              <w:rPr>
                <w:rFonts w:hint="eastAsia" w:ascii="仿宋_GB2312" w:hAnsi="仿宋_GB2312" w:eastAsia="仿宋_GB2312" w:cs="仿宋_GB2312"/>
                <w:color w:val="000000"/>
                <w:kern w:val="0"/>
                <w:sz w:val="24"/>
                <w:szCs w:val="24"/>
                <w:lang w:eastAsia="zh-CN" w:bidi="ar"/>
              </w:rPr>
              <w:t>，满意程度较高</w:t>
            </w:r>
            <w:r>
              <w:rPr>
                <w:rFonts w:hint="eastAsia" w:ascii="仿宋_GB2312" w:hAnsi="仿宋_GB2312" w:eastAsia="仿宋_GB2312" w:cs="仿宋_GB2312"/>
                <w:color w:val="000000"/>
                <w:kern w:val="0"/>
                <w:sz w:val="24"/>
                <w:szCs w:val="24"/>
                <w:lang w:bidi="ar"/>
              </w:rPr>
              <w:t>（0.2分）；</w:t>
            </w:r>
          </w:p>
        </w:tc>
        <w:tc>
          <w:tcPr>
            <w:tcW w:w="1035" w:type="dxa"/>
            <w:vMerge w:val="continue"/>
            <w:noWrap w:val="0"/>
            <w:vAlign w:val="center"/>
          </w:tcPr>
          <w:p>
            <w:pPr>
              <w:pStyle w:val="2"/>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9" w:hRule="atLeast"/>
        </w:trPr>
        <w:tc>
          <w:tcPr>
            <w:tcW w:w="2021" w:type="dxa"/>
            <w:vMerge w:val="continue"/>
            <w:noWrap w:val="0"/>
            <w:vAlign w:val="center"/>
          </w:tcPr>
          <w:p>
            <w:pPr>
              <w:pStyle w:val="2"/>
              <w:rPr>
                <w:rFonts w:hint="eastAsia" w:ascii="仿宋_GB2312" w:hAnsi="仿宋_GB2312" w:eastAsia="仿宋_GB2312" w:cs="仿宋_GB2312"/>
                <w:color w:val="000000"/>
                <w:sz w:val="24"/>
                <w:szCs w:val="24"/>
              </w:rPr>
            </w:pPr>
          </w:p>
        </w:tc>
        <w:tc>
          <w:tcPr>
            <w:tcW w:w="5408" w:type="dxa"/>
            <w:vMerge w:val="continue"/>
            <w:noWrap w:val="0"/>
            <w:vAlign w:val="center"/>
          </w:tcPr>
          <w:p>
            <w:pPr>
              <w:pStyle w:val="2"/>
              <w:rPr>
                <w:rFonts w:hint="eastAsia" w:ascii="仿宋_GB2312" w:hAnsi="仿宋_GB2312" w:eastAsia="仿宋_GB2312" w:cs="仿宋_GB2312"/>
                <w:color w:val="000000"/>
                <w:sz w:val="24"/>
                <w:szCs w:val="24"/>
              </w:rPr>
            </w:pPr>
          </w:p>
        </w:tc>
        <w:tc>
          <w:tcPr>
            <w:tcW w:w="1451" w:type="dxa"/>
            <w:vMerge w:val="continue"/>
            <w:noWrap w:val="0"/>
            <w:vAlign w:val="center"/>
          </w:tcPr>
          <w:p>
            <w:pPr>
              <w:pStyle w:val="2"/>
              <w:rPr>
                <w:rFonts w:hint="eastAsia" w:ascii="仿宋_GB2312" w:hAnsi="仿宋_GB2312" w:eastAsia="仿宋_GB2312" w:cs="仿宋_GB2312"/>
                <w:color w:val="000000"/>
                <w:sz w:val="24"/>
                <w:szCs w:val="24"/>
              </w:rPr>
            </w:pPr>
          </w:p>
        </w:tc>
        <w:tc>
          <w:tcPr>
            <w:tcW w:w="4631" w:type="dxa"/>
            <w:noWrap w:val="0"/>
            <w:vAlign w:val="center"/>
          </w:tcPr>
          <w:p>
            <w:pP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现场检查</w:t>
            </w:r>
            <w:r>
              <w:rPr>
                <w:rFonts w:hint="eastAsia" w:ascii="仿宋_GB2312" w:hAnsi="仿宋_GB2312" w:eastAsia="仿宋_GB2312" w:cs="仿宋_GB2312"/>
                <w:color w:val="000000"/>
                <w:sz w:val="24"/>
                <w:szCs w:val="24"/>
              </w:rPr>
              <w:t>后勤保障部门坚持“以患者为中心”具体措施</w:t>
            </w:r>
            <w:r>
              <w:rPr>
                <w:rFonts w:hint="eastAsia" w:ascii="仿宋_GB2312" w:hAnsi="仿宋_GB2312" w:eastAsia="仿宋_GB2312" w:cs="仿宋_GB2312"/>
                <w:color w:val="000000"/>
                <w:sz w:val="24"/>
                <w:szCs w:val="24"/>
                <w:lang w:eastAsia="zh-CN"/>
              </w:rPr>
              <w:t>的</w:t>
            </w:r>
            <w:r>
              <w:rPr>
                <w:rFonts w:hint="eastAsia" w:ascii="仿宋_GB2312" w:hAnsi="仿宋_GB2312" w:eastAsia="仿宋_GB2312" w:cs="仿宋_GB2312"/>
                <w:color w:val="000000"/>
                <w:sz w:val="24"/>
                <w:szCs w:val="24"/>
              </w:rPr>
              <w:t>落实情况（0.2分）；</w:t>
            </w:r>
          </w:p>
        </w:tc>
        <w:tc>
          <w:tcPr>
            <w:tcW w:w="1035" w:type="dxa"/>
            <w:vMerge w:val="continue"/>
            <w:noWrap w:val="0"/>
            <w:vAlign w:val="center"/>
          </w:tcPr>
          <w:p>
            <w:pPr>
              <w:pStyle w:val="2"/>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9" w:hRule="atLeast"/>
        </w:trPr>
        <w:tc>
          <w:tcPr>
            <w:tcW w:w="2021" w:type="dxa"/>
            <w:vMerge w:val="continue"/>
            <w:noWrap w:val="0"/>
            <w:vAlign w:val="center"/>
          </w:tcPr>
          <w:p>
            <w:pPr>
              <w:pStyle w:val="2"/>
              <w:rPr>
                <w:rFonts w:hint="eastAsia" w:ascii="仿宋_GB2312" w:hAnsi="仿宋_GB2312" w:eastAsia="仿宋_GB2312" w:cs="仿宋_GB2312"/>
                <w:color w:val="000000"/>
                <w:sz w:val="24"/>
                <w:szCs w:val="24"/>
              </w:rPr>
            </w:pPr>
          </w:p>
        </w:tc>
        <w:tc>
          <w:tcPr>
            <w:tcW w:w="5408" w:type="dxa"/>
            <w:vMerge w:val="continue"/>
            <w:noWrap w:val="0"/>
            <w:vAlign w:val="center"/>
          </w:tcPr>
          <w:p>
            <w:pPr>
              <w:pStyle w:val="2"/>
              <w:rPr>
                <w:rFonts w:hint="eastAsia" w:ascii="仿宋_GB2312" w:hAnsi="仿宋_GB2312" w:eastAsia="仿宋_GB2312" w:cs="仿宋_GB2312"/>
                <w:color w:val="000000"/>
                <w:sz w:val="24"/>
                <w:szCs w:val="24"/>
              </w:rPr>
            </w:pPr>
          </w:p>
        </w:tc>
        <w:tc>
          <w:tcPr>
            <w:tcW w:w="1451" w:type="dxa"/>
            <w:vMerge w:val="continue"/>
            <w:noWrap w:val="0"/>
            <w:vAlign w:val="center"/>
          </w:tcPr>
          <w:p>
            <w:pPr>
              <w:pStyle w:val="2"/>
              <w:rPr>
                <w:rFonts w:hint="eastAsia" w:ascii="仿宋_GB2312" w:hAnsi="仿宋_GB2312" w:eastAsia="仿宋_GB2312" w:cs="仿宋_GB2312"/>
                <w:color w:val="000000"/>
                <w:sz w:val="24"/>
                <w:szCs w:val="24"/>
              </w:rPr>
            </w:pPr>
          </w:p>
        </w:tc>
        <w:tc>
          <w:tcPr>
            <w:tcW w:w="4631"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eastAsia="zh-CN" w:bidi="ar"/>
              </w:rPr>
              <w:t>有数据或案例体现后勤保障部门工作有成效</w:t>
            </w:r>
            <w:r>
              <w:rPr>
                <w:rFonts w:hint="eastAsia" w:ascii="仿宋_GB2312" w:hAnsi="仿宋_GB2312" w:eastAsia="仿宋_GB2312" w:cs="仿宋_GB2312"/>
                <w:color w:val="000000"/>
                <w:kern w:val="0"/>
                <w:sz w:val="24"/>
                <w:szCs w:val="24"/>
                <w:lang w:bidi="ar"/>
              </w:rPr>
              <w:t>（0.2分）</w:t>
            </w:r>
            <w:r>
              <w:rPr>
                <w:rFonts w:hint="eastAsia" w:ascii="仿宋_GB2312" w:hAnsi="仿宋_GB2312" w:eastAsia="仿宋_GB2312" w:cs="仿宋_GB2312"/>
                <w:color w:val="000000"/>
                <w:kern w:val="0"/>
                <w:sz w:val="24"/>
                <w:szCs w:val="24"/>
                <w:lang w:eastAsia="zh-CN" w:bidi="ar"/>
              </w:rPr>
              <w:t>。</w:t>
            </w:r>
          </w:p>
        </w:tc>
        <w:tc>
          <w:tcPr>
            <w:tcW w:w="1035" w:type="dxa"/>
            <w:vMerge w:val="continue"/>
            <w:noWrap w:val="0"/>
            <w:vAlign w:val="center"/>
          </w:tcPr>
          <w:p>
            <w:pPr>
              <w:pStyle w:val="2"/>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61"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3.6.173</w:t>
            </w:r>
            <w:r>
              <w:rPr>
                <w:rFonts w:hint="eastAsia" w:ascii="仿宋_GB2312" w:hAnsi="仿宋_GB2312" w:eastAsia="仿宋_GB2312" w:cs="仿宋_GB2312"/>
                <w:color w:val="000000"/>
                <w:kern w:val="0"/>
                <w:sz w:val="24"/>
                <w:szCs w:val="24"/>
              </w:rPr>
              <w:t>.3</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对员工的合理需求，应当尽力予以满足。</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记录查看现场检查</w:t>
            </w:r>
          </w:p>
        </w:tc>
        <w:tc>
          <w:tcPr>
            <w:tcW w:w="4631" w:type="dxa"/>
            <w:noWrap w:val="0"/>
            <w:vAlign w:val="center"/>
          </w:tcPr>
          <w:p>
            <w:pPr>
              <w:keepNext w:val="0"/>
              <w:keepLines w:val="0"/>
              <w:numPr>
                <w:ilvl w:val="0"/>
                <w:numId w:val="0"/>
              </w:numPr>
              <w:suppressLineNumbers w:val="0"/>
              <w:spacing w:before="0" w:beforeAutospacing="0" w:after="0" w:afterAutospacing="0"/>
              <w:ind w:left="0" w:right="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eastAsia="zh-CN" w:bidi="ar"/>
              </w:rPr>
              <w:t>有收集员工诉求的渠道和措施（</w:t>
            </w:r>
            <w:r>
              <w:rPr>
                <w:rFonts w:hint="eastAsia" w:ascii="仿宋_GB2312" w:hAnsi="仿宋_GB2312" w:eastAsia="仿宋_GB2312" w:cs="仿宋_GB2312"/>
                <w:color w:val="000000"/>
                <w:kern w:val="0"/>
                <w:sz w:val="24"/>
                <w:szCs w:val="24"/>
                <w:lang w:val="en-US" w:eastAsia="zh-CN" w:bidi="ar"/>
              </w:rPr>
              <w:t>0.1分</w:t>
            </w:r>
            <w:r>
              <w:rPr>
                <w:rFonts w:hint="eastAsia" w:ascii="仿宋_GB2312" w:hAnsi="仿宋_GB2312" w:eastAsia="仿宋_GB2312" w:cs="仿宋_GB2312"/>
                <w:color w:val="000000"/>
                <w:kern w:val="0"/>
                <w:sz w:val="24"/>
                <w:szCs w:val="24"/>
                <w:lang w:eastAsia="zh-CN" w:bidi="ar"/>
              </w:rPr>
              <w:t>）；</w:t>
            </w:r>
          </w:p>
        </w:tc>
        <w:tc>
          <w:tcPr>
            <w:tcW w:w="1035" w:type="dxa"/>
            <w:vMerge w:val="restart"/>
            <w:noWrap w:val="0"/>
            <w:vAlign w:val="center"/>
          </w:tcPr>
          <w:p>
            <w:pPr>
              <w:widowControl/>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14" w:hRule="atLeast"/>
        </w:trPr>
        <w:tc>
          <w:tcPr>
            <w:tcW w:w="202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631" w:type="dxa"/>
            <w:noWrap w:val="0"/>
            <w:vAlign w:val="center"/>
          </w:tcPr>
          <w:p>
            <w:pPr>
              <w:keepNext w:val="0"/>
              <w:keepLines w:val="0"/>
              <w:numPr>
                <w:ilvl w:val="0"/>
                <w:numId w:val="0"/>
              </w:numPr>
              <w:suppressLineNumbers w:val="0"/>
              <w:spacing w:before="0" w:beforeAutospacing="0" w:after="0" w:afterAutospacing="0"/>
              <w:ind w:left="0" w:right="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eastAsia="zh-CN" w:bidi="ar"/>
              </w:rPr>
              <w:t>定期征求员工意见，及时解决员工的合理需求</w:t>
            </w:r>
            <w:r>
              <w:rPr>
                <w:rFonts w:hint="eastAsia" w:ascii="仿宋_GB2312" w:hAnsi="仿宋_GB2312" w:eastAsia="仿宋_GB2312" w:cs="仿宋_GB2312"/>
                <w:color w:val="000000"/>
                <w:kern w:val="0"/>
                <w:sz w:val="24"/>
                <w:szCs w:val="24"/>
                <w:lang w:bidi="ar"/>
              </w:rPr>
              <w:t>（0.2分）；</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1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kern w:val="0"/>
                <w:sz w:val="24"/>
                <w:szCs w:val="24"/>
                <w:lang w:bidi="ar"/>
              </w:rPr>
              <w:t>有</w:t>
            </w:r>
            <w:r>
              <w:rPr>
                <w:rFonts w:hint="eastAsia" w:ascii="仿宋_GB2312" w:hAnsi="仿宋_GB2312" w:eastAsia="仿宋_GB2312" w:cs="仿宋_GB2312"/>
                <w:color w:val="000000"/>
                <w:kern w:val="0"/>
                <w:sz w:val="24"/>
                <w:szCs w:val="24"/>
                <w:lang w:eastAsia="zh-CN" w:bidi="ar"/>
              </w:rPr>
              <w:t>员工</w:t>
            </w:r>
            <w:r>
              <w:rPr>
                <w:rFonts w:hint="eastAsia" w:ascii="仿宋_GB2312" w:hAnsi="仿宋_GB2312" w:eastAsia="仿宋_GB2312" w:cs="仿宋_GB2312"/>
                <w:color w:val="000000"/>
                <w:kern w:val="0"/>
                <w:sz w:val="24"/>
                <w:szCs w:val="24"/>
                <w:lang w:bidi="ar"/>
              </w:rPr>
              <w:t>对后勤服务的满意度调查</w:t>
            </w:r>
            <w:r>
              <w:rPr>
                <w:rFonts w:hint="eastAsia" w:ascii="仿宋_GB2312" w:hAnsi="仿宋_GB2312" w:eastAsia="仿宋_GB2312" w:cs="仿宋_GB2312"/>
                <w:color w:val="000000"/>
                <w:kern w:val="0"/>
                <w:sz w:val="24"/>
                <w:szCs w:val="24"/>
                <w:lang w:eastAsia="zh-CN" w:bidi="ar"/>
              </w:rPr>
              <w:t>，满意程度较高</w:t>
            </w:r>
            <w:r>
              <w:rPr>
                <w:rFonts w:hint="eastAsia" w:ascii="仿宋_GB2312" w:hAnsi="仿宋_GB2312" w:eastAsia="仿宋_GB2312" w:cs="仿宋_GB2312"/>
                <w:color w:val="000000"/>
                <w:kern w:val="0"/>
                <w:sz w:val="24"/>
                <w:szCs w:val="24"/>
                <w:lang w:bidi="ar"/>
              </w:rPr>
              <w:t>（0.2分）</w:t>
            </w:r>
            <w:r>
              <w:rPr>
                <w:rFonts w:hint="eastAsia" w:ascii="仿宋_GB2312" w:hAnsi="仿宋_GB2312" w:eastAsia="仿宋_GB2312" w:cs="仿宋_GB2312"/>
                <w:color w:val="000000"/>
                <w:kern w:val="0"/>
                <w:sz w:val="24"/>
                <w:szCs w:val="24"/>
                <w:lang w:eastAsia="zh-CN" w:bidi="ar"/>
              </w:rPr>
              <w:t>。</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7" w:hRule="atLeast"/>
        </w:trPr>
        <w:tc>
          <w:tcPr>
            <w:tcW w:w="14546" w:type="dxa"/>
            <w:gridSpan w:val="5"/>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一百七十四</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后勤专业人员及特种设备操作人员持证上岗，按技术操作规程工作</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1.2分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14" w:hRule="atLeast"/>
        </w:trPr>
        <w:tc>
          <w:tcPr>
            <w:tcW w:w="2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3.6.174</w:t>
            </w:r>
            <w:r>
              <w:rPr>
                <w:rFonts w:hint="eastAsia" w:ascii="仿宋_GB2312" w:hAnsi="仿宋_GB2312" w:eastAsia="仿宋_GB2312" w:cs="仿宋_GB2312"/>
                <w:color w:val="000000"/>
                <w:kern w:val="0"/>
                <w:sz w:val="24"/>
                <w:szCs w:val="24"/>
              </w:rPr>
              <w:t>.1</w:t>
            </w:r>
          </w:p>
        </w:tc>
        <w:tc>
          <w:tcPr>
            <w:tcW w:w="54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后勤专业人员及特种设备操作人员持证上岗。</w:t>
            </w:r>
          </w:p>
        </w:tc>
        <w:tc>
          <w:tcPr>
            <w:tcW w:w="145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定期对后勤专业人员开展必要的安全教育和技能培训</w:t>
            </w:r>
            <w:r>
              <w:rPr>
                <w:rFonts w:hint="eastAsia" w:ascii="仿宋_GB2312" w:hAnsi="仿宋_GB2312" w:eastAsia="仿宋_GB2312" w:cs="仿宋_GB2312"/>
                <w:color w:val="000000"/>
                <w:kern w:val="0"/>
                <w:sz w:val="24"/>
                <w:szCs w:val="24"/>
                <w:lang w:bidi="ar"/>
              </w:rPr>
              <w:t>（0.2分）；</w:t>
            </w:r>
          </w:p>
        </w:tc>
        <w:tc>
          <w:tcPr>
            <w:tcW w:w="1035" w:type="dxa"/>
            <w:vMerge w:val="restart"/>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14"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特种设备操作人员持证上岗并</w:t>
            </w:r>
            <w:r>
              <w:rPr>
                <w:rFonts w:hint="eastAsia" w:ascii="仿宋_GB2312" w:hAnsi="仿宋_GB2312" w:eastAsia="仿宋_GB2312" w:cs="仿宋_GB2312"/>
                <w:color w:val="000000"/>
                <w:kern w:val="0"/>
                <w:sz w:val="24"/>
                <w:szCs w:val="24"/>
                <w:lang w:bidi="ar"/>
              </w:rPr>
              <w:t>及时更新有效证件（0.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27" w:hRule="atLeast"/>
        </w:trPr>
        <w:tc>
          <w:tcPr>
            <w:tcW w:w="2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3.6.174</w:t>
            </w:r>
            <w:r>
              <w:rPr>
                <w:rFonts w:hint="eastAsia" w:ascii="仿宋_GB2312" w:hAnsi="仿宋_GB2312" w:eastAsia="仿宋_GB2312" w:cs="仿宋_GB2312"/>
                <w:color w:val="000000"/>
                <w:kern w:val="0"/>
                <w:sz w:val="24"/>
                <w:szCs w:val="24"/>
              </w:rPr>
              <w:t>.2</w:t>
            </w:r>
          </w:p>
        </w:tc>
        <w:tc>
          <w:tcPr>
            <w:tcW w:w="5408" w:type="dxa"/>
            <w:vMerge w:val="restart"/>
            <w:noWrap w:val="0"/>
            <w:vAlign w:val="center"/>
          </w:tcPr>
          <w:p>
            <w:pPr>
              <w:keepNext w:val="0"/>
              <w:keepLines w:val="0"/>
              <w:pageBreakBefore w:val="0"/>
              <w:widowControl/>
              <w:tabs>
                <w:tab w:val="left" w:pos="790"/>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按技术操作规范开展工作。</w:t>
            </w:r>
          </w:p>
        </w:tc>
        <w:tc>
          <w:tcPr>
            <w:tcW w:w="145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员工操作</w:t>
            </w: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制定有后勤相关</w:t>
            </w:r>
            <w:r>
              <w:rPr>
                <w:rFonts w:hint="eastAsia" w:ascii="仿宋_GB2312" w:hAnsi="仿宋_GB2312" w:eastAsia="仿宋_GB2312" w:cs="仿宋_GB2312"/>
                <w:color w:val="000000"/>
                <w:kern w:val="0"/>
                <w:sz w:val="24"/>
                <w:szCs w:val="24"/>
                <w:lang w:bidi="ar"/>
              </w:rPr>
              <w:t>岗位技术操作规程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SOP</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0.2</w:t>
            </w:r>
            <w:r>
              <w:rPr>
                <w:rFonts w:hint="eastAsia" w:ascii="仿宋_GB2312" w:hAnsi="仿宋_GB2312" w:eastAsia="仿宋_GB2312" w:cs="仿宋_GB2312"/>
                <w:color w:val="000000"/>
                <w:kern w:val="0"/>
                <w:sz w:val="24"/>
                <w:szCs w:val="24"/>
                <w:lang w:bidi="ar"/>
              </w:rPr>
              <w:t>分）；</w:t>
            </w:r>
          </w:p>
        </w:tc>
        <w:tc>
          <w:tcPr>
            <w:tcW w:w="1035" w:type="dxa"/>
            <w:vMerge w:val="restart"/>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0.7</w:t>
            </w:r>
          </w:p>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27"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访谈员工知晓和现场抽查相关</w:t>
            </w:r>
            <w:r>
              <w:rPr>
                <w:rFonts w:hint="eastAsia" w:ascii="仿宋_GB2312" w:hAnsi="仿宋_GB2312" w:eastAsia="仿宋_GB2312" w:cs="仿宋_GB2312"/>
                <w:color w:val="000000"/>
                <w:kern w:val="0"/>
                <w:sz w:val="24"/>
                <w:szCs w:val="24"/>
                <w:lang w:bidi="ar"/>
              </w:rPr>
              <w:t>岗位技术操作</w:t>
            </w:r>
            <w:r>
              <w:rPr>
                <w:rFonts w:hint="eastAsia" w:ascii="仿宋_GB2312" w:hAnsi="仿宋_GB2312" w:eastAsia="仿宋_GB2312" w:cs="仿宋_GB2312"/>
                <w:color w:val="000000"/>
                <w:kern w:val="0"/>
                <w:sz w:val="24"/>
                <w:szCs w:val="24"/>
                <w:lang w:val="en-US" w:eastAsia="zh-CN" w:bidi="ar"/>
              </w:rPr>
              <w:t>规范</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27"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主管部门定期进行检查、分析，并对存在问题及时整改（0.3分）。</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35" w:hRule="atLeast"/>
        </w:trPr>
        <w:tc>
          <w:tcPr>
            <w:tcW w:w="14546" w:type="dxa"/>
            <w:gridSpan w:val="5"/>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一百七十五</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控制与降低能源消耗，水、电、气、物资供应等后勤保障满足医院运行需要</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34" w:hRule="atLeast"/>
        </w:trPr>
        <w:tc>
          <w:tcPr>
            <w:tcW w:w="2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3.6.175</w:t>
            </w:r>
            <w:r>
              <w:rPr>
                <w:rFonts w:hint="eastAsia" w:ascii="仿宋_GB2312" w:hAnsi="仿宋_GB2312" w:eastAsia="仿宋_GB2312" w:cs="仿宋_GB2312"/>
                <w:color w:val="000000"/>
                <w:kern w:val="0"/>
                <w:sz w:val="24"/>
                <w:szCs w:val="24"/>
              </w:rPr>
              <w:t>.1</w:t>
            </w:r>
          </w:p>
        </w:tc>
        <w:tc>
          <w:tcPr>
            <w:tcW w:w="54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控制与降低能源消耗。</w:t>
            </w:r>
          </w:p>
        </w:tc>
        <w:tc>
          <w:tcPr>
            <w:tcW w:w="145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1.有节能减排方案和具体措施（0.2分）；</w:t>
            </w:r>
          </w:p>
        </w:tc>
        <w:tc>
          <w:tcPr>
            <w:tcW w:w="1035" w:type="dxa"/>
            <w:vMerge w:val="restart"/>
            <w:noWrap w:val="0"/>
            <w:vAlign w:val="center"/>
          </w:tcPr>
          <w:p>
            <w:pPr>
              <w:widowControl/>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34"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46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2.有控制和节能计划培训资料（0.2分）；</w:t>
            </w:r>
          </w:p>
        </w:tc>
        <w:tc>
          <w:tcPr>
            <w:tcW w:w="1035" w:type="dxa"/>
            <w:vMerge w:val="continue"/>
            <w:noWrap w:val="0"/>
            <w:vAlign w:val="center"/>
          </w:tcPr>
          <w:p>
            <w:pPr>
              <w:widowControl/>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34"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46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3.科室对节能工作开展情况有自查、分析，对存在问题有整改（0.3分）；</w:t>
            </w:r>
          </w:p>
        </w:tc>
        <w:tc>
          <w:tcPr>
            <w:tcW w:w="1035" w:type="dxa"/>
            <w:vMerge w:val="continue"/>
            <w:noWrap w:val="0"/>
            <w:vAlign w:val="center"/>
          </w:tcPr>
          <w:p>
            <w:pPr>
              <w:widowControl/>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34"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46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4.主管部门有检查和监管，并检查科室落实整改情况（0.2分）；</w:t>
            </w:r>
          </w:p>
        </w:tc>
        <w:tc>
          <w:tcPr>
            <w:tcW w:w="1035" w:type="dxa"/>
            <w:vMerge w:val="continue"/>
            <w:noWrap w:val="0"/>
            <w:vAlign w:val="center"/>
          </w:tcPr>
          <w:p>
            <w:pPr>
              <w:widowControl/>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34"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46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5.有数据资料体现持续改进效果（0.1分）。</w:t>
            </w:r>
          </w:p>
        </w:tc>
        <w:tc>
          <w:tcPr>
            <w:tcW w:w="1035" w:type="dxa"/>
            <w:vMerge w:val="continue"/>
            <w:noWrap w:val="0"/>
            <w:vAlign w:val="center"/>
          </w:tcPr>
          <w:p>
            <w:pPr>
              <w:widowControl/>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0" w:hRule="atLeast"/>
        </w:trPr>
        <w:tc>
          <w:tcPr>
            <w:tcW w:w="2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3.6.175</w:t>
            </w:r>
            <w:r>
              <w:rPr>
                <w:rFonts w:hint="eastAsia" w:ascii="仿宋_GB2312" w:hAnsi="仿宋_GB2312" w:eastAsia="仿宋_GB2312" w:cs="仿宋_GB2312"/>
                <w:color w:val="000000"/>
                <w:kern w:val="0"/>
                <w:sz w:val="24"/>
                <w:szCs w:val="24"/>
              </w:rPr>
              <w:t>.2</w:t>
            </w:r>
          </w:p>
        </w:tc>
        <w:tc>
          <w:tcPr>
            <w:tcW w:w="54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水、电、气、物资供应等后勤保障满足医院运行需要。</w:t>
            </w:r>
          </w:p>
        </w:tc>
        <w:tc>
          <w:tcPr>
            <w:tcW w:w="145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1.有物资采购、验收、入库、保管、出库等相关制度与流程及人员职责（0.2分）；</w:t>
            </w:r>
          </w:p>
        </w:tc>
        <w:tc>
          <w:tcPr>
            <w:tcW w:w="1035" w:type="dxa"/>
            <w:vMerge w:val="restart"/>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0"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2.有水、电、气设备在日常、夜间、节假日运行检查及维修保养的记</w:t>
            </w:r>
            <w:r>
              <w:rPr>
                <w:rFonts w:hint="eastAsia" w:ascii="仿宋_GB2312" w:hAnsi="仿宋_GB2312" w:eastAsia="仿宋_GB2312" w:cs="仿宋_GB2312"/>
                <w:color w:val="000000"/>
                <w:kern w:val="0"/>
                <w:sz w:val="24"/>
                <w:szCs w:val="24"/>
                <w:lang w:val="en-US" w:eastAsia="zh-CN" w:bidi="ar"/>
              </w:rPr>
              <w:t>录</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0"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3.实地查看故障报修、处理流程通畅（0.2分）；</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0"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4.科室和班组</w:t>
            </w:r>
            <w:r>
              <w:rPr>
                <w:rFonts w:hint="eastAsia" w:ascii="仿宋_GB2312" w:hAnsi="仿宋_GB2312" w:eastAsia="仿宋_GB2312" w:cs="仿宋_GB2312"/>
                <w:color w:val="000000"/>
                <w:kern w:val="0"/>
                <w:sz w:val="24"/>
                <w:szCs w:val="24"/>
                <w:lang w:val="en-US" w:eastAsia="zh-CN" w:bidi="ar"/>
              </w:rPr>
              <w:t>定期</w:t>
            </w:r>
            <w:r>
              <w:rPr>
                <w:rFonts w:hint="eastAsia" w:ascii="仿宋_GB2312" w:hAnsi="仿宋_GB2312" w:eastAsia="仿宋_GB2312" w:cs="仿宋_GB2312"/>
                <w:color w:val="000000"/>
                <w:kern w:val="0"/>
                <w:sz w:val="24"/>
                <w:szCs w:val="24"/>
                <w:lang w:bidi="ar"/>
              </w:rPr>
              <w:t>自查，对存在问题有整改（0.2分）；</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0" w:hRule="atLeast"/>
        </w:trPr>
        <w:tc>
          <w:tcPr>
            <w:tcW w:w="2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54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4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5.有</w:t>
            </w:r>
            <w:r>
              <w:rPr>
                <w:rFonts w:hint="eastAsia" w:ascii="仿宋_GB2312" w:hAnsi="仿宋_GB2312" w:eastAsia="仿宋_GB2312" w:cs="仿宋_GB2312"/>
                <w:color w:val="000000"/>
                <w:kern w:val="0"/>
                <w:sz w:val="24"/>
                <w:szCs w:val="24"/>
                <w:lang w:val="en-US" w:eastAsia="zh-CN" w:bidi="ar"/>
              </w:rPr>
              <w:t>数据或案例</w:t>
            </w:r>
            <w:r>
              <w:rPr>
                <w:rFonts w:hint="eastAsia" w:ascii="仿宋_GB2312" w:hAnsi="仿宋_GB2312" w:eastAsia="仿宋_GB2312" w:cs="仿宋_GB2312"/>
                <w:color w:val="000000"/>
                <w:kern w:val="0"/>
                <w:sz w:val="24"/>
                <w:szCs w:val="24"/>
                <w:lang w:bidi="ar"/>
              </w:rPr>
              <w:t>体现水、电、气、物资供应服务改进效果，或形成新制度、规范、流程、举措（0.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35"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576" w:type="dxa"/>
            <w:gridSpan w:val="6"/>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一百七十六</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为员工提供膳食服务，保障饮食卫生安全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3.6.176</w:t>
            </w:r>
            <w:r>
              <w:rPr>
                <w:rFonts w:hint="eastAsia" w:ascii="仿宋_GB2312" w:hAnsi="仿宋_GB2312" w:eastAsia="仿宋_GB2312" w:cs="仿宋_GB2312"/>
                <w:color w:val="000000"/>
                <w:kern w:val="0"/>
                <w:sz w:val="24"/>
                <w:szCs w:val="24"/>
              </w:rPr>
              <w:t>.1</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为员工提供膳食服务。</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1.有专职部门和人员负责膳食服务和指导工作（0.2分）；</w:t>
            </w:r>
          </w:p>
        </w:tc>
        <w:tc>
          <w:tcPr>
            <w:tcW w:w="1065" w:type="dxa"/>
            <w:gridSpan w:val="2"/>
            <w:vMerge w:val="restart"/>
            <w:noWrap w:val="0"/>
            <w:vAlign w:val="center"/>
          </w:tcPr>
          <w:p>
            <w:pPr>
              <w:widowControl/>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2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建立健全</w:t>
            </w:r>
            <w:r>
              <w:rPr>
                <w:rFonts w:hint="eastAsia" w:ascii="仿宋_GB2312" w:hAnsi="仿宋_GB2312" w:eastAsia="仿宋_GB2312" w:cs="仿宋_GB2312"/>
                <w:color w:val="000000"/>
                <w:kern w:val="0"/>
                <w:sz w:val="24"/>
                <w:szCs w:val="24"/>
                <w:lang w:bidi="ar"/>
              </w:rPr>
              <w:t>食品安全与卫生管理制度</w:t>
            </w:r>
            <w:r>
              <w:rPr>
                <w:rFonts w:hint="eastAsia" w:ascii="仿宋_GB2312" w:hAnsi="仿宋_GB2312" w:eastAsia="仿宋_GB2312" w:cs="仿宋_GB2312"/>
                <w:color w:val="000000"/>
                <w:kern w:val="0"/>
                <w:sz w:val="24"/>
                <w:szCs w:val="24"/>
                <w:lang w:val="en-US" w:eastAsia="zh-CN" w:bidi="ar"/>
              </w:rPr>
              <w:t>和岗位职责</w:t>
            </w:r>
            <w:r>
              <w:rPr>
                <w:rFonts w:hint="eastAsia" w:ascii="仿宋_GB2312" w:hAnsi="仿宋_GB2312" w:eastAsia="仿宋_GB2312" w:cs="仿宋_GB2312"/>
                <w:color w:val="000000"/>
                <w:kern w:val="0"/>
                <w:sz w:val="24"/>
                <w:szCs w:val="24"/>
                <w:lang w:bidi="ar"/>
              </w:rPr>
              <w:t>（0.2分）</w:t>
            </w:r>
            <w:r>
              <w:rPr>
                <w:rFonts w:hint="eastAsia" w:ascii="仿宋_GB2312" w:hAnsi="仿宋_GB2312" w:eastAsia="仿宋_GB2312" w:cs="仿宋_GB2312"/>
                <w:color w:val="000000"/>
                <w:kern w:val="0"/>
                <w:sz w:val="24"/>
                <w:szCs w:val="24"/>
                <w:lang w:eastAsia="zh-CN" w:bidi="ar"/>
              </w:rPr>
              <w:t>；</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3.医院食堂及其工作人员取得有关卫生许可证和健康证</w:t>
            </w:r>
            <w:r>
              <w:rPr>
                <w:rFonts w:hint="eastAsia" w:ascii="仿宋_GB2312" w:hAnsi="仿宋_GB2312" w:eastAsia="仿宋_GB2312" w:cs="仿宋_GB2312"/>
                <w:color w:val="000000"/>
                <w:kern w:val="0"/>
                <w:sz w:val="24"/>
                <w:szCs w:val="24"/>
                <w:lang w:bidi="ar"/>
              </w:rPr>
              <w:t>（0.2分）</w:t>
            </w:r>
            <w:r>
              <w:rPr>
                <w:rFonts w:hint="eastAsia" w:ascii="仿宋_GB2312" w:hAnsi="仿宋_GB2312" w:eastAsia="仿宋_GB2312" w:cs="仿宋_GB2312"/>
                <w:color w:val="000000"/>
                <w:kern w:val="0"/>
                <w:sz w:val="24"/>
                <w:szCs w:val="24"/>
                <w:lang w:eastAsia="zh-CN" w:bidi="ar"/>
              </w:rPr>
              <w:t>；</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现场查看医院食堂环境、设备设施符合卫生管理要求</w:t>
            </w:r>
            <w:r>
              <w:rPr>
                <w:rFonts w:hint="eastAsia" w:ascii="仿宋_GB2312" w:hAnsi="仿宋_GB2312" w:eastAsia="仿宋_GB2312" w:cs="仿宋_GB2312"/>
                <w:color w:val="000000"/>
                <w:kern w:val="0"/>
                <w:sz w:val="24"/>
                <w:szCs w:val="24"/>
                <w:lang w:bidi="ar"/>
              </w:rPr>
              <w:t>（0.2分）</w:t>
            </w:r>
            <w:r>
              <w:rPr>
                <w:rFonts w:hint="eastAsia" w:ascii="仿宋_GB2312" w:hAnsi="仿宋_GB2312" w:eastAsia="仿宋_GB2312" w:cs="仿宋_GB2312"/>
                <w:color w:val="000000"/>
                <w:kern w:val="0"/>
                <w:sz w:val="24"/>
                <w:szCs w:val="24"/>
                <w:lang w:eastAsia="zh-CN" w:bidi="ar"/>
              </w:rPr>
              <w:t>。</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3.6.176</w:t>
            </w:r>
            <w:r>
              <w:rPr>
                <w:rFonts w:hint="eastAsia" w:ascii="仿宋_GB2312" w:hAnsi="仿宋_GB2312" w:eastAsia="仿宋_GB2312" w:cs="仿宋_GB2312"/>
                <w:color w:val="000000"/>
                <w:kern w:val="0"/>
                <w:sz w:val="24"/>
                <w:szCs w:val="24"/>
              </w:rPr>
              <w:t>.2</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保障饮食卫生安全。</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1.有食品原料采购、仓储、加工</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食品留样</w:t>
            </w:r>
            <w:r>
              <w:rPr>
                <w:rFonts w:hint="eastAsia" w:ascii="仿宋_GB2312" w:hAnsi="仿宋_GB2312" w:eastAsia="仿宋_GB2312" w:cs="仿宋_GB2312"/>
                <w:color w:val="000000"/>
                <w:kern w:val="0"/>
                <w:sz w:val="24"/>
                <w:szCs w:val="24"/>
                <w:lang w:bidi="ar"/>
              </w:rPr>
              <w:t>的卫生管理相关制度和规范（0.2分）；</w:t>
            </w:r>
          </w:p>
        </w:tc>
        <w:tc>
          <w:tcPr>
            <w:tcW w:w="1065" w:type="dxa"/>
            <w:gridSpan w:val="2"/>
            <w:vMerge w:val="restart"/>
            <w:noWrap w:val="0"/>
            <w:vAlign w:val="center"/>
          </w:tcPr>
          <w:p>
            <w:pPr>
              <w:widowControl/>
              <w:ind w:firstLine="240" w:firstLineChars="1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1.2</w:t>
            </w:r>
          </w:p>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02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2.供应商生产、运输及院内分送场所的设施与卫生条件符合国家食品卫生法规要求，有日常运行检查记录（0.2分）；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3.定期对食堂工作人员开展饮食卫生安全及其技能</w:t>
            </w:r>
            <w:r>
              <w:rPr>
                <w:rFonts w:hint="eastAsia" w:ascii="仿宋_GB2312" w:hAnsi="仿宋_GB2312" w:eastAsia="仿宋_GB2312" w:cs="仿宋_GB2312"/>
                <w:color w:val="000000"/>
                <w:kern w:val="0"/>
                <w:sz w:val="24"/>
                <w:szCs w:val="24"/>
                <w:lang w:bidi="ar"/>
              </w:rPr>
              <w:t>培训（0.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.有食品安全事件应急预案，每年组织演练（0.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主管部门定期进行检查、分析，并对存在问题及时整改（0.2分）；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6.访谈员工知晓饮食卫生安全相关知识</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576" w:type="dxa"/>
            <w:gridSpan w:val="6"/>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一百七十七</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医疗废物、废液管理符合医院感染管理要求。污水管理和处置符合规定</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3.6.177</w:t>
            </w:r>
            <w:r>
              <w:rPr>
                <w:rFonts w:hint="eastAsia" w:ascii="仿宋_GB2312" w:hAnsi="仿宋_GB2312" w:eastAsia="仿宋_GB2312" w:cs="仿宋_GB2312"/>
                <w:color w:val="000000"/>
                <w:kern w:val="0"/>
                <w:sz w:val="24"/>
                <w:szCs w:val="24"/>
              </w:rPr>
              <w:t>.1</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医疗废物、废液管理符合医院感染管理要求。</w:t>
            </w:r>
          </w:p>
        </w:tc>
        <w:tc>
          <w:tcPr>
            <w:tcW w:w="1451" w:type="dxa"/>
            <w:vMerge w:val="restart"/>
            <w:noWrap w:val="0"/>
            <w:vAlign w:val="center"/>
          </w:tcPr>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1.有医疗废物、废液管理制度</w:t>
            </w:r>
            <w:r>
              <w:rPr>
                <w:rFonts w:hint="eastAsia" w:ascii="仿宋_GB2312" w:hAnsi="仿宋_GB2312" w:eastAsia="仿宋_GB2312" w:cs="仿宋_GB2312"/>
                <w:color w:val="000000"/>
                <w:kern w:val="0"/>
                <w:sz w:val="24"/>
                <w:szCs w:val="24"/>
                <w:lang w:val="en-US" w:eastAsia="zh-CN" w:bidi="ar"/>
              </w:rPr>
              <w:t>及应急预案</w:t>
            </w:r>
            <w:r>
              <w:rPr>
                <w:rFonts w:hint="eastAsia" w:ascii="仿宋_GB2312" w:hAnsi="仿宋_GB2312" w:eastAsia="仿宋_GB2312" w:cs="仿宋_GB2312"/>
                <w:color w:val="000000"/>
                <w:kern w:val="0"/>
                <w:sz w:val="24"/>
                <w:szCs w:val="24"/>
                <w:lang w:bidi="ar"/>
              </w:rPr>
              <w:t>（0.2分）；</w:t>
            </w:r>
          </w:p>
        </w:tc>
        <w:tc>
          <w:tcPr>
            <w:tcW w:w="1065" w:type="dxa"/>
            <w:gridSpan w:val="2"/>
            <w:vMerge w:val="restart"/>
            <w:noWrap w:val="0"/>
            <w:vAlign w:val="center"/>
          </w:tcPr>
          <w:p>
            <w:pPr>
              <w:widowControl/>
              <w:ind w:firstLine="480" w:firstLineChars="2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2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院科两级</w:t>
            </w:r>
            <w:r>
              <w:rPr>
                <w:rFonts w:hint="eastAsia" w:ascii="仿宋_GB2312" w:hAnsi="仿宋_GB2312" w:eastAsia="仿宋_GB2312" w:cs="仿宋_GB2312"/>
                <w:color w:val="000000"/>
                <w:kern w:val="0"/>
                <w:sz w:val="24"/>
                <w:szCs w:val="24"/>
                <w:lang w:bidi="ar"/>
              </w:rPr>
              <w:t>有专人负责医疗废物、废液管理工作</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岗位职责</w:t>
            </w:r>
            <w:r>
              <w:rPr>
                <w:rFonts w:hint="eastAsia" w:ascii="仿宋_GB2312" w:hAnsi="仿宋_GB2312" w:eastAsia="仿宋_GB2312" w:cs="仿宋_GB2312"/>
                <w:color w:val="000000"/>
                <w:kern w:val="0"/>
                <w:sz w:val="24"/>
                <w:szCs w:val="24"/>
                <w:lang w:val="en-US" w:eastAsia="zh-CN" w:bidi="ar"/>
              </w:rPr>
              <w:t>明确，访谈员工知晓相关规定</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3.医疗废物、废液</w:t>
            </w:r>
            <w:r>
              <w:rPr>
                <w:rFonts w:hint="eastAsia" w:ascii="仿宋_GB2312" w:hAnsi="仿宋_GB2312" w:eastAsia="仿宋_GB2312" w:cs="仿宋_GB2312"/>
                <w:color w:val="000000"/>
                <w:kern w:val="0"/>
                <w:sz w:val="24"/>
                <w:szCs w:val="24"/>
                <w:lang w:val="en-US" w:eastAsia="zh-CN" w:bidi="ar"/>
              </w:rPr>
              <w:t>收集、运送、暂存、转移、登记造册和操作人员职业防护等符合规范</w:t>
            </w:r>
            <w:r>
              <w:rPr>
                <w:rFonts w:hint="eastAsia" w:ascii="仿宋_GB2312" w:hAnsi="仿宋_GB2312" w:eastAsia="仿宋_GB2312" w:cs="仿宋_GB2312"/>
                <w:color w:val="000000"/>
                <w:kern w:val="0"/>
                <w:sz w:val="24"/>
                <w:szCs w:val="24"/>
                <w:lang w:bidi="ar"/>
              </w:rPr>
              <w:t>（0.2分）；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4.医疗废物处置暂存点建设规范、配置齐全，分类明确，转运交接</w:t>
            </w:r>
            <w:r>
              <w:rPr>
                <w:rFonts w:hint="eastAsia" w:ascii="仿宋_GB2312" w:hAnsi="仿宋_GB2312" w:eastAsia="仿宋_GB2312" w:cs="仿宋_GB2312"/>
                <w:color w:val="000000"/>
                <w:kern w:val="0"/>
                <w:sz w:val="24"/>
                <w:szCs w:val="24"/>
                <w:lang w:eastAsia="zh-CN" w:bidi="ar"/>
              </w:rPr>
              <w:t>台账记录</w:t>
            </w:r>
            <w:r>
              <w:rPr>
                <w:rFonts w:hint="eastAsia" w:ascii="仿宋_GB2312" w:hAnsi="仿宋_GB2312" w:eastAsia="仿宋_GB2312" w:cs="仿宋_GB2312"/>
                <w:color w:val="000000"/>
                <w:kern w:val="0"/>
                <w:sz w:val="24"/>
                <w:szCs w:val="24"/>
                <w:lang w:bidi="ar"/>
              </w:rPr>
              <w:t>完整（0.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5.主管部门每季度检查、分析、整改；有环保安全事故不得分（0.2分）。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3.6.177</w:t>
            </w:r>
            <w:r>
              <w:rPr>
                <w:rFonts w:hint="eastAsia" w:ascii="仿宋_GB2312" w:hAnsi="仿宋_GB2312" w:eastAsia="仿宋_GB2312" w:cs="仿宋_GB2312"/>
                <w:color w:val="000000"/>
                <w:kern w:val="0"/>
                <w:sz w:val="24"/>
                <w:szCs w:val="24"/>
              </w:rPr>
              <w:t>.2</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污水管理和处置符合规定。</w:t>
            </w:r>
          </w:p>
        </w:tc>
        <w:tc>
          <w:tcPr>
            <w:tcW w:w="1451" w:type="dxa"/>
            <w:vMerge w:val="restart"/>
            <w:noWrap w:val="0"/>
            <w:vAlign w:val="center"/>
          </w:tcPr>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i w:val="0"/>
                <w:iCs w:val="0"/>
                <w:color w:val="000000"/>
                <w:kern w:val="0"/>
                <w:sz w:val="24"/>
                <w:szCs w:val="24"/>
                <w:u w:val="none"/>
                <w:lang w:val="en-US" w:eastAsia="zh-CN" w:bidi="ar"/>
              </w:rPr>
              <w:t>制定有污水处理管理规章制度和污水处理操作规程</w:t>
            </w:r>
            <w:r>
              <w:rPr>
                <w:rFonts w:hint="eastAsia" w:ascii="仿宋_GB2312" w:hAnsi="仿宋_GB2312" w:eastAsia="仿宋_GB2312" w:cs="仿宋_GB2312"/>
                <w:color w:val="000000"/>
                <w:kern w:val="0"/>
                <w:sz w:val="24"/>
                <w:szCs w:val="24"/>
                <w:lang w:bidi="ar"/>
              </w:rPr>
              <w:t>（0.2分）；</w:t>
            </w:r>
          </w:p>
        </w:tc>
        <w:tc>
          <w:tcPr>
            <w:tcW w:w="1065" w:type="dxa"/>
            <w:gridSpan w:val="2"/>
            <w:vMerge w:val="restart"/>
            <w:noWrap w:val="0"/>
            <w:vAlign w:val="center"/>
          </w:tcPr>
          <w:p>
            <w:pPr>
              <w:widowControl/>
              <w:ind w:firstLine="480" w:firstLineChars="2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2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有</w:t>
            </w:r>
            <w:r>
              <w:rPr>
                <w:rFonts w:hint="eastAsia" w:ascii="仿宋_GB2312" w:hAnsi="仿宋_GB2312" w:eastAsia="仿宋_GB2312" w:cs="仿宋_GB2312"/>
                <w:color w:val="000000"/>
                <w:kern w:val="0"/>
                <w:sz w:val="24"/>
                <w:szCs w:val="24"/>
                <w:lang w:bidi="ar"/>
              </w:rPr>
              <w:t>专人负责污水处理,岗位职责</w:t>
            </w:r>
            <w:r>
              <w:rPr>
                <w:rFonts w:hint="eastAsia" w:ascii="仿宋_GB2312" w:hAnsi="仿宋_GB2312" w:eastAsia="仿宋_GB2312" w:cs="仿宋_GB2312"/>
                <w:color w:val="000000"/>
                <w:kern w:val="0"/>
                <w:sz w:val="24"/>
                <w:szCs w:val="24"/>
                <w:lang w:val="en-US" w:eastAsia="zh-CN" w:bidi="ar"/>
              </w:rPr>
              <w:t>明确，访谈员工知晓相关规定</w:t>
            </w:r>
            <w:r>
              <w:rPr>
                <w:rFonts w:hint="eastAsia" w:ascii="仿宋_GB2312" w:hAnsi="仿宋_GB2312" w:eastAsia="仿宋_GB2312" w:cs="仿宋_GB2312"/>
                <w:color w:val="000000"/>
                <w:kern w:val="0"/>
                <w:sz w:val="24"/>
                <w:szCs w:val="24"/>
                <w:lang w:bidi="ar"/>
              </w:rPr>
              <w:t>（0.2分）；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3.污水站设施设备运行</w:t>
            </w:r>
            <w:r>
              <w:rPr>
                <w:rFonts w:hint="eastAsia" w:ascii="仿宋_GB2312" w:hAnsi="仿宋_GB2312" w:eastAsia="仿宋_GB2312" w:cs="仿宋_GB2312"/>
                <w:color w:val="000000"/>
                <w:kern w:val="0"/>
                <w:sz w:val="24"/>
                <w:szCs w:val="24"/>
                <w:lang w:val="en-US" w:eastAsia="zh-CN" w:bidi="ar"/>
              </w:rPr>
              <w:t>正常，记录完整</w:t>
            </w:r>
            <w:r>
              <w:rPr>
                <w:rFonts w:hint="eastAsia" w:ascii="仿宋_GB2312" w:hAnsi="仿宋_GB2312" w:eastAsia="仿宋_GB2312" w:cs="仿宋_GB2312"/>
                <w:color w:val="000000"/>
                <w:kern w:val="0"/>
                <w:sz w:val="24"/>
                <w:szCs w:val="24"/>
                <w:lang w:bidi="ar"/>
              </w:rPr>
              <w:t>（0.2分）；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定期对污水排放进行监测，监测指标符合要求，</w:t>
            </w:r>
            <w:r>
              <w:rPr>
                <w:rFonts w:hint="eastAsia" w:ascii="仿宋_GB2312" w:hAnsi="仿宋_GB2312" w:eastAsia="仿宋_GB2312" w:cs="仿宋_GB2312"/>
                <w:i w:val="0"/>
                <w:iCs w:val="0"/>
                <w:color w:val="000000"/>
                <w:kern w:val="0"/>
                <w:sz w:val="24"/>
                <w:szCs w:val="24"/>
                <w:u w:val="none"/>
                <w:lang w:val="en-US" w:eastAsia="zh-CN" w:bidi="ar"/>
              </w:rPr>
              <w:t>实现达标排放</w:t>
            </w:r>
            <w:r>
              <w:rPr>
                <w:rFonts w:hint="eastAsia" w:ascii="仿宋_GB2312" w:hAnsi="仿宋_GB2312" w:eastAsia="仿宋_GB2312" w:cs="仿宋_GB2312"/>
                <w:color w:val="000000"/>
                <w:kern w:val="0"/>
                <w:sz w:val="24"/>
                <w:szCs w:val="24"/>
                <w:lang w:bidi="ar"/>
              </w:rPr>
              <w:t>（0.2分）；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5.污水处理验收合格（0.2分）</w:t>
            </w:r>
            <w:r>
              <w:rPr>
                <w:rFonts w:hint="eastAsia" w:ascii="仿宋_GB2312" w:hAnsi="仿宋_GB2312" w:eastAsia="仿宋_GB2312" w:cs="仿宋_GB2312"/>
                <w:color w:val="000000"/>
                <w:kern w:val="0"/>
                <w:sz w:val="24"/>
                <w:szCs w:val="24"/>
                <w:lang w:eastAsia="zh-CN" w:bidi="ar"/>
              </w:rPr>
              <w:t>。</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576" w:type="dxa"/>
            <w:gridSpan w:val="6"/>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一百七十八</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医院消防系统、特种设备、危险品管理符合国家相关法律法规和标准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3.6.178</w:t>
            </w:r>
            <w:r>
              <w:rPr>
                <w:rFonts w:hint="eastAsia" w:ascii="仿宋_GB2312" w:hAnsi="仿宋_GB2312" w:eastAsia="仿宋_GB2312" w:cs="仿宋_GB2312"/>
                <w:color w:val="000000"/>
                <w:kern w:val="0"/>
                <w:sz w:val="24"/>
                <w:szCs w:val="24"/>
              </w:rPr>
              <w:t>.1</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医院消防系统管理符合国家相关法律法规和标准。</w:t>
            </w:r>
          </w:p>
        </w:tc>
        <w:tc>
          <w:tcPr>
            <w:tcW w:w="1451" w:type="dxa"/>
            <w:vMerge w:val="restart"/>
            <w:noWrap w:val="0"/>
            <w:vAlign w:val="center"/>
          </w:tcPr>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28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设置有</w:t>
            </w:r>
            <w:r>
              <w:rPr>
                <w:rFonts w:hint="eastAsia" w:ascii="仿宋_GB2312" w:hAnsi="仿宋_GB2312" w:eastAsia="仿宋_GB2312" w:cs="仿宋_GB2312"/>
                <w:color w:val="000000"/>
                <w:kern w:val="0"/>
                <w:sz w:val="24"/>
                <w:szCs w:val="24"/>
                <w:lang w:bidi="ar"/>
              </w:rPr>
              <w:t>消防安全管理部门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建立</w:t>
            </w:r>
            <w:r>
              <w:rPr>
                <w:rFonts w:hint="eastAsia" w:ascii="仿宋_GB2312" w:hAnsi="仿宋_GB2312" w:eastAsia="仿宋_GB2312" w:cs="仿宋_GB2312"/>
                <w:color w:val="000000"/>
                <w:kern w:val="0"/>
                <w:sz w:val="24"/>
                <w:szCs w:val="24"/>
                <w:lang w:bidi="ar"/>
              </w:rPr>
              <w:t>消防安全管理相关制度</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岗位</w:t>
            </w:r>
            <w:r>
              <w:rPr>
                <w:rFonts w:hint="eastAsia" w:ascii="仿宋_GB2312" w:hAnsi="仿宋_GB2312" w:eastAsia="仿宋_GB2312" w:cs="仿宋_GB2312"/>
                <w:color w:val="000000"/>
                <w:kern w:val="0"/>
                <w:sz w:val="24"/>
                <w:szCs w:val="24"/>
                <w:lang w:bidi="ar"/>
              </w:rPr>
              <w:t>职责</w:t>
            </w:r>
            <w:r>
              <w:rPr>
                <w:rFonts w:hint="eastAsia" w:ascii="仿宋_GB2312" w:hAnsi="仿宋_GB2312" w:eastAsia="仿宋_GB2312" w:cs="仿宋_GB2312"/>
                <w:color w:val="000000"/>
                <w:kern w:val="0"/>
                <w:sz w:val="24"/>
                <w:szCs w:val="24"/>
                <w:lang w:val="en-US" w:eastAsia="zh-CN" w:bidi="ar"/>
              </w:rPr>
              <w:t>明确</w:t>
            </w:r>
            <w:r>
              <w:rPr>
                <w:rFonts w:hint="eastAsia" w:ascii="仿宋_GB2312" w:hAnsi="仿宋_GB2312" w:eastAsia="仿宋_GB2312" w:cs="仿宋_GB2312"/>
                <w:color w:val="000000"/>
                <w:kern w:val="0"/>
                <w:sz w:val="24"/>
                <w:szCs w:val="24"/>
                <w:lang w:bidi="ar"/>
              </w:rPr>
              <w:t>（0.1分）；</w:t>
            </w:r>
          </w:p>
        </w:tc>
        <w:tc>
          <w:tcPr>
            <w:tcW w:w="1065" w:type="dxa"/>
            <w:gridSpan w:val="2"/>
            <w:vMerge w:val="restart"/>
            <w:noWrap w:val="0"/>
            <w:vAlign w:val="center"/>
          </w:tcPr>
          <w:p>
            <w:pPr>
              <w:widowControl/>
              <w:ind w:firstLine="480" w:firstLineChars="2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021"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2.消防系统设备完好，有消防设备设施每月检查、维护、保养、维修记录（0.2分）；</w:t>
            </w:r>
          </w:p>
        </w:tc>
        <w:tc>
          <w:tcPr>
            <w:tcW w:w="1065" w:type="dxa"/>
            <w:gridSpan w:val="2"/>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02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3.定期（至少每年一次）进行全院职工的消防安全教育</w:t>
            </w:r>
            <w:r>
              <w:rPr>
                <w:rFonts w:hint="eastAsia" w:ascii="仿宋_GB2312" w:hAnsi="仿宋_GB2312" w:eastAsia="仿宋_GB2312" w:cs="仿宋_GB2312"/>
                <w:color w:val="000000"/>
                <w:kern w:val="0"/>
                <w:sz w:val="24"/>
                <w:szCs w:val="24"/>
                <w:lang w:val="en-US" w:eastAsia="zh-CN" w:bidi="ar"/>
              </w:rPr>
              <w:t>培训</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开展灭火和应急疏散演练，掌握消防安全常识和技能</w:t>
            </w:r>
            <w:r>
              <w:rPr>
                <w:rFonts w:hint="eastAsia" w:ascii="仿宋_GB2312" w:hAnsi="仿宋_GB2312" w:eastAsia="仿宋_GB2312" w:cs="仿宋_GB2312"/>
                <w:color w:val="000000"/>
                <w:kern w:val="0"/>
                <w:sz w:val="24"/>
                <w:szCs w:val="24"/>
                <w:lang w:bidi="ar"/>
              </w:rPr>
              <w:t>（0.4分）；</w:t>
            </w:r>
          </w:p>
        </w:tc>
        <w:tc>
          <w:tcPr>
            <w:tcW w:w="1065" w:type="dxa"/>
            <w:gridSpan w:val="2"/>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2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4.根据消防安全要求，开展</w:t>
            </w:r>
            <w:r>
              <w:rPr>
                <w:rFonts w:hint="eastAsia" w:ascii="仿宋_GB2312" w:hAnsi="仿宋_GB2312" w:eastAsia="仿宋_GB2312" w:cs="仿宋_GB2312"/>
                <w:color w:val="000000"/>
                <w:kern w:val="0"/>
                <w:sz w:val="24"/>
                <w:szCs w:val="24"/>
                <w:lang w:val="en-US" w:eastAsia="zh-CN" w:bidi="ar"/>
              </w:rPr>
              <w:t>日常巡查、</w:t>
            </w:r>
            <w:r>
              <w:rPr>
                <w:rFonts w:hint="eastAsia" w:ascii="仿宋_GB2312" w:hAnsi="仿宋_GB2312" w:eastAsia="仿宋_GB2312" w:cs="仿宋_GB2312"/>
                <w:color w:val="000000"/>
                <w:kern w:val="0"/>
                <w:sz w:val="24"/>
                <w:szCs w:val="24"/>
                <w:lang w:bidi="ar"/>
              </w:rPr>
              <w:t>季度检查、年度检查、专项检查等，有完整的检查记录，对上述检查发现的问题有整改及追踪（0.2分）；</w:t>
            </w:r>
          </w:p>
        </w:tc>
        <w:tc>
          <w:tcPr>
            <w:tcW w:w="1065" w:type="dxa"/>
            <w:gridSpan w:val="2"/>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02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4631" w:type="dxa"/>
            <w:noWrap w:val="0"/>
            <w:vAlign w:val="center"/>
          </w:tcPr>
          <w:p>
            <w:pPr>
              <w:widowControl/>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5.建筑符合消防安全要求（0.1分）。</w:t>
            </w:r>
          </w:p>
        </w:tc>
        <w:tc>
          <w:tcPr>
            <w:tcW w:w="1065" w:type="dxa"/>
            <w:gridSpan w:val="2"/>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3.6.178</w:t>
            </w:r>
            <w:r>
              <w:rPr>
                <w:rFonts w:hint="eastAsia" w:ascii="仿宋_GB2312" w:hAnsi="仿宋_GB2312" w:eastAsia="仿宋_GB2312" w:cs="仿宋_GB2312"/>
                <w:color w:val="000000"/>
                <w:kern w:val="0"/>
                <w:sz w:val="24"/>
                <w:szCs w:val="24"/>
              </w:rPr>
              <w:t>.2</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医院特种设备管理符合国家相关法律法规和标准。</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1.特种设备相关管理人员持证上岗，有相关管理制度</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操作规程</w:t>
            </w:r>
            <w:r>
              <w:rPr>
                <w:rFonts w:hint="eastAsia" w:ascii="仿宋_GB2312" w:hAnsi="仿宋_GB2312" w:eastAsia="仿宋_GB2312" w:cs="仿宋_GB2312"/>
                <w:color w:val="000000"/>
                <w:kern w:val="0"/>
                <w:sz w:val="24"/>
                <w:szCs w:val="24"/>
                <w:lang w:bidi="ar"/>
              </w:rPr>
              <w:t>和人员岗位职责（0.1分）；</w:t>
            </w:r>
          </w:p>
        </w:tc>
        <w:tc>
          <w:tcPr>
            <w:tcW w:w="1065" w:type="dxa"/>
            <w:gridSpan w:val="2"/>
            <w:vMerge w:val="restart"/>
            <w:noWrap w:val="0"/>
            <w:vAlign w:val="center"/>
          </w:tcPr>
          <w:p>
            <w:pPr>
              <w:widowControl/>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0.5</w:t>
            </w:r>
          </w:p>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21"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2.有特种设备维护、维修记录；特种设备需年检并合格才能投入使用（0.1分）；</w:t>
            </w:r>
          </w:p>
        </w:tc>
        <w:tc>
          <w:tcPr>
            <w:tcW w:w="1065" w:type="dxa"/>
            <w:gridSpan w:val="2"/>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02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3.有特种设备清单，设备管理档案齐全，有培训、演练记录（0.1分）；</w:t>
            </w:r>
          </w:p>
        </w:tc>
        <w:tc>
          <w:tcPr>
            <w:tcW w:w="1065" w:type="dxa"/>
            <w:gridSpan w:val="2"/>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2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4.使用科室</w:t>
            </w:r>
            <w:r>
              <w:rPr>
                <w:rFonts w:hint="eastAsia" w:ascii="仿宋_GB2312" w:hAnsi="仿宋_GB2312" w:eastAsia="仿宋_GB2312" w:cs="仿宋_GB2312"/>
                <w:color w:val="000000"/>
                <w:kern w:val="0"/>
                <w:sz w:val="24"/>
                <w:szCs w:val="24"/>
                <w:lang w:val="en-US" w:eastAsia="zh-CN" w:bidi="ar"/>
              </w:rPr>
              <w:t>定期</w:t>
            </w:r>
            <w:r>
              <w:rPr>
                <w:rFonts w:hint="eastAsia" w:ascii="仿宋_GB2312" w:hAnsi="仿宋_GB2312" w:eastAsia="仿宋_GB2312" w:cs="仿宋_GB2312"/>
                <w:color w:val="000000"/>
                <w:kern w:val="0"/>
                <w:sz w:val="24"/>
                <w:szCs w:val="24"/>
                <w:lang w:bidi="ar"/>
              </w:rPr>
              <w:t>自查、分析，对存在问题及时整改（0.1分）；</w:t>
            </w:r>
          </w:p>
        </w:tc>
        <w:tc>
          <w:tcPr>
            <w:tcW w:w="1065" w:type="dxa"/>
            <w:gridSpan w:val="2"/>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2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both"/>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5.主管部门</w:t>
            </w:r>
            <w:r>
              <w:rPr>
                <w:rFonts w:hint="eastAsia" w:ascii="仿宋_GB2312" w:hAnsi="仿宋_GB2312" w:eastAsia="仿宋_GB2312" w:cs="仿宋_GB2312"/>
                <w:color w:val="000000"/>
                <w:kern w:val="0"/>
                <w:sz w:val="24"/>
                <w:szCs w:val="24"/>
                <w:lang w:val="en-US" w:eastAsia="zh-CN" w:bidi="ar"/>
              </w:rPr>
              <w:t>定期</w:t>
            </w:r>
            <w:r>
              <w:rPr>
                <w:rFonts w:hint="eastAsia" w:ascii="仿宋_GB2312" w:hAnsi="仿宋_GB2312" w:eastAsia="仿宋_GB2312" w:cs="仿宋_GB2312"/>
                <w:color w:val="000000"/>
                <w:kern w:val="0"/>
                <w:sz w:val="24"/>
                <w:szCs w:val="24"/>
                <w:lang w:bidi="ar"/>
              </w:rPr>
              <w:t>督查</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反馈</w:t>
            </w:r>
            <w:r>
              <w:rPr>
                <w:rFonts w:hint="eastAsia" w:ascii="仿宋_GB2312" w:hAnsi="仿宋_GB2312" w:eastAsia="仿宋_GB2312" w:cs="仿宋_GB2312"/>
                <w:color w:val="000000"/>
                <w:kern w:val="0"/>
                <w:sz w:val="24"/>
                <w:szCs w:val="24"/>
                <w:lang w:bidi="ar"/>
              </w:rPr>
              <w:t>，对存在问题及时整改（0.1分）。</w:t>
            </w:r>
          </w:p>
        </w:tc>
        <w:tc>
          <w:tcPr>
            <w:tcW w:w="1065" w:type="dxa"/>
            <w:gridSpan w:val="2"/>
            <w:vMerge w:val="continue"/>
            <w:noWrap w:val="0"/>
            <w:vAlign w:val="center"/>
          </w:tcPr>
          <w:p>
            <w:pPr>
              <w:widowControl/>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3.6.178</w:t>
            </w:r>
            <w:r>
              <w:rPr>
                <w:rFonts w:hint="eastAsia" w:ascii="仿宋_GB2312" w:hAnsi="仿宋_GB2312" w:eastAsia="仿宋_GB2312" w:cs="仿宋_GB2312"/>
                <w:color w:val="000000"/>
                <w:kern w:val="0"/>
                <w:sz w:val="24"/>
                <w:szCs w:val="24"/>
              </w:rPr>
              <w:t>.3</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医院危险品管理符合国家相关法律法规和标准。</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numPr>
                <w:ilvl w:val="0"/>
                <w:numId w:val="6"/>
              </w:numPr>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Style w:val="30"/>
                <w:rFonts w:hint="eastAsia" w:ascii="仿宋_GB2312" w:hAnsi="仿宋_GB2312" w:eastAsia="仿宋_GB2312" w:cs="仿宋_GB2312"/>
                <w:color w:val="000000"/>
                <w:sz w:val="24"/>
                <w:szCs w:val="24"/>
                <w:lang w:val="en-US" w:eastAsia="zh-CN" w:bidi="ar"/>
              </w:rPr>
              <w:t>制定有危险品管理制度、操作规程及管理人员岗位职责</w:t>
            </w:r>
            <w:r>
              <w:rPr>
                <w:rFonts w:hint="eastAsia" w:ascii="仿宋_GB2312" w:hAnsi="仿宋_GB2312" w:eastAsia="仿宋_GB2312" w:cs="仿宋_GB2312"/>
                <w:color w:val="000000"/>
                <w:kern w:val="0"/>
                <w:sz w:val="24"/>
                <w:szCs w:val="24"/>
                <w:lang w:bidi="ar"/>
              </w:rPr>
              <w:t>（0.1分）；</w:t>
            </w:r>
          </w:p>
        </w:tc>
        <w:tc>
          <w:tcPr>
            <w:tcW w:w="1065" w:type="dxa"/>
            <w:gridSpan w:val="2"/>
            <w:vMerge w:val="restart"/>
            <w:noWrap w:val="0"/>
            <w:vAlign w:val="center"/>
          </w:tcPr>
          <w:p>
            <w:pPr>
              <w:widowControl/>
              <w:rPr>
                <w:rFonts w:hint="eastAsia" w:ascii="仿宋_GB2312" w:hAnsi="仿宋_GB2312" w:eastAsia="仿宋_GB2312" w:cs="仿宋_GB2312"/>
                <w:color w:val="000000"/>
                <w:kern w:val="0"/>
                <w:sz w:val="24"/>
                <w:szCs w:val="24"/>
              </w:rPr>
            </w:pPr>
          </w:p>
          <w:p>
            <w:pPr>
              <w:widowControl/>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2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2.有危险品种类与目录清单，有完整</w:t>
            </w:r>
            <w:r>
              <w:rPr>
                <w:rFonts w:hint="eastAsia" w:ascii="仿宋_GB2312" w:hAnsi="仿宋_GB2312" w:eastAsia="仿宋_GB2312" w:cs="仿宋_GB2312"/>
                <w:color w:val="000000"/>
                <w:kern w:val="0"/>
                <w:sz w:val="24"/>
                <w:szCs w:val="24"/>
                <w:lang w:val="en-US" w:eastAsia="zh-CN" w:bidi="ar"/>
              </w:rPr>
              <w:t>的</w:t>
            </w:r>
            <w:r>
              <w:rPr>
                <w:rFonts w:hint="eastAsia" w:ascii="仿宋_GB2312" w:hAnsi="仿宋_GB2312" w:eastAsia="仿宋_GB2312" w:cs="仿宋_GB2312"/>
                <w:color w:val="000000"/>
                <w:kern w:val="0"/>
                <w:sz w:val="24"/>
                <w:szCs w:val="24"/>
                <w:lang w:bidi="ar"/>
              </w:rPr>
              <w:t>采购、使用、消耗等登记资料，账物相符（0.1分）；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危险品储存规范，</w:t>
            </w:r>
            <w:r>
              <w:rPr>
                <w:rFonts w:hint="eastAsia" w:ascii="仿宋_GB2312" w:hAnsi="仿宋_GB2312" w:eastAsia="仿宋_GB2312" w:cs="仿宋_GB2312"/>
                <w:color w:val="000000"/>
                <w:kern w:val="0"/>
                <w:sz w:val="24"/>
                <w:szCs w:val="24"/>
                <w:lang w:bidi="ar"/>
              </w:rPr>
              <w:t>有专人管理、专用柜、独立空间、双人双锁</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监控设施</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标识统一</w:t>
            </w:r>
            <w:r>
              <w:rPr>
                <w:rFonts w:hint="eastAsia" w:ascii="仿宋_GB2312" w:hAnsi="仿宋_GB2312" w:eastAsia="仿宋_GB2312" w:cs="仿宋_GB2312"/>
                <w:color w:val="000000"/>
                <w:kern w:val="0"/>
                <w:sz w:val="24"/>
                <w:szCs w:val="24"/>
                <w:lang w:val="en-US" w:eastAsia="zh-CN" w:bidi="ar"/>
              </w:rPr>
              <w:t>显眼</w:t>
            </w:r>
            <w:r>
              <w:rPr>
                <w:rFonts w:hint="eastAsia" w:ascii="仿宋_GB2312" w:hAnsi="仿宋_GB2312" w:eastAsia="仿宋_GB2312" w:cs="仿宋_GB2312"/>
                <w:color w:val="000000"/>
                <w:kern w:val="0"/>
                <w:sz w:val="24"/>
                <w:szCs w:val="24"/>
                <w:lang w:bidi="ar"/>
              </w:rPr>
              <w:t>（0.1分）；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4.有危险品库每月巡查记录，有危险品应急预案和演练（0.1分）；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5.主管部门</w:t>
            </w:r>
            <w:r>
              <w:rPr>
                <w:rFonts w:hint="eastAsia" w:ascii="仿宋_GB2312" w:hAnsi="仿宋_GB2312" w:eastAsia="仿宋_GB2312" w:cs="仿宋_GB2312"/>
                <w:color w:val="000000"/>
                <w:kern w:val="0"/>
                <w:sz w:val="24"/>
                <w:szCs w:val="24"/>
                <w:lang w:val="en-US" w:eastAsia="zh-CN" w:bidi="ar"/>
              </w:rPr>
              <w:t>定期</w:t>
            </w:r>
            <w:r>
              <w:rPr>
                <w:rFonts w:hint="eastAsia" w:ascii="仿宋_GB2312" w:hAnsi="仿宋_GB2312" w:eastAsia="仿宋_GB2312" w:cs="仿宋_GB2312"/>
                <w:color w:val="000000"/>
                <w:kern w:val="0"/>
                <w:sz w:val="24"/>
                <w:szCs w:val="24"/>
                <w:lang w:bidi="ar"/>
              </w:rPr>
              <w:t>督查</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反馈</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对</w:t>
            </w:r>
            <w:r>
              <w:rPr>
                <w:rFonts w:hint="eastAsia" w:ascii="仿宋_GB2312" w:hAnsi="仿宋_GB2312" w:eastAsia="仿宋_GB2312" w:cs="仿宋_GB2312"/>
                <w:color w:val="000000"/>
                <w:kern w:val="0"/>
                <w:sz w:val="24"/>
                <w:szCs w:val="24"/>
                <w:lang w:bidi="ar"/>
              </w:rPr>
              <w:t>存在问题及时整改（0.1分）。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576" w:type="dxa"/>
            <w:gridSpan w:val="6"/>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一百七十九</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为患者提供清洁、温馨、舒适的医院环境，符合爱国卫生运动相关要求，美化、硬化、绿化达到医院环境标准要求</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1.8分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3.6.179</w:t>
            </w:r>
            <w:r>
              <w:rPr>
                <w:rFonts w:hint="eastAsia" w:ascii="仿宋_GB2312" w:hAnsi="仿宋_GB2312" w:eastAsia="仿宋_GB2312" w:cs="仿宋_GB2312"/>
                <w:color w:val="000000"/>
                <w:kern w:val="0"/>
                <w:sz w:val="24"/>
                <w:szCs w:val="24"/>
              </w:rPr>
              <w:t>.1</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深入开展爱国卫生运动，落实好医院病媒生物防制、健康宣传、厕所环境整洁、无烟医院建设等各项重点任务，为患者提供清洁、温馨、舒适的医院环境。</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widowControl/>
              <w:ind w:firstLine="120" w:firstLineChar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员工访谈</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设置有</w:t>
            </w:r>
            <w:r>
              <w:rPr>
                <w:rFonts w:hint="eastAsia" w:ascii="仿宋_GB2312" w:hAnsi="仿宋_GB2312" w:eastAsia="仿宋_GB2312" w:cs="仿宋_GB2312"/>
                <w:color w:val="000000"/>
                <w:kern w:val="0"/>
                <w:sz w:val="24"/>
                <w:szCs w:val="24"/>
                <w:lang w:bidi="ar"/>
              </w:rPr>
              <w:t>爱国卫生运动</w:t>
            </w:r>
            <w:r>
              <w:rPr>
                <w:rFonts w:hint="eastAsia" w:ascii="仿宋_GB2312" w:hAnsi="仿宋_GB2312" w:eastAsia="仿宋_GB2312" w:cs="仿宋_GB2312"/>
                <w:color w:val="000000"/>
                <w:kern w:val="0"/>
                <w:sz w:val="24"/>
                <w:szCs w:val="24"/>
                <w:lang w:val="en-US" w:eastAsia="zh-CN" w:bidi="ar"/>
              </w:rPr>
              <w:t>管理部门，建立相关制度，岗位</w:t>
            </w:r>
            <w:r>
              <w:rPr>
                <w:rFonts w:hint="eastAsia" w:ascii="仿宋_GB2312" w:hAnsi="仿宋_GB2312" w:eastAsia="仿宋_GB2312" w:cs="仿宋_GB2312"/>
                <w:color w:val="000000"/>
                <w:kern w:val="0"/>
                <w:sz w:val="24"/>
                <w:szCs w:val="24"/>
                <w:lang w:bidi="ar"/>
              </w:rPr>
              <w:t>职责</w:t>
            </w:r>
            <w:r>
              <w:rPr>
                <w:rFonts w:hint="eastAsia" w:ascii="仿宋_GB2312" w:hAnsi="仿宋_GB2312" w:eastAsia="仿宋_GB2312" w:cs="仿宋_GB2312"/>
                <w:color w:val="000000"/>
                <w:kern w:val="0"/>
                <w:sz w:val="24"/>
                <w:szCs w:val="24"/>
                <w:lang w:val="en-US" w:eastAsia="zh-CN" w:bidi="ar"/>
              </w:rPr>
              <w:t>明确</w:t>
            </w:r>
            <w:r>
              <w:rPr>
                <w:rFonts w:hint="eastAsia" w:ascii="仿宋_GB2312" w:hAnsi="仿宋_GB2312" w:eastAsia="仿宋_GB2312" w:cs="仿宋_GB2312"/>
                <w:color w:val="000000"/>
                <w:kern w:val="0"/>
                <w:sz w:val="24"/>
                <w:szCs w:val="24"/>
                <w:lang w:bidi="ar"/>
              </w:rPr>
              <w:t>（0.2分）；</w:t>
            </w:r>
          </w:p>
        </w:tc>
        <w:tc>
          <w:tcPr>
            <w:tcW w:w="1065" w:type="dxa"/>
            <w:gridSpan w:val="2"/>
            <w:vMerge w:val="restart"/>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0.8</w:t>
            </w:r>
          </w:p>
          <w:p>
            <w:pPr>
              <w:widowControl/>
              <w:ind w:firstLine="480" w:firstLineChars="200"/>
              <w:jc w:val="center"/>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2.制定有年度爱国卫生工作计划并实施</w:t>
            </w:r>
            <w:r>
              <w:rPr>
                <w:rFonts w:hint="eastAsia" w:ascii="仿宋_GB2312" w:hAnsi="仿宋_GB2312" w:eastAsia="仿宋_GB2312" w:cs="仿宋_GB2312"/>
                <w:color w:val="000000"/>
                <w:kern w:val="0"/>
                <w:sz w:val="24"/>
                <w:szCs w:val="24"/>
                <w:lang w:bidi="ar"/>
              </w:rPr>
              <w:t>（0.2分）；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定期开展爱国卫生相关知识培训及宣传</w:t>
            </w:r>
            <w:r>
              <w:rPr>
                <w:rFonts w:hint="eastAsia" w:ascii="仿宋_GB2312" w:hAnsi="仿宋_GB2312" w:eastAsia="仿宋_GB2312" w:cs="仿宋_GB2312"/>
                <w:color w:val="000000"/>
                <w:kern w:val="0"/>
                <w:sz w:val="24"/>
                <w:szCs w:val="24"/>
                <w:lang w:bidi="ar"/>
              </w:rPr>
              <w:t>（0.2分）；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访谈员工及患者，对就医环境满意（0.2分）。</w:t>
            </w:r>
          </w:p>
        </w:tc>
        <w:tc>
          <w:tcPr>
            <w:tcW w:w="1065" w:type="dxa"/>
            <w:gridSpan w:val="2"/>
            <w:vMerge w:val="continue"/>
            <w:noWrap w:val="0"/>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1"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3.6.179</w:t>
            </w:r>
            <w:r>
              <w:rPr>
                <w:rFonts w:hint="eastAsia" w:ascii="仿宋_GB2312" w:hAnsi="仿宋_GB2312" w:eastAsia="仿宋_GB2312" w:cs="仿宋_GB2312"/>
                <w:color w:val="000000"/>
                <w:kern w:val="0"/>
                <w:sz w:val="24"/>
                <w:szCs w:val="24"/>
              </w:rPr>
              <w:t>.2</w:t>
            </w:r>
          </w:p>
        </w:tc>
        <w:tc>
          <w:tcPr>
            <w:tcW w:w="5408"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美化、硬化、绿化达到医院环境标准要求。</w:t>
            </w:r>
          </w:p>
        </w:tc>
        <w:tc>
          <w:tcPr>
            <w:tcW w:w="1451"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制定有医院</w:t>
            </w:r>
            <w:r>
              <w:rPr>
                <w:rFonts w:hint="eastAsia" w:ascii="仿宋_GB2312" w:hAnsi="仿宋_GB2312" w:eastAsia="仿宋_GB2312" w:cs="仿宋_GB2312"/>
                <w:color w:val="000000"/>
                <w:kern w:val="0"/>
                <w:sz w:val="24"/>
                <w:szCs w:val="24"/>
                <w:lang w:bidi="ar"/>
              </w:rPr>
              <w:t>美化、硬化、绿化</w:t>
            </w:r>
            <w:r>
              <w:rPr>
                <w:rFonts w:hint="eastAsia" w:ascii="仿宋_GB2312" w:hAnsi="仿宋_GB2312" w:eastAsia="仿宋_GB2312" w:cs="仿宋_GB2312"/>
                <w:i w:val="0"/>
                <w:iCs w:val="0"/>
                <w:color w:val="000000"/>
                <w:kern w:val="0"/>
                <w:sz w:val="24"/>
                <w:szCs w:val="24"/>
                <w:u w:val="none"/>
                <w:lang w:val="en-US" w:eastAsia="zh-CN" w:bidi="ar"/>
              </w:rPr>
              <w:t>达到医院</w:t>
            </w:r>
            <w:r>
              <w:rPr>
                <w:rFonts w:hint="eastAsia" w:ascii="仿宋_GB2312" w:hAnsi="仿宋_GB2312" w:eastAsia="仿宋_GB2312" w:cs="仿宋_GB2312"/>
                <w:color w:val="000000"/>
                <w:kern w:val="0"/>
                <w:sz w:val="24"/>
                <w:szCs w:val="24"/>
                <w:lang w:val="en-US" w:eastAsia="zh-CN" w:bidi="ar"/>
              </w:rPr>
              <w:t>环境标准</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val="en-US" w:eastAsia="zh-CN" w:bidi="ar"/>
              </w:rPr>
              <w:t>；</w:t>
            </w:r>
          </w:p>
        </w:tc>
        <w:tc>
          <w:tcPr>
            <w:tcW w:w="1065" w:type="dxa"/>
            <w:gridSpan w:val="2"/>
            <w:vMerge w:val="restart"/>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p>
            <w:pPr>
              <w:widowControl/>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1" w:type="dxa"/>
            <w:vMerge w:val="continue"/>
            <w:noWrap w:val="0"/>
            <w:vAlign w:val="center"/>
          </w:tcPr>
          <w:p>
            <w:pPr>
              <w:widowControl/>
              <w:ind w:firstLine="480" w:firstLineChars="200"/>
              <w:rPr>
                <w:rFonts w:hint="eastAsia" w:ascii="仿宋_GB2312" w:hAnsi="仿宋_GB2312" w:eastAsia="仿宋_GB2312" w:cs="仿宋_GB2312"/>
                <w:color w:val="000000"/>
                <w:sz w:val="24"/>
                <w:szCs w:val="24"/>
              </w:rPr>
            </w:pPr>
          </w:p>
        </w:tc>
        <w:tc>
          <w:tcPr>
            <w:tcW w:w="5408" w:type="dxa"/>
            <w:vMerge w:val="continue"/>
            <w:noWrap w:val="0"/>
            <w:vAlign w:val="center"/>
          </w:tcPr>
          <w:p>
            <w:pPr>
              <w:widowControl/>
              <w:ind w:firstLine="480" w:firstLineChars="200"/>
              <w:rPr>
                <w:rFonts w:hint="eastAsia" w:ascii="仿宋_GB2312" w:hAnsi="仿宋_GB2312" w:eastAsia="仿宋_GB2312" w:cs="仿宋_GB2312"/>
                <w:color w:val="000000"/>
                <w:sz w:val="24"/>
                <w:szCs w:val="24"/>
              </w:rPr>
            </w:pPr>
          </w:p>
        </w:tc>
        <w:tc>
          <w:tcPr>
            <w:tcW w:w="1451" w:type="dxa"/>
            <w:vMerge w:val="continue"/>
            <w:noWrap w:val="0"/>
            <w:vAlign w:val="center"/>
          </w:tcPr>
          <w:p>
            <w:pPr>
              <w:widowControl/>
              <w:ind w:firstLine="480" w:firstLineChars="200"/>
              <w:rPr>
                <w:rFonts w:hint="eastAsia" w:ascii="仿宋_GB2312" w:hAnsi="仿宋_GB2312" w:eastAsia="仿宋_GB2312" w:cs="仿宋_GB2312"/>
                <w:color w:val="00000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2.主管部门</w:t>
            </w:r>
            <w:r>
              <w:rPr>
                <w:rFonts w:hint="eastAsia" w:ascii="仿宋_GB2312" w:hAnsi="仿宋_GB2312" w:eastAsia="仿宋_GB2312" w:cs="仿宋_GB2312"/>
                <w:color w:val="000000"/>
                <w:kern w:val="0"/>
                <w:sz w:val="24"/>
                <w:szCs w:val="24"/>
                <w:lang w:val="en-US" w:eastAsia="zh-CN" w:bidi="ar"/>
              </w:rPr>
              <w:t>定期对医院</w:t>
            </w:r>
            <w:r>
              <w:rPr>
                <w:rFonts w:hint="eastAsia" w:ascii="仿宋_GB2312" w:hAnsi="仿宋_GB2312" w:eastAsia="仿宋_GB2312" w:cs="仿宋_GB2312"/>
                <w:color w:val="000000"/>
                <w:kern w:val="0"/>
                <w:sz w:val="24"/>
                <w:szCs w:val="24"/>
                <w:lang w:bidi="ar"/>
              </w:rPr>
              <w:t>美化、硬化、绿化</w:t>
            </w:r>
            <w:r>
              <w:rPr>
                <w:rFonts w:hint="eastAsia" w:ascii="仿宋_GB2312" w:hAnsi="仿宋_GB2312" w:eastAsia="仿宋_GB2312" w:cs="仿宋_GB2312"/>
                <w:color w:val="000000"/>
                <w:kern w:val="0"/>
                <w:sz w:val="24"/>
                <w:szCs w:val="24"/>
                <w:lang w:val="en-US" w:eastAsia="zh-CN" w:bidi="ar"/>
              </w:rPr>
              <w:t>达标情况进行过检查、分析、整改</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1065" w:type="dxa"/>
            <w:gridSpan w:val="2"/>
            <w:vMerge w:val="continue"/>
            <w:noWrap w:val="0"/>
            <w:vAlign w:val="center"/>
          </w:tcPr>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1" w:type="dxa"/>
            <w:vMerge w:val="continue"/>
            <w:noWrap w:val="0"/>
            <w:vAlign w:val="center"/>
          </w:tcPr>
          <w:p>
            <w:pPr>
              <w:widowControl/>
              <w:ind w:firstLine="480" w:firstLineChars="200"/>
              <w:rPr>
                <w:rFonts w:hint="eastAsia" w:ascii="仿宋_GB2312" w:hAnsi="仿宋_GB2312" w:eastAsia="仿宋_GB2312" w:cs="仿宋_GB2312"/>
                <w:color w:val="000000"/>
                <w:kern w:val="0"/>
                <w:sz w:val="24"/>
                <w:szCs w:val="24"/>
              </w:rPr>
            </w:pPr>
          </w:p>
        </w:tc>
        <w:tc>
          <w:tcPr>
            <w:tcW w:w="5408" w:type="dxa"/>
            <w:vMerge w:val="continue"/>
            <w:noWrap w:val="0"/>
            <w:vAlign w:val="center"/>
          </w:tcPr>
          <w:p>
            <w:pPr>
              <w:widowControl/>
              <w:ind w:firstLine="480" w:firstLineChars="200"/>
              <w:rPr>
                <w:rFonts w:hint="eastAsia" w:ascii="仿宋_GB2312" w:hAnsi="仿宋_GB2312" w:eastAsia="仿宋_GB2312" w:cs="仿宋_GB2312"/>
                <w:color w:val="000000"/>
                <w:kern w:val="0"/>
                <w:sz w:val="24"/>
                <w:szCs w:val="24"/>
              </w:rPr>
            </w:pPr>
          </w:p>
        </w:tc>
        <w:tc>
          <w:tcPr>
            <w:tcW w:w="1451" w:type="dxa"/>
            <w:vMerge w:val="continue"/>
            <w:noWrap w:val="0"/>
            <w:vAlign w:val="center"/>
          </w:tcPr>
          <w:p>
            <w:pPr>
              <w:widowControl/>
              <w:ind w:firstLine="480" w:firstLineChars="200"/>
              <w:rPr>
                <w:rFonts w:hint="eastAsia" w:ascii="仿宋_GB2312" w:hAnsi="仿宋_GB2312" w:eastAsia="仿宋_GB2312" w:cs="仿宋_GB2312"/>
                <w:color w:val="000000"/>
                <w:kern w:val="0"/>
                <w:sz w:val="24"/>
                <w:szCs w:val="24"/>
              </w:rPr>
            </w:pPr>
          </w:p>
        </w:tc>
        <w:tc>
          <w:tcPr>
            <w:tcW w:w="4631"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现场</w:t>
            </w:r>
            <w:r>
              <w:rPr>
                <w:rFonts w:hint="eastAsia" w:ascii="仿宋_GB2312" w:hAnsi="仿宋_GB2312" w:eastAsia="仿宋_GB2312" w:cs="仿宋_GB2312"/>
                <w:color w:val="000000"/>
                <w:kern w:val="0"/>
                <w:sz w:val="24"/>
                <w:szCs w:val="24"/>
                <w:lang w:bidi="ar"/>
              </w:rPr>
              <w:t>实地查看医院环境美化、硬化、绿化</w:t>
            </w:r>
            <w:r>
              <w:rPr>
                <w:rFonts w:hint="eastAsia" w:ascii="仿宋_GB2312" w:hAnsi="仿宋_GB2312" w:eastAsia="仿宋_GB2312" w:cs="仿宋_GB2312"/>
                <w:color w:val="000000"/>
                <w:kern w:val="0"/>
                <w:sz w:val="24"/>
                <w:szCs w:val="24"/>
                <w:lang w:val="en-US" w:eastAsia="zh-CN" w:bidi="ar"/>
              </w:rPr>
              <w:t>符合标准要求</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c>
          <w:tcPr>
            <w:tcW w:w="1065" w:type="dxa"/>
            <w:gridSpan w:val="2"/>
            <w:vMerge w:val="continue"/>
            <w:noWrap w:val="0"/>
            <w:vAlign w:val="center"/>
          </w:tcPr>
          <w:p>
            <w:pPr>
              <w:widowControl/>
              <w:ind w:firstLine="480" w:firstLineChars="200"/>
              <w:rPr>
                <w:rFonts w:hint="eastAsia" w:ascii="仿宋_GB2312" w:hAnsi="仿宋_GB2312" w:eastAsia="仿宋_GB2312" w:cs="仿宋_GB2312"/>
                <w:color w:val="000000"/>
                <w:kern w:val="0"/>
                <w:sz w:val="24"/>
                <w:szCs w:val="24"/>
              </w:rPr>
            </w:pPr>
          </w:p>
        </w:tc>
      </w:tr>
    </w:tbl>
    <w:p>
      <w:pPr>
        <w:pStyle w:val="5"/>
        <w:bidi w:val="0"/>
        <w:rPr>
          <w:rFonts w:hint="eastAsia"/>
          <w:color w:val="000000"/>
          <w:lang w:val="en-US" w:eastAsia="zh-CN"/>
        </w:rPr>
      </w:pPr>
      <w:bookmarkStart w:id="217" w:name="_Toc176"/>
    </w:p>
    <w:p>
      <w:pPr>
        <w:pStyle w:val="5"/>
        <w:bidi w:val="0"/>
        <w:rPr>
          <w:rFonts w:hint="eastAsia"/>
          <w:color w:val="000000"/>
          <w:lang w:val="en-US" w:eastAsia="zh-CN"/>
        </w:rPr>
      </w:pPr>
      <w:bookmarkStart w:id="218" w:name="_Toc24073"/>
    </w:p>
    <w:p>
      <w:pPr>
        <w:pStyle w:val="5"/>
        <w:bidi w:val="0"/>
        <w:rPr>
          <w:rFonts w:hint="eastAsia"/>
          <w:color w:val="000000"/>
          <w:lang w:val="en-US" w:eastAsia="zh-CN"/>
        </w:rPr>
      </w:pPr>
    </w:p>
    <w:p>
      <w:pPr>
        <w:pStyle w:val="5"/>
        <w:bidi w:val="0"/>
        <w:rPr>
          <w:rFonts w:hint="eastAsia"/>
          <w:color w:val="000000"/>
          <w:lang w:eastAsia="zh-CN"/>
        </w:rPr>
      </w:pPr>
      <w:bookmarkStart w:id="219" w:name="_Toc16704"/>
      <w:bookmarkStart w:id="220" w:name="_Toc3277"/>
      <w:r>
        <w:rPr>
          <w:rFonts w:hint="eastAsia"/>
          <w:color w:val="000000"/>
          <w:lang w:val="en-US" w:eastAsia="zh-CN"/>
        </w:rPr>
        <w:br w:type="page"/>
      </w:r>
      <w:r>
        <w:rPr>
          <w:rFonts w:hint="eastAsia"/>
          <w:color w:val="000000"/>
          <w:lang w:val="en-US" w:eastAsia="zh-CN"/>
        </w:rPr>
        <w:t>七、</w:t>
      </w:r>
      <w:r>
        <w:rPr>
          <w:rFonts w:hint="eastAsia"/>
          <w:color w:val="000000"/>
        </w:rPr>
        <w:t>应急管理</w:t>
      </w:r>
      <w:bookmarkEnd w:id="217"/>
      <w:r>
        <w:rPr>
          <w:rFonts w:hint="eastAsia"/>
          <w:color w:val="000000"/>
        </w:rPr>
        <w:t>（</w:t>
      </w:r>
      <w:r>
        <w:rPr>
          <w:rFonts w:hint="eastAsia"/>
          <w:color w:val="000000"/>
          <w:lang w:val="en-US" w:eastAsia="zh-CN"/>
        </w:rPr>
        <w:t>8</w:t>
      </w:r>
      <w:r>
        <w:rPr>
          <w:rFonts w:hint="eastAsia"/>
          <w:color w:val="000000"/>
        </w:rPr>
        <w:t>分）</w:t>
      </w:r>
      <w:bookmarkEnd w:id="218"/>
      <w:bookmarkEnd w:id="219"/>
      <w:bookmarkEnd w:id="220"/>
    </w:p>
    <w:tbl>
      <w:tblPr>
        <w:tblStyle w:val="14"/>
        <w:tblW w:w="145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5387"/>
        <w:gridCol w:w="1467"/>
        <w:gridCol w:w="4562"/>
        <w:gridCol w:w="23"/>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7437" w:type="dxa"/>
            <w:gridSpan w:val="2"/>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评审指标细则</w:t>
            </w:r>
          </w:p>
        </w:tc>
        <w:tc>
          <w:tcPr>
            <w:tcW w:w="1467" w:type="dxa"/>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评审方法</w:t>
            </w:r>
          </w:p>
        </w:tc>
        <w:tc>
          <w:tcPr>
            <w:tcW w:w="4585" w:type="dxa"/>
            <w:gridSpan w:val="2"/>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评分细则</w:t>
            </w:r>
          </w:p>
        </w:tc>
        <w:tc>
          <w:tcPr>
            <w:tcW w:w="1110" w:type="dxa"/>
            <w:shd w:val="clear" w:color="auto" w:fill="FEF2CC"/>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99" w:type="dxa"/>
            <w:gridSpan w:val="6"/>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（一百八十）成立医院应急工作领导小组，建立医院应急指挥系统，落实责任，建立并不断完善医院应急管理的机制（1.9分）。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050"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color w:val="000000"/>
                <w:kern w:val="0"/>
                <w:sz w:val="24"/>
                <w:szCs w:val="24"/>
                <w:lang w:val="en-US" w:eastAsia="zh-CN"/>
              </w:rPr>
              <w:t>3.7.180</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i w:val="0"/>
                <w:iCs w:val="0"/>
                <w:color w:val="000000"/>
                <w:kern w:val="0"/>
                <w:sz w:val="24"/>
                <w:szCs w:val="24"/>
                <w:u w:val="none"/>
                <w:lang w:val="en-US" w:eastAsia="zh-CN" w:bidi="ar"/>
              </w:rPr>
              <w:t>1</w:t>
            </w:r>
          </w:p>
        </w:tc>
        <w:tc>
          <w:tcPr>
            <w:tcW w:w="5387"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成立医院应急工作领导小组，建立医院应急指挥系统</w:t>
            </w:r>
          </w:p>
        </w:tc>
        <w:tc>
          <w:tcPr>
            <w:tcW w:w="146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1.成立医院应急工作领导小组，建立医院应急指挥系统，明确日常管理部门，</w:t>
            </w:r>
            <w:r>
              <w:rPr>
                <w:rStyle w:val="29"/>
                <w:rFonts w:hint="eastAsia" w:ascii="仿宋_GB2312" w:hAnsi="仿宋_GB2312" w:eastAsia="仿宋_GB2312" w:cs="仿宋_GB2312"/>
                <w:color w:val="000000"/>
                <w:sz w:val="24"/>
                <w:szCs w:val="24"/>
                <w:lang w:val="en-US" w:eastAsia="zh-CN" w:bidi="ar"/>
              </w:rPr>
              <w:t>院长是医院应急管理的第一责任人（0.2分）；</w:t>
            </w:r>
          </w:p>
        </w:tc>
        <w:tc>
          <w:tcPr>
            <w:tcW w:w="1110" w:type="dxa"/>
            <w:vMerge w:val="restart"/>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2.医院总值班参与应急管理，各部门、各科室负责人在应急工作中有具体职责与任务（0.2分）；</w:t>
            </w:r>
          </w:p>
        </w:tc>
        <w:tc>
          <w:tcPr>
            <w:tcW w:w="1110" w:type="dxa"/>
            <w:vMerge w:val="continue"/>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3.有院内、外和院内各部门、各科室间的协调机制，有明确的协调部门和协调人（0.2分）；</w:t>
            </w:r>
          </w:p>
        </w:tc>
        <w:tc>
          <w:tcPr>
            <w:tcW w:w="1110" w:type="dxa"/>
            <w:vMerge w:val="continue"/>
            <w:noWrap/>
            <w:vAlign w:val="center"/>
          </w:tcPr>
          <w:p>
            <w:pP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4.相关人员知晓本部门、本岗位的履职要求。访谈员工知晓相关规定，</w:t>
            </w:r>
            <w:r>
              <w:rPr>
                <w:rStyle w:val="29"/>
                <w:rFonts w:hint="eastAsia" w:ascii="仿宋_GB2312" w:hAnsi="仿宋_GB2312" w:eastAsia="仿宋_GB2312" w:cs="仿宋_GB2312"/>
                <w:color w:val="000000"/>
                <w:sz w:val="24"/>
                <w:szCs w:val="24"/>
                <w:lang w:val="en-US" w:eastAsia="zh-CN" w:bidi="ar"/>
              </w:rPr>
              <w:t>（0.2分）；</w:t>
            </w:r>
          </w:p>
        </w:tc>
        <w:tc>
          <w:tcPr>
            <w:tcW w:w="1110" w:type="dxa"/>
            <w:vMerge w:val="continue"/>
            <w:noWrap/>
            <w:vAlign w:val="center"/>
          </w:tcPr>
          <w:p>
            <w:pP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ign w:val="center"/>
          </w:tcPr>
          <w:p>
            <w:pP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5.有信息报告和信息发布相关制度且落实到位（0.2分）。</w:t>
            </w:r>
          </w:p>
        </w:tc>
        <w:tc>
          <w:tcPr>
            <w:tcW w:w="1110" w:type="dxa"/>
            <w:vMerge w:val="continue"/>
            <w:noWrap/>
            <w:vAlign w:val="center"/>
          </w:tcPr>
          <w:p>
            <w:pP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50"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3.7.180</w:t>
            </w: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5387"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落实责任，建立并不断完善医院应急管理的机制。</w:t>
            </w:r>
          </w:p>
        </w:tc>
        <w:tc>
          <w:tcPr>
            <w:tcW w:w="146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现场检查</w:t>
            </w: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1.建立院长与职能部门、科室负责人应急管理责任制（如签订责任状）（0.3分）；</w:t>
            </w:r>
          </w:p>
        </w:tc>
        <w:tc>
          <w:tcPr>
            <w:tcW w:w="1110" w:type="dxa"/>
            <w:vMerge w:val="restart"/>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2.主管部门定期检查、分析、反馈、整改（0.3分）；</w:t>
            </w:r>
          </w:p>
        </w:tc>
        <w:tc>
          <w:tcPr>
            <w:tcW w:w="1110" w:type="dxa"/>
            <w:vMerge w:val="continue"/>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3.有数据</w:t>
            </w:r>
            <w:r>
              <w:rPr>
                <w:rStyle w:val="29"/>
                <w:rFonts w:hint="eastAsia" w:ascii="仿宋_GB2312" w:hAnsi="仿宋_GB2312" w:eastAsia="仿宋_GB2312" w:cs="仿宋_GB2312"/>
                <w:color w:val="000000"/>
                <w:sz w:val="24"/>
                <w:szCs w:val="24"/>
                <w:highlight w:val="none"/>
                <w:lang w:val="en-US" w:eastAsia="zh-CN" w:bidi="ar"/>
              </w:rPr>
              <w:t>或案例体现应急管理改进效果，或形成新预案、制度、规范、流程、举措（0.3分）。</w:t>
            </w:r>
          </w:p>
        </w:tc>
        <w:tc>
          <w:tcPr>
            <w:tcW w:w="1110" w:type="dxa"/>
            <w:vMerge w:val="continue"/>
            <w:noWrap/>
            <w:vAlign w:val="center"/>
          </w:tcPr>
          <w:p>
            <w:pP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99"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（一百八十一）明确医院需要应对的主要突发事件策略，制定和完善各类应急预案，提高快速反应能力（2分）。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color w:val="000000"/>
                <w:kern w:val="0"/>
                <w:sz w:val="24"/>
                <w:szCs w:val="24"/>
                <w:lang w:val="en-US" w:eastAsia="zh-CN"/>
              </w:rPr>
              <w:t>3.7.181</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w:t>
            </w:r>
          </w:p>
        </w:tc>
        <w:tc>
          <w:tcPr>
            <w:tcW w:w="53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明确医院需要应对的主要突发事件策略。</w:t>
            </w:r>
          </w:p>
        </w:tc>
        <w:tc>
          <w:tcPr>
            <w:tcW w:w="1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strike/>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记录查看</w:t>
            </w: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1.医院根据可能出现的突发事件和既往发生的事件，制定本医院相应的主要突发事件清单（0.3分）；</w:t>
            </w:r>
          </w:p>
        </w:tc>
        <w:tc>
          <w:tcPr>
            <w:tcW w:w="11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strike/>
                <w:color w:val="000000"/>
                <w:sz w:val="24"/>
                <w:szCs w:val="24"/>
              </w:rPr>
            </w:pP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2.对医院需要应对的主要突发事件进行</w:t>
            </w:r>
            <w:r>
              <w:rPr>
                <w:rStyle w:val="29"/>
                <w:rFonts w:hint="eastAsia" w:ascii="仿宋_GB2312" w:hAnsi="仿宋_GB2312" w:eastAsia="仿宋_GB2312" w:cs="仿宋_GB2312"/>
                <w:color w:val="000000"/>
                <w:sz w:val="24"/>
                <w:szCs w:val="24"/>
                <w:lang w:val="en-US" w:eastAsia="zh-CN" w:bidi="ar"/>
              </w:rPr>
              <w:t>灾害脆弱性分析、排序，</w:t>
            </w:r>
            <w:r>
              <w:rPr>
                <w:rFonts w:hint="eastAsia" w:ascii="仿宋_GB2312" w:hAnsi="仿宋_GB2312" w:eastAsia="仿宋_GB2312" w:cs="仿宋_GB2312"/>
                <w:i w:val="0"/>
                <w:iCs w:val="0"/>
                <w:color w:val="000000"/>
                <w:kern w:val="0"/>
                <w:sz w:val="24"/>
                <w:szCs w:val="24"/>
                <w:u w:val="none"/>
                <w:lang w:val="en-US" w:eastAsia="zh-CN" w:bidi="ar"/>
              </w:rPr>
              <w:t>明确相应的策略（0.4分）。</w:t>
            </w:r>
          </w:p>
        </w:tc>
        <w:tc>
          <w:tcPr>
            <w:tcW w:w="1110"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color w:val="000000"/>
                <w:kern w:val="0"/>
                <w:sz w:val="24"/>
                <w:szCs w:val="24"/>
                <w:lang w:val="en-US" w:eastAsia="zh-CN"/>
              </w:rPr>
              <w:t>3.7.181</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w:t>
            </w:r>
          </w:p>
        </w:tc>
        <w:tc>
          <w:tcPr>
            <w:tcW w:w="53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制定和完善各类应急预案，提高快速反应能力。</w:t>
            </w:r>
          </w:p>
        </w:tc>
        <w:tc>
          <w:tcPr>
            <w:tcW w:w="1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1.根据需要应对的主要突发事件，</w:t>
            </w:r>
            <w:r>
              <w:rPr>
                <w:rStyle w:val="29"/>
                <w:rFonts w:hint="eastAsia" w:ascii="仿宋_GB2312" w:hAnsi="仿宋_GB2312" w:eastAsia="仿宋_GB2312" w:cs="仿宋_GB2312"/>
                <w:color w:val="000000"/>
                <w:sz w:val="24"/>
                <w:szCs w:val="24"/>
                <w:lang w:val="en-US" w:eastAsia="zh-CN" w:bidi="ar"/>
              </w:rPr>
              <w:t>制订</w:t>
            </w:r>
            <w:r>
              <w:rPr>
                <w:rFonts w:hint="eastAsia" w:ascii="仿宋_GB2312" w:hAnsi="仿宋_GB2312" w:eastAsia="仿宋_GB2312" w:cs="仿宋_GB2312"/>
                <w:i w:val="0"/>
                <w:iCs w:val="0"/>
                <w:color w:val="000000"/>
                <w:kern w:val="0"/>
                <w:sz w:val="24"/>
                <w:szCs w:val="24"/>
                <w:u w:val="none"/>
                <w:lang w:val="en-US" w:eastAsia="zh-CN" w:bidi="ar"/>
              </w:rPr>
              <w:t>和完善</w:t>
            </w:r>
            <w:r>
              <w:rPr>
                <w:rStyle w:val="29"/>
                <w:rFonts w:hint="eastAsia" w:ascii="仿宋_GB2312" w:hAnsi="仿宋_GB2312" w:eastAsia="仿宋_GB2312" w:cs="仿宋_GB2312"/>
                <w:color w:val="000000"/>
                <w:sz w:val="24"/>
                <w:szCs w:val="24"/>
                <w:lang w:val="en-US" w:eastAsia="zh-CN" w:bidi="ar"/>
              </w:rPr>
              <w:t>各类</w:t>
            </w:r>
            <w:r>
              <w:rPr>
                <w:rFonts w:hint="eastAsia" w:ascii="仿宋_GB2312" w:hAnsi="仿宋_GB2312" w:eastAsia="仿宋_GB2312" w:cs="仿宋_GB2312"/>
                <w:i w:val="0"/>
                <w:iCs w:val="0"/>
                <w:color w:val="000000"/>
                <w:kern w:val="0"/>
                <w:sz w:val="24"/>
                <w:szCs w:val="24"/>
                <w:u w:val="none"/>
                <w:lang w:val="en-US" w:eastAsia="zh-CN" w:bidi="ar"/>
              </w:rPr>
              <w:t>应急</w:t>
            </w:r>
            <w:r>
              <w:rPr>
                <w:rStyle w:val="29"/>
                <w:rFonts w:hint="eastAsia" w:ascii="仿宋_GB2312" w:hAnsi="仿宋_GB2312" w:eastAsia="仿宋_GB2312" w:cs="仿宋_GB2312"/>
                <w:color w:val="000000"/>
                <w:sz w:val="24"/>
                <w:szCs w:val="24"/>
                <w:lang w:val="en-US" w:eastAsia="zh-CN" w:bidi="ar"/>
              </w:rPr>
              <w:t>预案，明确各部门及相关人员职责以及应急反应行动的程序（0.2分）；</w:t>
            </w:r>
          </w:p>
        </w:tc>
        <w:tc>
          <w:tcPr>
            <w:tcW w:w="11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both"/>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2.访谈各部门及相关</w:t>
            </w:r>
            <w:r>
              <w:rPr>
                <w:rStyle w:val="29"/>
                <w:rFonts w:hint="eastAsia" w:ascii="仿宋_GB2312" w:hAnsi="仿宋_GB2312" w:eastAsia="仿宋_GB2312" w:cs="仿宋_GB2312"/>
                <w:color w:val="000000"/>
                <w:sz w:val="24"/>
                <w:szCs w:val="24"/>
                <w:lang w:val="en-US" w:eastAsia="zh-CN" w:bidi="ar"/>
              </w:rPr>
              <w:t>人员，知晓本</w:t>
            </w:r>
            <w:r>
              <w:rPr>
                <w:rFonts w:hint="eastAsia" w:ascii="仿宋_GB2312" w:hAnsi="仿宋_GB2312" w:eastAsia="仿宋_GB2312" w:cs="仿宋_GB2312"/>
                <w:i w:val="0"/>
                <w:iCs w:val="0"/>
                <w:color w:val="000000"/>
                <w:kern w:val="0"/>
                <w:sz w:val="24"/>
                <w:szCs w:val="24"/>
                <w:u w:val="none"/>
                <w:lang w:val="en-US" w:eastAsia="zh-CN" w:bidi="ar"/>
              </w:rPr>
              <w:t>部门职责及应急处置流程</w:t>
            </w:r>
            <w:r>
              <w:rPr>
                <w:rStyle w:val="29"/>
                <w:rFonts w:hint="eastAsia" w:ascii="仿宋_GB2312" w:hAnsi="仿宋_GB2312" w:eastAsia="仿宋_GB2312" w:cs="仿宋_GB2312"/>
                <w:color w:val="000000"/>
                <w:sz w:val="24"/>
                <w:szCs w:val="24"/>
                <w:lang w:val="en-US" w:eastAsia="zh-CN" w:bidi="ar"/>
              </w:rPr>
              <w:t>（0.2分）；</w:t>
            </w:r>
          </w:p>
        </w:tc>
        <w:tc>
          <w:tcPr>
            <w:tcW w:w="11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200"/>
              <w:jc w:val="both"/>
              <w:textAlignment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3.医院各部门、各科室根据各自职能职责做好相应的应急预案的落实工作并定期自查、分析、整改（0.2分）；</w:t>
            </w:r>
          </w:p>
        </w:tc>
        <w:tc>
          <w:tcPr>
            <w:tcW w:w="1110"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4.主管部门定期督查、分析、反馈，并落实整改（0.2分）；</w:t>
            </w:r>
          </w:p>
        </w:tc>
        <w:tc>
          <w:tcPr>
            <w:tcW w:w="1110"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5.有数据或</w:t>
            </w:r>
            <w:r>
              <w:rPr>
                <w:rStyle w:val="29"/>
                <w:rFonts w:hint="eastAsia" w:ascii="仿宋_GB2312" w:hAnsi="仿宋_GB2312" w:eastAsia="仿宋_GB2312" w:cs="仿宋_GB2312"/>
                <w:color w:val="000000"/>
                <w:sz w:val="24"/>
                <w:szCs w:val="24"/>
                <w:lang w:val="en-US" w:eastAsia="zh-CN" w:bidi="ar"/>
              </w:rPr>
              <w:t>案例体现改进效果，或形成新预案、制度、流程、举措（0.5分）。</w:t>
            </w:r>
          </w:p>
        </w:tc>
        <w:tc>
          <w:tcPr>
            <w:tcW w:w="1110"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599"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（一百八十二）开展应急培训和演练，提高各级、各类人员的应急素质和医院的整体应急能力（2分）。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b w:val="0"/>
                <w:bCs w:val="0"/>
                <w:color w:val="000000"/>
                <w:kern w:val="0"/>
                <w:sz w:val="24"/>
                <w:szCs w:val="24"/>
                <w:lang w:val="en-US" w:eastAsia="zh-CN"/>
              </w:rPr>
              <w:t>3.7.182</w:t>
            </w: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53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有对各级、各类人员进行应急培训和演练计划并落实。</w:t>
            </w:r>
          </w:p>
        </w:tc>
        <w:tc>
          <w:tcPr>
            <w:tcW w:w="1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文件查阅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记录查看</w:t>
            </w: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1.医院制定有对各级、各类人员的应急培训计划和演练计划（0.3分）；</w:t>
            </w:r>
          </w:p>
        </w:tc>
        <w:tc>
          <w:tcPr>
            <w:tcW w:w="11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20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highlight w:val="none"/>
                <w:u w:val="none"/>
              </w:rPr>
            </w:pPr>
          </w:p>
        </w:tc>
        <w:tc>
          <w:tcPr>
            <w:tcW w:w="53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highlight w:val="none"/>
                <w:u w:val="none"/>
              </w:rPr>
            </w:pPr>
          </w:p>
        </w:tc>
        <w:tc>
          <w:tcPr>
            <w:tcW w:w="1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highlight w:val="none"/>
                <w:u w:val="none"/>
              </w:rPr>
            </w:pP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2.按计划对各级各类人员进行应急相关法律、法规、预案及应急知识、技能培训，并组织考核，内容涵盖本医院需要应对的主要公共突发事件（0.5分）；</w:t>
            </w:r>
          </w:p>
        </w:tc>
        <w:tc>
          <w:tcPr>
            <w:tcW w:w="11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200"/>
              <w:jc w:val="both"/>
              <w:textAlignment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highlight w:val="none"/>
                <w:u w:val="none"/>
              </w:rPr>
            </w:pPr>
          </w:p>
        </w:tc>
        <w:tc>
          <w:tcPr>
            <w:tcW w:w="53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highlight w:val="none"/>
                <w:u w:val="none"/>
              </w:rPr>
            </w:pPr>
          </w:p>
        </w:tc>
        <w:tc>
          <w:tcPr>
            <w:tcW w:w="1467"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sz w:val="24"/>
                <w:szCs w:val="24"/>
                <w:highlight w:val="none"/>
                <w:u w:val="none"/>
              </w:rPr>
            </w:pPr>
          </w:p>
        </w:tc>
        <w:tc>
          <w:tcPr>
            <w:tcW w:w="45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3.主管部门对应急培训和演练有分析、总结、反馈，并落实整改（0.2分）。</w:t>
            </w:r>
          </w:p>
        </w:tc>
        <w:tc>
          <w:tcPr>
            <w:tcW w:w="1110"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050"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color w:val="000000"/>
                <w:kern w:val="0"/>
                <w:sz w:val="24"/>
                <w:szCs w:val="24"/>
                <w:lang w:val="en-US" w:eastAsia="zh-CN"/>
              </w:rPr>
              <w:t>3.7.182</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w:t>
            </w:r>
          </w:p>
        </w:tc>
        <w:tc>
          <w:tcPr>
            <w:tcW w:w="5387"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有考核，员工知晓，提高各级、各类人员的应急素质和医院的整体应急能力。</w:t>
            </w:r>
          </w:p>
        </w:tc>
        <w:tc>
          <w:tcPr>
            <w:tcW w:w="146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文件查阅</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员工操作</w:t>
            </w: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1.应急培训与考核覆盖医院所有员工，并考核合格（0.2分）；</w:t>
            </w:r>
          </w:p>
        </w:tc>
        <w:tc>
          <w:tcPr>
            <w:tcW w:w="1110" w:type="dxa"/>
            <w:vMerge w:val="restart"/>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2.主管部门对应急培训和演练中存在的问题有检查与监管，并检查科室落实整改情况（0.2分）；</w:t>
            </w:r>
          </w:p>
        </w:tc>
        <w:tc>
          <w:tcPr>
            <w:tcW w:w="1110" w:type="dxa"/>
            <w:vMerge w:val="continue"/>
            <w:noWrap w:val="0"/>
            <w:vAlign w:val="center"/>
          </w:tcPr>
          <w:p>
            <w:pPr>
              <w:keepNext w:val="0"/>
              <w:keepLines w:val="0"/>
              <w:widowControl/>
              <w:suppressLineNumbers w:val="0"/>
              <w:ind w:firstLineChars="200"/>
              <w:jc w:val="both"/>
              <w:textAlignment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highlight w:val="none"/>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3.抽选1-2个案例现场测试医院应急突发事件的反应能力（0.3分）；</w:t>
            </w:r>
          </w:p>
        </w:tc>
        <w:tc>
          <w:tcPr>
            <w:tcW w:w="1110" w:type="dxa"/>
            <w:vMerge w:val="continue"/>
            <w:noWrap/>
            <w:vAlign w:val="center"/>
          </w:tcPr>
          <w:p>
            <w:pP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8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4.有数据或案例体现医院对应急突发事件的反应能力持续提升（0.3分）。</w:t>
            </w:r>
          </w:p>
        </w:tc>
        <w:tc>
          <w:tcPr>
            <w:tcW w:w="1110" w:type="dxa"/>
            <w:vMerge w:val="continue"/>
            <w:noWrap/>
            <w:vAlign w:val="center"/>
          </w:tcPr>
          <w:p>
            <w:pP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99" w:type="dxa"/>
            <w:gridSpan w:val="6"/>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（一百八十三）合理进行应急物资和设备的储备（2.1分）。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50"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color w:val="000000"/>
                <w:kern w:val="0"/>
                <w:sz w:val="24"/>
                <w:szCs w:val="24"/>
                <w:lang w:val="en-US" w:eastAsia="zh-CN"/>
              </w:rPr>
              <w:t>3.7.183</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w:t>
            </w:r>
          </w:p>
        </w:tc>
        <w:tc>
          <w:tcPr>
            <w:tcW w:w="5387"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合理进行应急物资和设备的储备</w:t>
            </w:r>
            <w:r>
              <w:rPr>
                <w:rStyle w:val="32"/>
                <w:rFonts w:hint="eastAsia" w:ascii="仿宋_GB2312" w:hAnsi="仿宋_GB2312" w:eastAsia="仿宋_GB2312" w:cs="仿宋_GB2312"/>
                <w:color w:val="000000"/>
                <w:sz w:val="24"/>
                <w:szCs w:val="24"/>
                <w:lang w:val="en-US" w:eastAsia="zh-CN" w:bidi="ar"/>
              </w:rPr>
              <w:t>。</w:t>
            </w:r>
          </w:p>
        </w:tc>
        <w:tc>
          <w:tcPr>
            <w:tcW w:w="146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现场检查</w:t>
            </w:r>
          </w:p>
        </w:tc>
        <w:tc>
          <w:tcPr>
            <w:tcW w:w="456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1.有应急物资和设备的储备计划、管理制度、审批程序（0.3分）；</w:t>
            </w:r>
          </w:p>
        </w:tc>
        <w:tc>
          <w:tcPr>
            <w:tcW w:w="1133" w:type="dxa"/>
            <w:gridSpan w:val="2"/>
            <w:vMerge w:val="restart"/>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6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2.有必备物资储备目录，有应急物资和设备的使用登记。有定期维护，确保有效期，自查有记录。（0.3分）；</w:t>
            </w:r>
          </w:p>
        </w:tc>
        <w:tc>
          <w:tcPr>
            <w:tcW w:w="1133" w:type="dxa"/>
            <w:gridSpan w:val="2"/>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6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3.有应急物资的流转制度，应急物资应及时补充、更新</w:t>
            </w:r>
            <w:r>
              <w:rPr>
                <w:rStyle w:val="29"/>
                <w:rFonts w:hint="eastAsia" w:ascii="仿宋_GB2312" w:hAnsi="仿宋_GB2312" w:eastAsia="仿宋_GB2312" w:cs="仿宋_GB2312"/>
                <w:color w:val="000000"/>
                <w:sz w:val="24"/>
                <w:szCs w:val="24"/>
                <w:lang w:val="en-US" w:eastAsia="zh-CN" w:bidi="ar"/>
              </w:rPr>
              <w:t>（0.3分）；</w:t>
            </w:r>
          </w:p>
        </w:tc>
        <w:tc>
          <w:tcPr>
            <w:tcW w:w="1133" w:type="dxa"/>
            <w:gridSpan w:val="2"/>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ign w:val="center"/>
          </w:tcPr>
          <w:p>
            <w:pPr>
              <w:rPr>
                <w:rFonts w:hint="eastAsia" w:ascii="仿宋_GB2312" w:hAnsi="仿宋_GB2312" w:eastAsia="仿宋_GB2312" w:cs="仿宋_GB2312"/>
                <w:i w:val="0"/>
                <w:iCs w:val="0"/>
                <w:color w:val="000000"/>
                <w:sz w:val="24"/>
                <w:szCs w:val="24"/>
                <w:u w:val="none"/>
              </w:rPr>
            </w:pPr>
          </w:p>
        </w:tc>
        <w:tc>
          <w:tcPr>
            <w:tcW w:w="456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4.有主管部门至少每半年一次</w:t>
            </w:r>
            <w:r>
              <w:rPr>
                <w:rStyle w:val="29"/>
                <w:rFonts w:hint="eastAsia" w:ascii="仿宋_GB2312" w:hAnsi="仿宋_GB2312" w:eastAsia="仿宋_GB2312" w:cs="仿宋_GB2312"/>
                <w:color w:val="000000"/>
                <w:sz w:val="24"/>
                <w:szCs w:val="24"/>
                <w:lang w:val="en-US" w:eastAsia="zh-CN" w:bidi="ar"/>
              </w:rPr>
              <w:t>对应急物资和设备储备的检查与监管（0.3分）；</w:t>
            </w:r>
          </w:p>
        </w:tc>
        <w:tc>
          <w:tcPr>
            <w:tcW w:w="1133" w:type="dxa"/>
            <w:gridSpan w:val="2"/>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ign w:val="center"/>
          </w:tcPr>
          <w:p>
            <w:pPr>
              <w:rPr>
                <w:rFonts w:hint="eastAsia" w:ascii="仿宋_GB2312" w:hAnsi="仿宋_GB2312" w:eastAsia="仿宋_GB2312" w:cs="仿宋_GB2312"/>
                <w:i w:val="0"/>
                <w:iCs w:val="0"/>
                <w:color w:val="000000"/>
                <w:sz w:val="24"/>
                <w:szCs w:val="24"/>
                <w:u w:val="none"/>
              </w:rPr>
            </w:pPr>
          </w:p>
        </w:tc>
        <w:tc>
          <w:tcPr>
            <w:tcW w:w="456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5.访谈员工知晓</w:t>
            </w:r>
            <w:r>
              <w:rPr>
                <w:rStyle w:val="29"/>
                <w:rFonts w:hint="eastAsia" w:ascii="仿宋_GB2312" w:hAnsi="仿宋_GB2312" w:eastAsia="仿宋_GB2312" w:cs="仿宋_GB2312"/>
                <w:color w:val="000000"/>
                <w:sz w:val="24"/>
                <w:szCs w:val="24"/>
                <w:lang w:val="en-US" w:eastAsia="zh-CN" w:bidi="ar"/>
              </w:rPr>
              <w:t>应急物资和设备的</w:t>
            </w:r>
            <w:r>
              <w:rPr>
                <w:rFonts w:hint="eastAsia" w:ascii="仿宋_GB2312" w:hAnsi="仿宋_GB2312" w:eastAsia="仿宋_GB2312" w:cs="仿宋_GB2312"/>
                <w:i w:val="0"/>
                <w:iCs w:val="0"/>
                <w:color w:val="000000"/>
                <w:kern w:val="0"/>
                <w:sz w:val="24"/>
                <w:szCs w:val="24"/>
                <w:u w:val="none"/>
                <w:lang w:val="en-US" w:eastAsia="zh-CN" w:bidi="ar"/>
              </w:rPr>
              <w:t>制度流程</w:t>
            </w:r>
            <w:r>
              <w:rPr>
                <w:rStyle w:val="29"/>
                <w:rFonts w:hint="eastAsia" w:ascii="仿宋_GB2312" w:hAnsi="仿宋_GB2312" w:eastAsia="仿宋_GB2312" w:cs="仿宋_GB2312"/>
                <w:color w:val="000000"/>
                <w:sz w:val="24"/>
                <w:szCs w:val="24"/>
                <w:lang w:val="en-US" w:eastAsia="zh-CN" w:bidi="ar"/>
              </w:rPr>
              <w:t>（0.3分）。</w:t>
            </w:r>
          </w:p>
        </w:tc>
        <w:tc>
          <w:tcPr>
            <w:tcW w:w="1133" w:type="dxa"/>
            <w:gridSpan w:val="2"/>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50"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color w:val="000000"/>
                <w:kern w:val="0"/>
                <w:sz w:val="24"/>
                <w:szCs w:val="24"/>
                <w:lang w:val="en-US" w:eastAsia="zh-CN"/>
              </w:rPr>
              <w:t>3.7.183</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w:t>
            </w:r>
          </w:p>
        </w:tc>
        <w:tc>
          <w:tcPr>
            <w:tcW w:w="5387"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有应对应急物资设备短缺的紧急供应渠道。</w:t>
            </w:r>
          </w:p>
        </w:tc>
        <w:tc>
          <w:tcPr>
            <w:tcW w:w="146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记录查看</w:t>
            </w:r>
          </w:p>
          <w:p>
            <w:pPr>
              <w:keepNext w:val="0"/>
              <w:keepLines w:val="0"/>
              <w:widowControl/>
              <w:suppressLineNumbers w:val="0"/>
              <w:tabs>
                <w:tab w:val="center" w:pos="970"/>
                <w:tab w:val="right" w:pos="1820"/>
              </w:tabs>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p>
            <w:pPr>
              <w:keepNext w:val="0"/>
              <w:keepLines w:val="0"/>
              <w:widowControl/>
              <w:suppressLineNumbers w:val="0"/>
              <w:tabs>
                <w:tab w:val="center" w:pos="970"/>
                <w:tab w:val="right" w:pos="1820"/>
              </w:tabs>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员工访谈</w:t>
            </w:r>
          </w:p>
        </w:tc>
        <w:tc>
          <w:tcPr>
            <w:tcW w:w="456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1.医院有多种供应渠道及其供应商名册（0.2分）；</w:t>
            </w:r>
          </w:p>
        </w:tc>
        <w:tc>
          <w:tcPr>
            <w:tcW w:w="1133" w:type="dxa"/>
            <w:gridSpan w:val="2"/>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6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2.与供应商签订应急物资紧急配送协议（0.2分）；</w:t>
            </w:r>
          </w:p>
        </w:tc>
        <w:tc>
          <w:tcPr>
            <w:tcW w:w="1133" w:type="dxa"/>
            <w:gridSpan w:val="2"/>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50"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5387" w:type="dxa"/>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c>
          <w:tcPr>
            <w:tcW w:w="146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456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3.访谈管理</w:t>
            </w:r>
            <w:r>
              <w:rPr>
                <w:rStyle w:val="29"/>
                <w:rFonts w:hint="eastAsia" w:ascii="仿宋_GB2312" w:hAnsi="仿宋_GB2312" w:eastAsia="仿宋_GB2312" w:cs="仿宋_GB2312"/>
                <w:color w:val="000000"/>
                <w:sz w:val="24"/>
                <w:szCs w:val="24"/>
                <w:lang w:val="en-US" w:eastAsia="zh-CN" w:bidi="ar"/>
              </w:rPr>
              <w:t>人员知晓紧急配送联系方式、配送流程（0.2分）。</w:t>
            </w:r>
          </w:p>
        </w:tc>
        <w:tc>
          <w:tcPr>
            <w:tcW w:w="1133" w:type="dxa"/>
            <w:gridSpan w:val="2"/>
            <w:vMerge w:val="continue"/>
            <w:noWrap w:val="0"/>
            <w:vAlign w:val="center"/>
          </w:tcPr>
          <w:p>
            <w:pPr>
              <w:jc w:val="both"/>
              <w:rPr>
                <w:rFonts w:hint="eastAsia" w:ascii="仿宋_GB2312" w:hAnsi="仿宋_GB2312" w:eastAsia="仿宋_GB2312" w:cs="仿宋_GB2312"/>
                <w:i w:val="0"/>
                <w:iCs w:val="0"/>
                <w:color w:val="000000"/>
                <w:sz w:val="24"/>
                <w:szCs w:val="24"/>
                <w:u w:val="none"/>
              </w:rPr>
            </w:pPr>
          </w:p>
        </w:tc>
      </w:tr>
    </w:tbl>
    <w:p>
      <w:pPr>
        <w:pStyle w:val="5"/>
        <w:bidi w:val="0"/>
        <w:rPr>
          <w:color w:val="000000"/>
        </w:rPr>
      </w:pPr>
      <w:bookmarkStart w:id="221" w:name="_Toc19400"/>
      <w:bookmarkStart w:id="222" w:name="_Toc27542"/>
      <w:bookmarkStart w:id="223" w:name="_Toc731"/>
      <w:bookmarkStart w:id="224" w:name="_Toc9629"/>
      <w:r>
        <w:rPr>
          <w:rFonts w:hint="eastAsia"/>
          <w:color w:val="000000"/>
        </w:rPr>
        <w:t>八、科研教学与图书管理（</w:t>
      </w:r>
      <w:r>
        <w:rPr>
          <w:rFonts w:hint="eastAsia"/>
          <w:color w:val="000000"/>
          <w:lang w:val="en-US" w:eastAsia="zh-CN"/>
        </w:rPr>
        <w:t>8</w:t>
      </w:r>
      <w:r>
        <w:rPr>
          <w:rFonts w:hint="eastAsia"/>
          <w:color w:val="000000"/>
        </w:rPr>
        <w:t>分）</w:t>
      </w:r>
      <w:bookmarkEnd w:id="221"/>
      <w:bookmarkEnd w:id="222"/>
      <w:bookmarkEnd w:id="223"/>
      <w:bookmarkEnd w:id="224"/>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4482"/>
        <w:gridCol w:w="3049"/>
        <w:gridCol w:w="435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6095" w:type="dxa"/>
            <w:gridSpan w:val="2"/>
            <w:shd w:val="clear" w:color="auto" w:fill="FEF2CC"/>
            <w:noWrap w:val="0"/>
            <w:vAlign w:val="center"/>
          </w:tcPr>
          <w:p>
            <w:pPr>
              <w:widowControl/>
              <w:spacing w:line="280" w:lineRule="exact"/>
              <w:jc w:val="center"/>
              <w:rPr>
                <w:rFonts w:hint="eastAsia" w:ascii="仿宋_GB2312" w:hAnsi="仿宋_GB2312" w:eastAsia="仿宋_GB2312" w:cs="仿宋_GB2312"/>
                <w:b/>
                <w:bCs/>
                <w:color w:val="000000"/>
                <w:kern w:val="0"/>
                <w:sz w:val="24"/>
                <w:szCs w:val="24"/>
                <w:lang w:eastAsia="zh-CN"/>
              </w:rPr>
            </w:pPr>
            <w:bookmarkStart w:id="225" w:name="OLE_LINK5" w:colFirst="2" w:colLast="3"/>
            <w:r>
              <w:rPr>
                <w:rFonts w:hint="eastAsia" w:ascii="仿宋_GB2312" w:hAnsi="仿宋_GB2312" w:eastAsia="仿宋_GB2312" w:cs="仿宋_GB2312"/>
                <w:b/>
                <w:bCs/>
                <w:color w:val="000000"/>
                <w:kern w:val="0"/>
                <w:sz w:val="24"/>
                <w:szCs w:val="24"/>
              </w:rPr>
              <w:t>评审</w:t>
            </w:r>
            <w:r>
              <w:rPr>
                <w:rFonts w:hint="eastAsia" w:ascii="仿宋_GB2312" w:hAnsi="仿宋_GB2312" w:eastAsia="仿宋_GB2312" w:cs="仿宋_GB2312"/>
                <w:b/>
                <w:bCs/>
                <w:color w:val="000000"/>
                <w:kern w:val="0"/>
                <w:sz w:val="24"/>
                <w:szCs w:val="24"/>
                <w:lang w:eastAsia="zh-CN"/>
              </w:rPr>
              <w:t>指</w:t>
            </w:r>
            <w:r>
              <w:rPr>
                <w:rFonts w:hint="eastAsia" w:ascii="仿宋_GB2312" w:hAnsi="仿宋_GB2312" w:eastAsia="仿宋_GB2312" w:cs="仿宋_GB2312"/>
                <w:b/>
                <w:bCs/>
                <w:color w:val="000000"/>
                <w:kern w:val="0"/>
                <w:sz w:val="24"/>
                <w:szCs w:val="24"/>
              </w:rPr>
              <w:t>标</w:t>
            </w:r>
            <w:r>
              <w:rPr>
                <w:rFonts w:hint="eastAsia" w:ascii="仿宋_GB2312" w:hAnsi="仿宋_GB2312" w:eastAsia="仿宋_GB2312" w:cs="仿宋_GB2312"/>
                <w:b/>
                <w:bCs/>
                <w:color w:val="000000"/>
                <w:kern w:val="0"/>
                <w:sz w:val="24"/>
                <w:szCs w:val="24"/>
                <w:lang w:eastAsia="zh-CN"/>
              </w:rPr>
              <w:t>细则</w:t>
            </w:r>
          </w:p>
        </w:tc>
        <w:tc>
          <w:tcPr>
            <w:tcW w:w="3049" w:type="dxa"/>
            <w:shd w:val="clear" w:color="auto" w:fill="FEF2CC"/>
            <w:noWrap w:val="0"/>
            <w:vAlign w:val="center"/>
          </w:tcPr>
          <w:p>
            <w:pPr>
              <w:widowControl/>
              <w:spacing w:line="280" w:lineRule="exact"/>
              <w:jc w:val="center"/>
              <w:rPr>
                <w:rFonts w:hint="eastAsia" w:ascii="仿宋_GB2312" w:hAnsi="仿宋_GB2312" w:eastAsia="仿宋_GB2312" w:cs="仿宋_GB2312"/>
                <w:b/>
                <w:bCs/>
                <w:color w:val="000000"/>
                <w:kern w:val="0"/>
                <w:sz w:val="24"/>
                <w:szCs w:val="24"/>
              </w:rPr>
            </w:pPr>
          </w:p>
        </w:tc>
        <w:tc>
          <w:tcPr>
            <w:tcW w:w="4356" w:type="dxa"/>
            <w:shd w:val="clear" w:color="auto" w:fill="FEF2CC"/>
            <w:noWrap w:val="0"/>
            <w:vAlign w:val="center"/>
          </w:tcPr>
          <w:p>
            <w:pPr>
              <w:widowControl/>
              <w:spacing w:line="28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评分细则</w:t>
            </w:r>
          </w:p>
        </w:tc>
        <w:tc>
          <w:tcPr>
            <w:tcW w:w="1050" w:type="dxa"/>
            <w:shd w:val="clear" w:color="auto" w:fill="FEF2CC"/>
            <w:noWrap w:val="0"/>
            <w:vAlign w:val="center"/>
          </w:tcPr>
          <w:p>
            <w:pPr>
              <w:widowControl/>
              <w:spacing w:line="28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550" w:type="dxa"/>
            <w:gridSpan w:val="5"/>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一百八十四</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有鼓励全员参与科研工作的制度和办法，</w:t>
            </w:r>
            <w:r>
              <w:rPr>
                <w:rFonts w:hint="eastAsia" w:ascii="仿宋_GB2312" w:hAnsi="仿宋_GB2312" w:eastAsia="仿宋_GB2312" w:cs="仿宋_GB2312"/>
                <w:color w:val="000000"/>
                <w:kern w:val="0"/>
                <w:sz w:val="24"/>
                <w:szCs w:val="24"/>
                <w:lang w:bidi="ar"/>
              </w:rPr>
              <w:t>促进科研成果</w:t>
            </w:r>
            <w:r>
              <w:rPr>
                <w:rFonts w:hint="eastAsia" w:ascii="仿宋_GB2312" w:hAnsi="仿宋_GB2312" w:eastAsia="仿宋_GB2312" w:cs="仿宋_GB2312"/>
                <w:color w:val="000000"/>
                <w:kern w:val="0"/>
                <w:sz w:val="24"/>
                <w:szCs w:val="24"/>
                <w:lang w:val="en-US" w:eastAsia="zh-CN" w:bidi="ar"/>
              </w:rPr>
              <w:t>转移</w:t>
            </w:r>
            <w:r>
              <w:rPr>
                <w:rFonts w:hint="eastAsia" w:ascii="仿宋_GB2312" w:hAnsi="仿宋_GB2312" w:eastAsia="仿宋_GB2312" w:cs="仿宋_GB2312"/>
                <w:color w:val="000000"/>
                <w:kern w:val="0"/>
                <w:sz w:val="24"/>
                <w:szCs w:val="24"/>
                <w:lang w:bidi="ar"/>
              </w:rPr>
              <w:t>转化</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rPr>
              <w:t>并提供适当的经费、条件、设施和人员支持</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2.5分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3.8.184</w:t>
            </w:r>
            <w:r>
              <w:rPr>
                <w:rFonts w:hint="eastAsia" w:ascii="仿宋_GB2312" w:hAnsi="仿宋_GB2312" w:eastAsia="仿宋_GB2312" w:cs="仿宋_GB2312"/>
                <w:color w:val="000000"/>
                <w:kern w:val="0"/>
                <w:sz w:val="24"/>
                <w:szCs w:val="24"/>
              </w:rPr>
              <w:t>.1</w:t>
            </w:r>
          </w:p>
        </w:tc>
        <w:tc>
          <w:tcPr>
            <w:tcW w:w="4482"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有鼓励全员参与科研工作的制度和办法。</w:t>
            </w:r>
          </w:p>
        </w:tc>
        <w:tc>
          <w:tcPr>
            <w:tcW w:w="3049" w:type="dxa"/>
            <w:vMerge w:val="restart"/>
            <w:noWrap w:val="0"/>
            <w:vAlign w:val="center"/>
          </w:tcPr>
          <w:p>
            <w:pPr>
              <w:spacing w:line="320" w:lineRule="exact"/>
              <w:ind w:left="105" w:leftChars="50"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left="105" w:leftChars="50" w:right="105" w:rightChars="5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访谈员工</w:t>
            </w:r>
          </w:p>
          <w:p>
            <w:pPr>
              <w:widowControl/>
              <w:jc w:val="center"/>
              <w:rPr>
                <w:rFonts w:hint="eastAsia" w:ascii="仿宋_GB2312" w:hAnsi="仿宋_GB2312" w:eastAsia="仿宋_GB2312" w:cs="仿宋_GB2312"/>
                <w:color w:val="000000"/>
                <w:kern w:val="0"/>
                <w:sz w:val="24"/>
                <w:szCs w:val="24"/>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1.有科研工作管理制度（0.2分）；</w:t>
            </w:r>
          </w:p>
        </w:tc>
        <w:tc>
          <w:tcPr>
            <w:tcW w:w="1050"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0.8</w:t>
            </w:r>
          </w:p>
          <w:p>
            <w:pPr>
              <w:widowControl/>
              <w:ind w:firstLine="480" w:firstLineChars="20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13"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2.有鼓励全员参与科研工作的制度和办法（0.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13"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c>
          <w:tcPr>
            <w:tcW w:w="4482"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c>
          <w:tcPr>
            <w:tcW w:w="3049"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访谈</w:t>
            </w:r>
            <w:r>
              <w:rPr>
                <w:rFonts w:hint="eastAsia" w:ascii="仿宋_GB2312" w:hAnsi="仿宋_GB2312" w:eastAsia="仿宋_GB2312" w:cs="仿宋_GB2312"/>
                <w:color w:val="000000"/>
                <w:kern w:val="0"/>
                <w:sz w:val="24"/>
                <w:szCs w:val="24"/>
                <w:lang w:bidi="ar"/>
              </w:rPr>
              <w:t>员工知晓鼓励全员参与科研的制度和办法（0.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3.8.184</w:t>
            </w:r>
            <w:r>
              <w:rPr>
                <w:rFonts w:hint="eastAsia" w:ascii="仿宋_GB2312" w:hAnsi="仿宋_GB2312" w:eastAsia="仿宋_GB2312" w:cs="仿宋_GB2312"/>
                <w:color w:val="000000"/>
                <w:kern w:val="0"/>
                <w:sz w:val="24"/>
                <w:szCs w:val="24"/>
              </w:rPr>
              <w:t>.2</w:t>
            </w:r>
          </w:p>
        </w:tc>
        <w:tc>
          <w:tcPr>
            <w:tcW w:w="4482"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有促进科研成果转化的制度和激励措施。</w:t>
            </w:r>
          </w:p>
        </w:tc>
        <w:tc>
          <w:tcPr>
            <w:tcW w:w="3049"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记录查看</w:t>
            </w: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制定有将研究成果转移转化实践应用的激励政策（0.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50"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613"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sz w:val="24"/>
                <w:szCs w:val="24"/>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2.评审周期内医院至少有1项自主创新的适宜技术得到推广或院级研究成果转移转化实践应用或引进技术提高临床诊疗水平的案例（0.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613"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c>
          <w:tcPr>
            <w:tcW w:w="4482"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c>
          <w:tcPr>
            <w:tcW w:w="3049"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3.有省部级研究成果转移转化实践应用的案例（0.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613"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c>
          <w:tcPr>
            <w:tcW w:w="4482"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c>
          <w:tcPr>
            <w:tcW w:w="3049"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4.有国家级研究成果转移转化实践应用的案例（0.</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tabs>
                <w:tab w:val="center" w:pos="1452"/>
                <w:tab w:val="left" w:pos="2157"/>
              </w:tabs>
              <w:jc w:val="left"/>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3.8.184</w:t>
            </w:r>
            <w:r>
              <w:rPr>
                <w:rFonts w:hint="eastAsia" w:ascii="仿宋_GB2312" w:hAnsi="仿宋_GB2312" w:eastAsia="仿宋_GB2312" w:cs="仿宋_GB2312"/>
                <w:color w:val="000000"/>
                <w:kern w:val="0"/>
                <w:sz w:val="24"/>
                <w:szCs w:val="24"/>
              </w:rPr>
              <w:t>.3</w:t>
            </w:r>
          </w:p>
        </w:tc>
        <w:tc>
          <w:tcPr>
            <w:tcW w:w="4482"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提供适当的经费、条件、设施和人员支持科研工作。</w:t>
            </w:r>
          </w:p>
        </w:tc>
        <w:tc>
          <w:tcPr>
            <w:tcW w:w="3049"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数据核查</w:t>
            </w: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1.有</w:t>
            </w:r>
            <w:r>
              <w:rPr>
                <w:rFonts w:hint="eastAsia" w:ascii="仿宋_GB2312" w:hAnsi="仿宋_GB2312" w:eastAsia="仿宋_GB2312" w:cs="仿宋_GB2312"/>
                <w:color w:val="000000"/>
                <w:kern w:val="0"/>
                <w:sz w:val="24"/>
                <w:szCs w:val="24"/>
                <w:lang w:val="en-US" w:eastAsia="zh-CN" w:bidi="ar"/>
              </w:rPr>
              <w:t>支持</w:t>
            </w:r>
            <w:r>
              <w:rPr>
                <w:rFonts w:hint="eastAsia" w:ascii="仿宋_GB2312" w:hAnsi="仿宋_GB2312" w:eastAsia="仿宋_GB2312" w:cs="仿宋_GB2312"/>
                <w:color w:val="000000"/>
                <w:kern w:val="0"/>
                <w:sz w:val="24"/>
                <w:szCs w:val="24"/>
                <w:lang w:bidi="ar"/>
              </w:rPr>
              <w:t>科研</w:t>
            </w:r>
            <w:r>
              <w:rPr>
                <w:rFonts w:hint="eastAsia" w:ascii="仿宋_GB2312" w:hAnsi="仿宋_GB2312" w:eastAsia="仿宋_GB2312" w:cs="仿宋_GB2312"/>
                <w:color w:val="000000"/>
                <w:kern w:val="0"/>
                <w:sz w:val="24"/>
                <w:szCs w:val="24"/>
                <w:lang w:val="en-US" w:eastAsia="zh-CN" w:bidi="ar"/>
              </w:rPr>
              <w:t>工作</w:t>
            </w:r>
            <w:r>
              <w:rPr>
                <w:rFonts w:hint="eastAsia" w:ascii="仿宋_GB2312" w:hAnsi="仿宋_GB2312" w:eastAsia="仿宋_GB2312" w:cs="仿宋_GB2312"/>
                <w:color w:val="000000"/>
                <w:kern w:val="0"/>
                <w:sz w:val="24"/>
                <w:szCs w:val="24"/>
                <w:lang w:bidi="ar"/>
              </w:rPr>
              <w:t>经费</w:t>
            </w:r>
            <w:r>
              <w:rPr>
                <w:rFonts w:hint="eastAsia" w:ascii="仿宋_GB2312" w:hAnsi="仿宋_GB2312" w:eastAsia="仿宋_GB2312" w:cs="仿宋_GB2312"/>
                <w:color w:val="000000"/>
                <w:kern w:val="0"/>
                <w:sz w:val="24"/>
                <w:szCs w:val="24"/>
                <w:lang w:val="en-US" w:eastAsia="zh-CN" w:bidi="ar"/>
              </w:rPr>
              <w:t>预算并落实</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1050" w:type="dxa"/>
            <w:vMerge w:val="restart"/>
            <w:noWrap w:val="0"/>
            <w:vAlign w:val="center"/>
          </w:tcPr>
          <w:p>
            <w:pPr>
              <w:widowControl/>
              <w:rPr>
                <w:rFonts w:hint="eastAsia" w:ascii="仿宋_GB2312" w:hAnsi="仿宋_GB2312" w:eastAsia="仿宋_GB2312" w:cs="仿宋_GB2312"/>
                <w:color w:val="000000"/>
                <w:kern w:val="0"/>
                <w:sz w:val="24"/>
                <w:szCs w:val="24"/>
              </w:rPr>
            </w:pP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3"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2.提供与科研相适应的科研条件与设施，如中心实验室/专业实验室建设、设备仪器购置等（0.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3" w:type="dxa"/>
            <w:vMerge w:val="continue"/>
            <w:noWrap w:val="0"/>
            <w:vAlign w:val="center"/>
          </w:tcPr>
          <w:p>
            <w:pPr>
              <w:widowControl/>
              <w:jc w:val="center"/>
              <w:rPr>
                <w:rFonts w:hint="eastAsia" w:ascii="仿宋_GB2312" w:hAnsi="仿宋_GB2312" w:eastAsia="仿宋_GB2312" w:cs="仿宋_GB2312"/>
                <w:color w:val="000000"/>
                <w:kern w:val="0"/>
                <w:sz w:val="24"/>
                <w:szCs w:val="24"/>
                <w:lang w:eastAsia="zh-CN"/>
              </w:rPr>
            </w:pPr>
          </w:p>
        </w:tc>
        <w:tc>
          <w:tcPr>
            <w:tcW w:w="4482" w:type="dxa"/>
            <w:vMerge w:val="continue"/>
            <w:noWrap w:val="0"/>
            <w:vAlign w:val="center"/>
          </w:tcPr>
          <w:p>
            <w:pPr>
              <w:widowControl/>
              <w:jc w:val="center"/>
              <w:rPr>
                <w:rFonts w:hint="eastAsia" w:ascii="仿宋_GB2312" w:hAnsi="仿宋_GB2312" w:eastAsia="仿宋_GB2312" w:cs="仿宋_GB2312"/>
                <w:color w:val="000000"/>
                <w:kern w:val="0"/>
                <w:sz w:val="24"/>
                <w:szCs w:val="24"/>
                <w:lang w:eastAsia="zh-CN"/>
              </w:rPr>
            </w:pPr>
          </w:p>
        </w:tc>
        <w:tc>
          <w:tcPr>
            <w:tcW w:w="3049" w:type="dxa"/>
            <w:vMerge w:val="continue"/>
            <w:noWrap w:val="0"/>
            <w:vAlign w:val="center"/>
          </w:tcPr>
          <w:p>
            <w:pPr>
              <w:widowControl/>
              <w:jc w:val="center"/>
              <w:rPr>
                <w:rFonts w:hint="eastAsia" w:ascii="仿宋_GB2312" w:hAnsi="仿宋_GB2312" w:eastAsia="仿宋_GB2312" w:cs="仿宋_GB2312"/>
                <w:color w:val="000000"/>
                <w:kern w:val="0"/>
                <w:sz w:val="24"/>
                <w:szCs w:val="24"/>
                <w:lang w:eastAsia="zh-CN"/>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有部门和人员支持和管理</w:t>
            </w:r>
            <w:r>
              <w:rPr>
                <w:rFonts w:hint="eastAsia" w:ascii="仿宋_GB2312" w:hAnsi="仿宋_GB2312" w:eastAsia="仿宋_GB2312" w:cs="仿宋_GB2312"/>
                <w:color w:val="000000"/>
                <w:kern w:val="0"/>
                <w:sz w:val="24"/>
                <w:szCs w:val="24"/>
                <w:lang w:val="en-US" w:eastAsia="zh-CN" w:bidi="ar"/>
              </w:rPr>
              <w:t>科研工作</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550" w:type="dxa"/>
            <w:gridSpan w:val="5"/>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bidi="ar"/>
              </w:rPr>
              <w:t>（一百</w:t>
            </w:r>
            <w:r>
              <w:rPr>
                <w:rFonts w:hint="eastAsia" w:ascii="仿宋_GB2312" w:hAnsi="仿宋_GB2312" w:eastAsia="仿宋_GB2312" w:cs="仿宋_GB2312"/>
                <w:color w:val="000000"/>
                <w:kern w:val="0"/>
                <w:sz w:val="24"/>
                <w:szCs w:val="24"/>
                <w:lang w:val="en-US" w:eastAsia="zh-CN" w:bidi="ar"/>
              </w:rPr>
              <w:t>八十五</w:t>
            </w:r>
            <w:r>
              <w:rPr>
                <w:rFonts w:hint="eastAsia" w:ascii="仿宋_GB2312" w:hAnsi="仿宋_GB2312" w:eastAsia="仿宋_GB2312" w:cs="仿宋_GB2312"/>
                <w:color w:val="000000"/>
                <w:kern w:val="0"/>
                <w:sz w:val="24"/>
                <w:szCs w:val="24"/>
                <w:lang w:bidi="ar"/>
              </w:rPr>
              <w:t>）开展药物、医疗器械临床试验应当符合《药物临床试验质量管理规范》；开展研究者发起的临床研究符合《医疗卫生机构开展临床研究项目管理办法》《医疗卫生机构开展研究者发起的临床研究管理办法（试行）》等相关规定</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1.5分</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rPr>
              <w:t>3.8.185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4482" w:type="dxa"/>
            <w:vMerge w:val="restart"/>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开展药物临床试验应当符合《药物临床试验质量管理规范》的相关规定。</w:t>
            </w:r>
          </w:p>
        </w:tc>
        <w:tc>
          <w:tcPr>
            <w:tcW w:w="3049"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文件查阅</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现场检查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记录查看</w:t>
            </w: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建立</w:t>
            </w:r>
            <w:r>
              <w:rPr>
                <w:rFonts w:hint="eastAsia" w:ascii="仿宋_GB2312" w:hAnsi="仿宋_GB2312" w:eastAsia="仿宋_GB2312" w:cs="仿宋_GB2312"/>
                <w:color w:val="000000"/>
                <w:kern w:val="0"/>
                <w:sz w:val="24"/>
                <w:szCs w:val="24"/>
                <w:lang w:bidi="ar"/>
              </w:rPr>
              <w:t>药物临床试验</w:t>
            </w:r>
            <w:r>
              <w:rPr>
                <w:rFonts w:hint="eastAsia" w:ascii="仿宋_GB2312" w:hAnsi="仿宋_GB2312" w:eastAsia="仿宋_GB2312" w:cs="仿宋_GB2312"/>
                <w:color w:val="000000"/>
                <w:kern w:val="0"/>
                <w:sz w:val="24"/>
                <w:szCs w:val="24"/>
                <w:lang w:val="en-US" w:eastAsia="zh-CN" w:bidi="ar"/>
              </w:rPr>
              <w:t>制度</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3" w:type="dxa"/>
            <w:vMerge w:val="continue"/>
            <w:noWrap w:val="0"/>
            <w:vAlign w:val="center"/>
          </w:tcPr>
          <w:p>
            <w:pPr>
              <w:widowControl/>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356" w:type="dxa"/>
            <w:noWrap w:val="0"/>
            <w:vAlign w:val="center"/>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.有药物临床试验管理规范(GCP)</w:t>
            </w:r>
            <w:r>
              <w:rPr>
                <w:rFonts w:hint="eastAsia" w:ascii="仿宋_GB2312" w:hAnsi="仿宋_GB2312" w:eastAsia="仿宋_GB2312" w:cs="仿宋_GB2312"/>
                <w:color w:val="000000"/>
                <w:kern w:val="0"/>
                <w:sz w:val="24"/>
                <w:szCs w:val="24"/>
                <w:lang w:val="en-US" w:eastAsia="zh-CN" w:bidi="ar"/>
              </w:rPr>
              <w:t>及药物</w:t>
            </w:r>
            <w:r>
              <w:rPr>
                <w:rFonts w:hint="eastAsia" w:ascii="仿宋_GB2312" w:hAnsi="仿宋_GB2312" w:eastAsia="仿宋_GB2312" w:cs="仿宋_GB2312"/>
                <w:color w:val="000000"/>
                <w:kern w:val="0"/>
                <w:sz w:val="24"/>
                <w:szCs w:val="24"/>
                <w:lang w:bidi="ar"/>
              </w:rPr>
              <w:t>临床试验</w:t>
            </w:r>
            <w:r>
              <w:rPr>
                <w:rFonts w:hint="eastAsia" w:ascii="仿宋_GB2312" w:hAnsi="仿宋_GB2312" w:eastAsia="仿宋_GB2312" w:cs="仿宋_GB2312"/>
                <w:color w:val="000000"/>
                <w:kern w:val="0"/>
                <w:sz w:val="24"/>
                <w:szCs w:val="24"/>
                <w:lang w:val="en-US" w:eastAsia="zh-CN" w:bidi="ar"/>
              </w:rPr>
              <w:t>操作规程（</w:t>
            </w:r>
            <w:r>
              <w:rPr>
                <w:rFonts w:hint="eastAsia" w:ascii="仿宋_GB2312" w:hAnsi="仿宋_GB2312" w:eastAsia="仿宋_GB2312" w:cs="仿宋_GB2312"/>
                <w:color w:val="000000"/>
                <w:kern w:val="0"/>
                <w:sz w:val="24"/>
                <w:szCs w:val="24"/>
                <w:lang w:bidi="ar"/>
              </w:rPr>
              <w:t>SOP</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等相关</w:t>
            </w:r>
            <w:r>
              <w:rPr>
                <w:rFonts w:hint="eastAsia" w:ascii="仿宋_GB2312" w:hAnsi="仿宋_GB2312" w:eastAsia="仿宋_GB2312" w:cs="仿宋_GB2312"/>
                <w:color w:val="000000"/>
                <w:kern w:val="0"/>
                <w:sz w:val="24"/>
                <w:szCs w:val="24"/>
                <w:lang w:bidi="ar"/>
              </w:rPr>
              <w:t>管理文件（0.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13"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c>
          <w:tcPr>
            <w:tcW w:w="4482"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c>
          <w:tcPr>
            <w:tcW w:w="3049" w:type="dxa"/>
            <w:vMerge w:val="continue"/>
            <w:noWrap w:val="0"/>
            <w:vAlign w:val="center"/>
          </w:tcPr>
          <w:p>
            <w:pPr>
              <w:widowControl/>
              <w:jc w:val="center"/>
              <w:rPr>
                <w:rFonts w:hint="eastAsia" w:ascii="仿宋_GB2312" w:hAnsi="仿宋_GB2312" w:eastAsia="仿宋_GB2312" w:cs="仿宋_GB2312"/>
                <w:color w:val="000000"/>
                <w:kern w:val="0"/>
                <w:sz w:val="24"/>
                <w:szCs w:val="24"/>
                <w:lang w:bidi="ar"/>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.有对参加临床药物试验人员专业资质管理与批准程序的规定（0.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13"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c>
          <w:tcPr>
            <w:tcW w:w="4482"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c>
          <w:tcPr>
            <w:tcW w:w="3049" w:type="dxa"/>
            <w:vMerge w:val="continue"/>
            <w:noWrap w:val="0"/>
            <w:vAlign w:val="center"/>
          </w:tcPr>
          <w:p>
            <w:pPr>
              <w:widowControl/>
              <w:jc w:val="center"/>
              <w:rPr>
                <w:rFonts w:hint="eastAsia" w:ascii="仿宋_GB2312" w:hAnsi="仿宋_GB2312" w:eastAsia="仿宋_GB2312" w:cs="仿宋_GB2312"/>
                <w:color w:val="000000"/>
                <w:kern w:val="0"/>
                <w:sz w:val="24"/>
                <w:szCs w:val="24"/>
                <w:lang w:bidi="ar"/>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4.科室有定期对药物临床试验相关规范开展培训的记录</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13"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c>
          <w:tcPr>
            <w:tcW w:w="4482"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c>
          <w:tcPr>
            <w:tcW w:w="3049" w:type="dxa"/>
            <w:vMerge w:val="continue"/>
            <w:noWrap w:val="0"/>
            <w:vAlign w:val="center"/>
          </w:tcPr>
          <w:p>
            <w:pPr>
              <w:widowControl/>
              <w:jc w:val="center"/>
              <w:rPr>
                <w:rFonts w:hint="eastAsia" w:ascii="仿宋_GB2312" w:hAnsi="仿宋_GB2312" w:eastAsia="仿宋_GB2312" w:cs="仿宋_GB2312"/>
                <w:color w:val="000000"/>
                <w:kern w:val="0"/>
                <w:sz w:val="24"/>
                <w:szCs w:val="24"/>
                <w:lang w:bidi="ar"/>
              </w:rPr>
            </w:pPr>
          </w:p>
        </w:tc>
        <w:tc>
          <w:tcPr>
            <w:tcW w:w="4356"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主管部门定期督查、分析、反馈，并落实整改</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c>
          <w:tcPr>
            <w:tcW w:w="1050" w:type="dxa"/>
            <w:vMerge w:val="continue"/>
            <w:noWrap w:val="0"/>
            <w:vAlign w:val="center"/>
          </w:tcPr>
          <w:p>
            <w:pPr>
              <w:widowControl/>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rPr>
              <w:t>3.8.185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w:t>
            </w:r>
          </w:p>
        </w:tc>
        <w:tc>
          <w:tcPr>
            <w:tcW w:w="4482" w:type="dxa"/>
            <w:vMerge w:val="restart"/>
            <w:noWrap w:val="0"/>
            <w:vAlign w:val="center"/>
          </w:tcPr>
          <w:p>
            <w:pPr>
              <w:widowControl/>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展研究者发起的临床研究应符合《医疗卫生机构开展临床研究项目管理办法》的相关规定。其中，纳入医疗卫生机构临床研究规范管理试点省份的医疗卫生机构，应当符合《医疗卫生机构开展研究者发起的临床研究管理办法（试行）》的相关规定。</w:t>
            </w:r>
          </w:p>
        </w:tc>
        <w:tc>
          <w:tcPr>
            <w:tcW w:w="3049"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文件查阅</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记录查看</w:t>
            </w:r>
          </w:p>
          <w:p>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现场检查</w:t>
            </w: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1.医院成立</w:t>
            </w:r>
            <w:r>
              <w:rPr>
                <w:rFonts w:hint="eastAsia" w:ascii="仿宋_GB2312" w:hAnsi="仿宋_GB2312" w:eastAsia="仿宋_GB2312" w:cs="仿宋_GB2312"/>
                <w:color w:val="000000"/>
                <w:kern w:val="0"/>
                <w:sz w:val="24"/>
                <w:szCs w:val="24"/>
                <w:lang w:val="en-US" w:eastAsia="zh-CN" w:bidi="ar"/>
              </w:rPr>
              <w:t>有</w:t>
            </w:r>
            <w:r>
              <w:rPr>
                <w:rFonts w:hint="eastAsia" w:ascii="仿宋_GB2312" w:hAnsi="仿宋_GB2312" w:eastAsia="仿宋_GB2312" w:cs="仿宋_GB2312"/>
                <w:color w:val="000000"/>
                <w:kern w:val="0"/>
                <w:sz w:val="24"/>
                <w:szCs w:val="24"/>
                <w:lang w:bidi="ar"/>
              </w:rPr>
              <w:t>临床研究管理委员会，设立或指定专门部门负责临床研究管理工作，</w:t>
            </w:r>
            <w:r>
              <w:rPr>
                <w:rFonts w:hint="eastAsia" w:ascii="仿宋_GB2312" w:hAnsi="仿宋_GB2312" w:eastAsia="仿宋_GB2312" w:cs="仿宋_GB2312"/>
                <w:color w:val="000000"/>
                <w:kern w:val="0"/>
                <w:sz w:val="24"/>
                <w:szCs w:val="24"/>
                <w:lang w:val="en-US" w:eastAsia="zh-CN" w:bidi="ar"/>
              </w:rPr>
              <w:t>职责明确</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13"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sz w:val="24"/>
                <w:szCs w:val="24"/>
              </w:rPr>
            </w:pPr>
          </w:p>
        </w:tc>
        <w:tc>
          <w:tcPr>
            <w:tcW w:w="4482"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sz w:val="24"/>
                <w:szCs w:val="24"/>
              </w:rPr>
            </w:pPr>
          </w:p>
        </w:tc>
        <w:tc>
          <w:tcPr>
            <w:tcW w:w="3049"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sz w:val="24"/>
                <w:szCs w:val="24"/>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2.医院制定有临床研究</w:t>
            </w:r>
            <w:r>
              <w:rPr>
                <w:rFonts w:hint="eastAsia" w:ascii="仿宋_GB2312" w:hAnsi="仿宋_GB2312" w:eastAsia="仿宋_GB2312" w:cs="仿宋_GB2312"/>
                <w:color w:val="000000"/>
                <w:kern w:val="0"/>
                <w:sz w:val="24"/>
                <w:szCs w:val="24"/>
                <w:lang w:val="en-US" w:eastAsia="zh-CN" w:bidi="ar"/>
              </w:rPr>
              <w:t>各项管理制度，明确</w:t>
            </w:r>
            <w:r>
              <w:rPr>
                <w:rFonts w:hint="eastAsia" w:ascii="仿宋_GB2312" w:hAnsi="仿宋_GB2312" w:eastAsia="仿宋_GB2312" w:cs="仿宋_GB2312"/>
                <w:color w:val="000000"/>
                <w:kern w:val="0"/>
                <w:sz w:val="24"/>
                <w:szCs w:val="24"/>
                <w:lang w:bidi="ar"/>
              </w:rPr>
              <w:t>临床研究项目立项审核与实施过程中调整方案的再审查制度与流程（0.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13"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4482"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3049"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项目负责人具有规定的资质、条件，所发起的</w:t>
            </w:r>
            <w:r>
              <w:rPr>
                <w:rFonts w:hint="eastAsia" w:ascii="仿宋_GB2312" w:hAnsi="仿宋_GB2312" w:eastAsia="仿宋_GB2312" w:cs="仿宋_GB2312"/>
                <w:color w:val="000000"/>
                <w:kern w:val="0"/>
                <w:sz w:val="24"/>
                <w:szCs w:val="24"/>
                <w:lang w:bidi="ar"/>
              </w:rPr>
              <w:t>临床研究项目</w:t>
            </w:r>
            <w:r>
              <w:rPr>
                <w:rFonts w:hint="eastAsia" w:ascii="仿宋_GB2312" w:hAnsi="仿宋_GB2312" w:eastAsia="仿宋_GB2312" w:cs="仿宋_GB2312"/>
                <w:color w:val="000000"/>
                <w:kern w:val="0"/>
                <w:sz w:val="24"/>
                <w:szCs w:val="24"/>
                <w:lang w:val="en-US" w:eastAsia="zh-CN" w:bidi="ar"/>
              </w:rPr>
              <w:t>按规定获得立项审核批准</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13"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4482"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3049"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项目经费</w:t>
            </w:r>
            <w:r>
              <w:rPr>
                <w:rFonts w:hint="eastAsia" w:ascii="仿宋_GB2312" w:hAnsi="仿宋_GB2312" w:eastAsia="仿宋_GB2312" w:cs="仿宋_GB2312"/>
                <w:color w:val="000000"/>
                <w:kern w:val="0"/>
                <w:sz w:val="24"/>
                <w:szCs w:val="24"/>
                <w:lang w:bidi="ar"/>
              </w:rPr>
              <w:t>实行单独建账、单独核算、专款专用（0.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13"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4482"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3049"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主管部门对临床研究项目实施全过程监管，定期组织进行伦理、安全性、财务合规性和效果评价</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13"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4482"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3049"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6.落实不良事件</w:t>
            </w:r>
            <w:r>
              <w:rPr>
                <w:rFonts w:hint="eastAsia" w:ascii="仿宋_GB2312" w:hAnsi="仿宋_GB2312" w:eastAsia="仿宋_GB2312" w:cs="仿宋_GB2312"/>
                <w:color w:val="000000"/>
                <w:kern w:val="0"/>
                <w:sz w:val="24"/>
                <w:szCs w:val="24"/>
                <w:lang w:val="en-US" w:eastAsia="zh-CN" w:bidi="ar"/>
              </w:rPr>
              <w:t>上报</w:t>
            </w:r>
            <w:r>
              <w:rPr>
                <w:rFonts w:hint="eastAsia" w:ascii="仿宋_GB2312" w:hAnsi="仿宋_GB2312" w:eastAsia="仿宋_GB2312" w:cs="仿宋_GB2312"/>
                <w:color w:val="000000"/>
                <w:kern w:val="0"/>
                <w:sz w:val="24"/>
                <w:szCs w:val="24"/>
                <w:lang w:bidi="ar"/>
              </w:rPr>
              <w:t>制度，根据不良事件的性质和严重程度及时作出继续、暂停或终止临床研究的决定（0.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r>
              <w:rPr>
                <w:rFonts w:hint="eastAsia" w:ascii="仿宋_GB2312" w:hAnsi="仿宋_GB2312" w:eastAsia="仿宋_GB2312" w:cs="仿宋_GB2312"/>
                <w:color w:val="000000"/>
                <w:kern w:val="0"/>
                <w:sz w:val="24"/>
                <w:szCs w:val="24"/>
                <w:lang w:eastAsia="zh-CN" w:bidi="ar"/>
              </w:rPr>
              <w:t>。</w:t>
            </w:r>
          </w:p>
        </w:tc>
        <w:tc>
          <w:tcPr>
            <w:tcW w:w="1050"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rPr>
              <w:t>3.8.185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3</w:t>
            </w:r>
          </w:p>
        </w:tc>
        <w:tc>
          <w:tcPr>
            <w:tcW w:w="4482" w:type="dxa"/>
            <w:vMerge w:val="restart"/>
            <w:noWrap w:val="0"/>
            <w:vAlign w:val="center"/>
          </w:tcPr>
          <w:p>
            <w:pPr>
              <w:widowControl/>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开展的临床试验及临床研究应按要求在国家医学研究登记备案信息系统及时进行备案。</w:t>
            </w:r>
          </w:p>
        </w:tc>
        <w:tc>
          <w:tcPr>
            <w:tcW w:w="3049"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现场检查</w:t>
            </w:r>
          </w:p>
          <w:p>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文件查阅</w:t>
            </w: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1.现场查阅</w:t>
            </w:r>
            <w:r>
              <w:rPr>
                <w:rFonts w:hint="eastAsia" w:ascii="仿宋_GB2312" w:hAnsi="仿宋_GB2312" w:eastAsia="仿宋_GB2312" w:cs="仿宋_GB2312"/>
                <w:color w:val="000000"/>
                <w:kern w:val="0"/>
                <w:sz w:val="24"/>
                <w:szCs w:val="24"/>
                <w:lang w:bidi="ar"/>
              </w:rPr>
              <w:t>开展的临床试验及临床研究按要求在国家医学研究登记备案信息系统进行备案</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0.2分</w:t>
            </w:r>
            <w:r>
              <w:rPr>
                <w:rFonts w:hint="eastAsia" w:ascii="仿宋_GB2312" w:hAnsi="仿宋_GB2312" w:eastAsia="仿宋_GB2312" w:cs="仿宋_GB2312"/>
                <w:color w:val="000000"/>
                <w:kern w:val="0"/>
                <w:sz w:val="24"/>
                <w:szCs w:val="24"/>
                <w:lang w:eastAsia="zh-CN" w:bidi="ar"/>
              </w:rPr>
              <w:t>）；</w:t>
            </w:r>
          </w:p>
        </w:tc>
        <w:tc>
          <w:tcPr>
            <w:tcW w:w="1050" w:type="dxa"/>
            <w:vMerge w:val="restart"/>
            <w:noWrap w:val="0"/>
            <w:vAlign w:val="center"/>
          </w:tcPr>
          <w:p>
            <w:pPr>
              <w:widowControl/>
              <w:ind w:firstLine="240" w:firstLineChars="100"/>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13"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sz w:val="24"/>
                <w:szCs w:val="24"/>
              </w:rPr>
            </w:pPr>
          </w:p>
        </w:tc>
        <w:tc>
          <w:tcPr>
            <w:tcW w:w="4482"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sz w:val="24"/>
                <w:szCs w:val="24"/>
              </w:rPr>
            </w:pPr>
          </w:p>
        </w:tc>
        <w:tc>
          <w:tcPr>
            <w:tcW w:w="3049"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sz w:val="24"/>
                <w:szCs w:val="24"/>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2.备案信息全面、准确、及时</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0.2分</w:t>
            </w:r>
            <w:r>
              <w:rPr>
                <w:rFonts w:hint="eastAsia" w:ascii="仿宋_GB2312" w:hAnsi="仿宋_GB2312" w:eastAsia="仿宋_GB2312" w:cs="仿宋_GB2312"/>
                <w:color w:val="000000"/>
                <w:kern w:val="0"/>
                <w:sz w:val="24"/>
                <w:szCs w:val="24"/>
                <w:lang w:eastAsia="zh-CN" w:bidi="ar"/>
              </w:rPr>
              <w:t>）。</w:t>
            </w:r>
          </w:p>
        </w:tc>
        <w:tc>
          <w:tcPr>
            <w:tcW w:w="1050"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550" w:type="dxa"/>
            <w:gridSpan w:val="5"/>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一百八十六</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开展涉及人的生物医学研究应经伦理委员会审查。伦理委员会的人员组成、日常管理和审查工作应符合《涉及人的生物医学研究伦理审查办法》规定</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1.5分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3.8.186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4482" w:type="dxa"/>
            <w:vMerge w:val="restart"/>
            <w:noWrap w:val="0"/>
            <w:vAlign w:val="center"/>
          </w:tcPr>
          <w:p>
            <w:pPr>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开展涉及人的生物医学研究应当经伦理委员会审查。</w:t>
            </w:r>
          </w:p>
        </w:tc>
        <w:tc>
          <w:tcPr>
            <w:tcW w:w="3049"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jc w:val="center"/>
              <w:rPr>
                <w:rFonts w:hint="eastAsia" w:ascii="仿宋_GB2312" w:hAnsi="仿宋_GB2312" w:eastAsia="仿宋_GB2312" w:cs="仿宋_GB2312"/>
                <w:strike w:val="0"/>
                <w:dstrike w:val="0"/>
                <w:color w:val="000000"/>
                <w:kern w:val="0"/>
                <w:sz w:val="24"/>
                <w:szCs w:val="24"/>
                <w:highlight w:val="lightGray"/>
              </w:rPr>
            </w:pPr>
            <w:r>
              <w:rPr>
                <w:rFonts w:hint="eastAsia" w:ascii="仿宋_GB2312" w:hAnsi="仿宋_GB2312" w:eastAsia="仿宋_GB2312" w:cs="仿宋_GB2312"/>
                <w:color w:val="000000"/>
                <w:sz w:val="24"/>
                <w:szCs w:val="24"/>
              </w:rPr>
              <w:t>记录查看</w:t>
            </w: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1.开展涉及人的生物医学研究经伦理委员会审查，有</w:t>
            </w:r>
            <w:r>
              <w:rPr>
                <w:rFonts w:hint="eastAsia" w:ascii="仿宋_GB2312" w:hAnsi="仿宋_GB2312" w:eastAsia="仿宋_GB2312" w:cs="仿宋_GB2312"/>
                <w:color w:val="000000"/>
                <w:kern w:val="0"/>
                <w:sz w:val="24"/>
                <w:szCs w:val="24"/>
                <w:lang w:val="en-US" w:eastAsia="zh-CN" w:bidi="ar"/>
              </w:rPr>
              <w:t>审查</w:t>
            </w:r>
            <w:r>
              <w:rPr>
                <w:rFonts w:hint="eastAsia" w:ascii="仿宋_GB2312" w:hAnsi="仿宋_GB2312" w:eastAsia="仿宋_GB2312" w:cs="仿宋_GB2312"/>
                <w:color w:val="000000"/>
                <w:kern w:val="0"/>
                <w:sz w:val="24"/>
                <w:szCs w:val="24"/>
                <w:lang w:bidi="ar"/>
              </w:rPr>
              <w:t>记录（0.3分）；</w:t>
            </w:r>
          </w:p>
        </w:tc>
        <w:tc>
          <w:tcPr>
            <w:tcW w:w="1050" w:type="dxa"/>
            <w:vMerge w:val="restart"/>
            <w:noWrap w:val="0"/>
            <w:vAlign w:val="center"/>
          </w:tcPr>
          <w:p>
            <w:pPr>
              <w:widowControl/>
              <w:rPr>
                <w:rFonts w:hint="eastAsia" w:ascii="仿宋_GB2312" w:hAnsi="仿宋_GB2312" w:eastAsia="仿宋_GB2312" w:cs="仿宋_GB2312"/>
                <w:strike w:val="0"/>
                <w:dstrike w:val="0"/>
                <w:color w:val="000000"/>
                <w:kern w:val="0"/>
                <w:sz w:val="24"/>
                <w:szCs w:val="24"/>
                <w:highlight w:val="none"/>
              </w:rPr>
            </w:pP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13" w:type="dxa"/>
            <w:vMerge w:val="continue"/>
            <w:noWrap w:val="0"/>
            <w:vAlign w:val="center"/>
          </w:tcPr>
          <w:p>
            <w:pPr>
              <w:widowControl/>
              <w:tabs>
                <w:tab w:val="center" w:pos="769"/>
                <w:tab w:val="right" w:pos="1419"/>
              </w:tabs>
              <w:jc w:val="left"/>
              <w:rPr>
                <w:rFonts w:hint="eastAsia" w:ascii="仿宋_GB2312" w:hAnsi="仿宋_GB2312" w:eastAsia="仿宋_GB2312" w:cs="仿宋_GB2312"/>
                <w:color w:val="000000"/>
                <w:sz w:val="24"/>
                <w:szCs w:val="24"/>
              </w:rPr>
            </w:pPr>
          </w:p>
        </w:tc>
        <w:tc>
          <w:tcPr>
            <w:tcW w:w="4482" w:type="dxa"/>
            <w:vMerge w:val="continue"/>
            <w:noWrap w:val="0"/>
            <w:vAlign w:val="center"/>
          </w:tcPr>
          <w:p>
            <w:pPr>
              <w:jc w:val="both"/>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tabs>
                <w:tab w:val="center" w:pos="769"/>
                <w:tab w:val="right" w:pos="1419"/>
              </w:tabs>
              <w:jc w:val="center"/>
              <w:rPr>
                <w:rFonts w:hint="eastAsia" w:ascii="仿宋_GB2312" w:hAnsi="仿宋_GB2312" w:eastAsia="仿宋_GB2312" w:cs="仿宋_GB2312"/>
                <w:color w:val="000000"/>
                <w:sz w:val="24"/>
                <w:szCs w:val="24"/>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2.员工知晓涉及人的生物医学研究应经伦理委员会审查（0.</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tabs>
                <w:tab w:val="center" w:pos="769"/>
                <w:tab w:val="right" w:pos="1419"/>
              </w:tabs>
              <w:jc w:val="left"/>
              <w:rPr>
                <w:rFonts w:hint="eastAsia" w:ascii="仿宋_GB2312" w:hAnsi="仿宋_GB2312" w:eastAsia="仿宋_GB2312" w:cs="仿宋_GB2312"/>
                <w:strike w:val="0"/>
                <w:dstrike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13" w:type="dxa"/>
            <w:vMerge w:val="continue"/>
            <w:noWrap w:val="0"/>
            <w:vAlign w:val="center"/>
          </w:tcPr>
          <w:p>
            <w:pPr>
              <w:widowControl/>
              <w:tabs>
                <w:tab w:val="center" w:pos="769"/>
                <w:tab w:val="right" w:pos="1419"/>
              </w:tabs>
              <w:jc w:val="left"/>
              <w:rPr>
                <w:rFonts w:hint="eastAsia" w:ascii="仿宋_GB2312" w:hAnsi="仿宋_GB2312" w:eastAsia="仿宋_GB2312" w:cs="仿宋_GB2312"/>
                <w:strike w:val="0"/>
                <w:dstrike w:val="0"/>
                <w:color w:val="000000"/>
                <w:kern w:val="0"/>
                <w:sz w:val="24"/>
                <w:szCs w:val="24"/>
                <w:highlight w:val="none"/>
                <w:lang w:val="en-US" w:eastAsia="zh-CN"/>
              </w:rPr>
            </w:pPr>
          </w:p>
        </w:tc>
        <w:tc>
          <w:tcPr>
            <w:tcW w:w="4482" w:type="dxa"/>
            <w:vMerge w:val="continue"/>
            <w:noWrap w:val="0"/>
            <w:vAlign w:val="center"/>
          </w:tcPr>
          <w:p>
            <w:pPr>
              <w:jc w:val="both"/>
              <w:rPr>
                <w:rFonts w:hint="eastAsia" w:ascii="仿宋_GB2312" w:hAnsi="仿宋_GB2312" w:eastAsia="仿宋_GB2312" w:cs="仿宋_GB2312"/>
                <w:color w:val="000000"/>
                <w:sz w:val="24"/>
                <w:szCs w:val="24"/>
                <w:lang w:val="en-US" w:eastAsia="zh-CN"/>
              </w:rPr>
            </w:pPr>
          </w:p>
        </w:tc>
        <w:tc>
          <w:tcPr>
            <w:tcW w:w="3049" w:type="dxa"/>
            <w:vMerge w:val="continue"/>
            <w:noWrap w:val="0"/>
            <w:vAlign w:val="center"/>
          </w:tcPr>
          <w:p>
            <w:pPr>
              <w:widowControl/>
              <w:tabs>
                <w:tab w:val="center" w:pos="769"/>
                <w:tab w:val="right" w:pos="1419"/>
              </w:tabs>
              <w:jc w:val="center"/>
              <w:rPr>
                <w:rFonts w:hint="eastAsia" w:ascii="仿宋_GB2312" w:hAnsi="仿宋_GB2312" w:eastAsia="仿宋_GB2312" w:cs="仿宋_GB2312"/>
                <w:strike w:val="0"/>
                <w:dstrike w:val="0"/>
                <w:color w:val="000000"/>
                <w:kern w:val="0"/>
                <w:sz w:val="24"/>
                <w:szCs w:val="24"/>
                <w:highlight w:val="none"/>
                <w:lang w:val="en-US" w:eastAsia="zh-CN"/>
              </w:rPr>
            </w:pPr>
          </w:p>
        </w:tc>
        <w:tc>
          <w:tcPr>
            <w:tcW w:w="4356" w:type="dxa"/>
            <w:noWrap w:val="0"/>
            <w:vAlign w:val="center"/>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有</w:t>
            </w:r>
            <w:r>
              <w:rPr>
                <w:rFonts w:hint="eastAsia" w:ascii="仿宋_GB2312" w:hAnsi="仿宋_GB2312" w:eastAsia="仿宋_GB2312" w:cs="仿宋_GB2312"/>
                <w:color w:val="000000"/>
                <w:kern w:val="0"/>
                <w:sz w:val="24"/>
                <w:szCs w:val="24"/>
                <w:lang w:bidi="ar"/>
              </w:rPr>
              <w:t>违规擅自开展涉及人的生物医学研究案例</w:t>
            </w:r>
            <w:r>
              <w:rPr>
                <w:rFonts w:hint="eastAsia" w:ascii="仿宋_GB2312" w:hAnsi="仿宋_GB2312" w:eastAsia="仿宋_GB2312" w:cs="仿宋_GB2312"/>
                <w:color w:val="000000"/>
                <w:kern w:val="0"/>
                <w:sz w:val="24"/>
                <w:szCs w:val="24"/>
                <w:lang w:val="en-US" w:eastAsia="zh-CN" w:bidi="ar"/>
              </w:rPr>
              <w:t>本款不得分</w:t>
            </w:r>
            <w:r>
              <w:rPr>
                <w:rFonts w:hint="eastAsia" w:ascii="仿宋_GB2312" w:hAnsi="仿宋_GB2312" w:eastAsia="仿宋_GB2312" w:cs="仿宋_GB2312"/>
                <w:color w:val="000000"/>
                <w:kern w:val="0"/>
                <w:sz w:val="24"/>
                <w:szCs w:val="24"/>
                <w:lang w:bidi="ar"/>
              </w:rPr>
              <w:t>。</w:t>
            </w:r>
          </w:p>
        </w:tc>
        <w:tc>
          <w:tcPr>
            <w:tcW w:w="1050" w:type="dxa"/>
            <w:vMerge w:val="continue"/>
            <w:noWrap w:val="0"/>
            <w:vAlign w:val="center"/>
          </w:tcPr>
          <w:p>
            <w:pPr>
              <w:widowControl/>
              <w:tabs>
                <w:tab w:val="center" w:pos="769"/>
                <w:tab w:val="right" w:pos="1419"/>
              </w:tabs>
              <w:jc w:val="left"/>
              <w:rPr>
                <w:rFonts w:hint="eastAsia" w:ascii="仿宋_GB2312" w:hAnsi="仿宋_GB2312" w:eastAsia="仿宋_GB2312" w:cs="仿宋_GB2312"/>
                <w:strike w:val="0"/>
                <w:dstrike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13" w:type="dxa"/>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3.8.186</w:t>
            </w:r>
            <w:r>
              <w:rPr>
                <w:rFonts w:hint="eastAsia" w:ascii="仿宋_GB2312" w:hAnsi="仿宋_GB2312" w:eastAsia="仿宋_GB2312" w:cs="仿宋_GB2312"/>
                <w:color w:val="000000"/>
                <w:kern w:val="0"/>
                <w:sz w:val="24"/>
                <w:szCs w:val="24"/>
              </w:rPr>
              <w:t>.2</w:t>
            </w:r>
          </w:p>
        </w:tc>
        <w:tc>
          <w:tcPr>
            <w:tcW w:w="4482" w:type="dxa"/>
            <w:noWrap w:val="0"/>
            <w:vAlign w:val="center"/>
          </w:tcPr>
          <w:p>
            <w:pPr>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医院应设有完善的伦理审查工作制度或操作规程。</w:t>
            </w:r>
          </w:p>
        </w:tc>
        <w:tc>
          <w:tcPr>
            <w:tcW w:w="3049" w:type="dxa"/>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文件查阅</w:t>
            </w: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医院制定有完善的伦理审查工作制度或操作规程，包括但不限于审查标准、审查内容和程序等（0.3分）。</w:t>
            </w:r>
          </w:p>
        </w:tc>
        <w:tc>
          <w:tcPr>
            <w:tcW w:w="1050" w:type="dxa"/>
            <w:noWrap w:val="0"/>
            <w:vAlign w:val="center"/>
          </w:tcPr>
          <w:p>
            <w:pPr>
              <w:widowControl/>
              <w:rPr>
                <w:rFonts w:hint="eastAsia" w:ascii="仿宋_GB2312" w:hAnsi="仿宋_GB2312" w:eastAsia="仿宋_GB2312" w:cs="仿宋_GB2312"/>
                <w:color w:val="000000"/>
                <w:kern w:val="0"/>
                <w:sz w:val="24"/>
                <w:szCs w:val="24"/>
              </w:rPr>
            </w:pPr>
          </w:p>
          <w:p>
            <w:pPr>
              <w:widowControl/>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3.8.186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3</w:t>
            </w:r>
          </w:p>
        </w:tc>
        <w:tc>
          <w:tcPr>
            <w:tcW w:w="4482" w:type="dxa"/>
            <w:vMerge w:val="restart"/>
            <w:noWrap w:val="0"/>
            <w:vAlign w:val="center"/>
          </w:tcPr>
          <w:p>
            <w:pPr>
              <w:spacing w:line="300" w:lineRule="exact"/>
              <w:ind w:right="105" w:rightChars="50"/>
              <w:jc w:val="both"/>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伦理委员会的人员组成、日常管理和审查工作应当符合《涉及人的生物医学研究伦理审查办法》规定。</w:t>
            </w:r>
          </w:p>
          <w:p>
            <w:pPr>
              <w:widowControl/>
              <w:rPr>
                <w:rFonts w:hint="eastAsia" w:ascii="仿宋_GB2312" w:hAnsi="仿宋_GB2312" w:eastAsia="仿宋_GB2312" w:cs="仿宋_GB2312"/>
                <w:strike/>
                <w:dstrike w:val="0"/>
                <w:color w:val="000000"/>
                <w:sz w:val="24"/>
                <w:szCs w:val="24"/>
              </w:rPr>
            </w:pPr>
          </w:p>
        </w:tc>
        <w:tc>
          <w:tcPr>
            <w:tcW w:w="3049" w:type="dxa"/>
            <w:vMerge w:val="restart"/>
            <w:noWrap w:val="0"/>
            <w:vAlign w:val="center"/>
          </w:tcPr>
          <w:p>
            <w:pPr>
              <w:spacing w:line="300" w:lineRule="exact"/>
              <w:ind w:right="105" w:rightChars="50"/>
              <w:jc w:val="center"/>
              <w:rPr>
                <w:rFonts w:hint="eastAsia" w:ascii="仿宋_GB2312" w:hAnsi="仿宋_GB2312" w:eastAsia="仿宋_GB2312" w:cs="仿宋_GB2312"/>
                <w:strike w:val="0"/>
                <w:dstrike w:val="0"/>
                <w:color w:val="000000"/>
                <w:sz w:val="24"/>
                <w:szCs w:val="24"/>
                <w:highlight w:val="none"/>
              </w:rPr>
            </w:pPr>
            <w:r>
              <w:rPr>
                <w:rFonts w:hint="eastAsia" w:ascii="仿宋_GB2312" w:hAnsi="仿宋_GB2312" w:eastAsia="仿宋_GB2312" w:cs="仿宋_GB2312"/>
                <w:strike w:val="0"/>
                <w:dstrike w:val="0"/>
                <w:color w:val="000000"/>
                <w:sz w:val="24"/>
                <w:szCs w:val="24"/>
                <w:highlight w:val="none"/>
              </w:rPr>
              <w:t>文件查阅</w:t>
            </w:r>
          </w:p>
          <w:p>
            <w:pPr>
              <w:spacing w:line="300" w:lineRule="exact"/>
              <w:ind w:right="105" w:rightChars="50"/>
              <w:jc w:val="center"/>
              <w:rPr>
                <w:rFonts w:hint="eastAsia" w:ascii="仿宋_GB2312" w:hAnsi="仿宋_GB2312" w:eastAsia="仿宋_GB2312" w:cs="仿宋_GB2312"/>
                <w:strike w:val="0"/>
                <w:dstrike w:val="0"/>
                <w:color w:val="000000"/>
                <w:sz w:val="24"/>
                <w:szCs w:val="24"/>
                <w:highlight w:val="none"/>
              </w:rPr>
            </w:pPr>
            <w:r>
              <w:rPr>
                <w:rFonts w:hint="eastAsia" w:ascii="仿宋_GB2312" w:hAnsi="仿宋_GB2312" w:eastAsia="仿宋_GB2312" w:cs="仿宋_GB2312"/>
                <w:strike w:val="0"/>
                <w:dstrike w:val="0"/>
                <w:color w:val="000000"/>
                <w:sz w:val="24"/>
                <w:szCs w:val="24"/>
                <w:highlight w:val="none"/>
              </w:rPr>
              <w:t>记录查看</w:t>
            </w:r>
          </w:p>
          <w:p>
            <w:pPr>
              <w:spacing w:line="30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员工访谈</w:t>
            </w: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1.医院成立伦理委员会并备案，人员组成、工作职责符合</w:t>
            </w:r>
            <w:r>
              <w:rPr>
                <w:rFonts w:hint="eastAsia" w:ascii="仿宋_GB2312" w:hAnsi="仿宋_GB2312" w:eastAsia="仿宋_GB2312" w:cs="仿宋_GB2312"/>
                <w:color w:val="000000"/>
                <w:kern w:val="0"/>
                <w:sz w:val="24"/>
                <w:szCs w:val="24"/>
                <w:lang w:val="en-US" w:eastAsia="zh-CN" w:bidi="ar"/>
              </w:rPr>
              <w:t>规定</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13"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jc w:val="center"/>
              <w:rPr>
                <w:rFonts w:hint="eastAsia" w:ascii="仿宋_GB2312" w:hAnsi="仿宋_GB2312" w:eastAsia="仿宋_GB2312" w:cs="仿宋_GB2312"/>
                <w:color w:val="000000"/>
                <w:sz w:val="24"/>
                <w:szCs w:val="24"/>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2.有伦理委员会工作制度及工作流程（0.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13"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4482"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3049"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3.伦理委员会有开展日常管理、审查工作的记录，每年召开不少于2次的伦理委员会</w:t>
            </w:r>
            <w:r>
              <w:rPr>
                <w:rFonts w:hint="eastAsia" w:ascii="仿宋_GB2312" w:hAnsi="仿宋_GB2312" w:eastAsia="仿宋_GB2312" w:cs="仿宋_GB2312"/>
                <w:color w:val="000000"/>
                <w:kern w:val="0"/>
                <w:sz w:val="24"/>
                <w:szCs w:val="24"/>
                <w:lang w:val="en-US" w:eastAsia="zh-CN" w:bidi="ar"/>
              </w:rPr>
              <w:t>会议</w:t>
            </w:r>
            <w:r>
              <w:rPr>
                <w:rFonts w:hint="eastAsia" w:ascii="仿宋_GB2312" w:hAnsi="仿宋_GB2312" w:eastAsia="仿宋_GB2312" w:cs="仿宋_GB2312"/>
                <w:color w:val="000000"/>
                <w:kern w:val="0"/>
                <w:sz w:val="24"/>
                <w:szCs w:val="24"/>
                <w:lang w:bidi="ar"/>
              </w:rPr>
              <w:t>（0.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13"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4482"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3049"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4.伦理委员会委员每年不少于2次的伦理培训、学习记录（0.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13"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4482"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3049"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5.伦理委员会成员知晓伦理审查的工作内容（0.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13"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4482"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3049"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c>
          <w:tcPr>
            <w:tcW w:w="4356"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6.主管部门至少每半年督导检查、分析、反馈，并检查整改落实情况（0.</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分）。</w:t>
            </w:r>
          </w:p>
        </w:tc>
        <w:tc>
          <w:tcPr>
            <w:tcW w:w="1050" w:type="dxa"/>
            <w:vMerge w:val="continue"/>
            <w:noWrap w:val="0"/>
            <w:vAlign w:val="center"/>
          </w:tcPr>
          <w:p>
            <w:pPr>
              <w:widowControl/>
              <w:jc w:val="center"/>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550" w:type="dxa"/>
            <w:gridSpan w:val="5"/>
            <w:noWrap w:val="0"/>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（一百</w:t>
            </w:r>
            <w:r>
              <w:rPr>
                <w:rFonts w:hint="eastAsia" w:ascii="仿宋_GB2312" w:hAnsi="仿宋_GB2312" w:eastAsia="仿宋_GB2312" w:cs="仿宋_GB2312"/>
                <w:color w:val="000000"/>
                <w:kern w:val="0"/>
                <w:sz w:val="24"/>
                <w:szCs w:val="24"/>
                <w:lang w:val="en-US" w:eastAsia="zh-CN" w:bidi="ar"/>
              </w:rPr>
              <w:t>八十七</w:t>
            </w:r>
            <w:r>
              <w:rPr>
                <w:rFonts w:hint="eastAsia" w:ascii="仿宋_GB2312" w:hAnsi="仿宋_GB2312" w:eastAsia="仿宋_GB2312" w:cs="仿宋_GB2312"/>
                <w:color w:val="000000"/>
                <w:kern w:val="0"/>
                <w:sz w:val="24"/>
                <w:szCs w:val="24"/>
                <w:lang w:bidi="ar"/>
              </w:rPr>
              <w:t>）承担临床医学教育任务的医院师资、教学管理干部、设备、设施等资源配置符合有关教育教学标准要求，并取得相应资质认可</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1.5分</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3.8.187</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4482" w:type="dxa"/>
            <w:vMerge w:val="restart"/>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bidi="ar"/>
              </w:rPr>
              <w:t>承担临床医学教育任务的医院师资、教学管理干部取得相应资质认可并符合有关教育教学标准要求。</w:t>
            </w:r>
          </w:p>
        </w:tc>
        <w:tc>
          <w:tcPr>
            <w:tcW w:w="3049"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文件查阅</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记录查看</w:t>
            </w:r>
          </w:p>
          <w:p>
            <w:pPr>
              <w:widowControl/>
              <w:rPr>
                <w:rFonts w:hint="eastAsia" w:ascii="仿宋_GB2312" w:hAnsi="仿宋_GB2312" w:eastAsia="仿宋_GB2312" w:cs="仿宋_GB2312"/>
                <w:color w:val="000000"/>
                <w:kern w:val="0"/>
                <w:sz w:val="24"/>
                <w:szCs w:val="24"/>
                <w:lang w:eastAsia="zh-CN"/>
              </w:rPr>
            </w:pP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1.医院的师资、教学管理干部均取得相应的资质证明，并符合有关教育教学标准要求（0.1分）；</w:t>
            </w:r>
          </w:p>
        </w:tc>
        <w:tc>
          <w:tcPr>
            <w:tcW w:w="1050" w:type="dxa"/>
            <w:vMerge w:val="restart"/>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613" w:type="dxa"/>
            <w:vMerge w:val="continue"/>
            <w:noWrap w:val="0"/>
            <w:vAlign w:val="center"/>
          </w:tcPr>
          <w:p>
            <w:pPr>
              <w:widowControl/>
              <w:ind w:firstLine="403" w:firstLineChars="0"/>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ind w:firstLine="403" w:firstLineChars="0"/>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ind w:firstLine="403" w:firstLineChars="0"/>
              <w:rPr>
                <w:rFonts w:hint="eastAsia" w:ascii="仿宋_GB2312" w:hAnsi="仿宋_GB2312" w:eastAsia="仿宋_GB2312" w:cs="仿宋_GB2312"/>
                <w:color w:val="000000"/>
                <w:sz w:val="24"/>
                <w:szCs w:val="24"/>
              </w:rPr>
            </w:pP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2.医院重视教学师资培训，制定有教学培训规划、资金投入和保障制度并落实（0.2分）；</w:t>
            </w:r>
          </w:p>
        </w:tc>
        <w:tc>
          <w:tcPr>
            <w:tcW w:w="1050"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13"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c>
          <w:tcPr>
            <w:tcW w:w="4482"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c>
          <w:tcPr>
            <w:tcW w:w="3049"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3.有针对师资、教学管理干部的定期培训学习的记录（0.1分）；</w:t>
            </w:r>
          </w:p>
        </w:tc>
        <w:tc>
          <w:tcPr>
            <w:tcW w:w="1050"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613"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c>
          <w:tcPr>
            <w:tcW w:w="4482"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c>
          <w:tcPr>
            <w:tcW w:w="3049"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4.有主管院领导、专门部门和专职人员、专（兼）职教师负责教学管理工作（0.1分）。</w:t>
            </w:r>
          </w:p>
        </w:tc>
        <w:tc>
          <w:tcPr>
            <w:tcW w:w="1050"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3.8.187</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w:t>
            </w:r>
          </w:p>
        </w:tc>
        <w:tc>
          <w:tcPr>
            <w:tcW w:w="4482" w:type="dxa"/>
            <w:vMerge w:val="restart"/>
            <w:noWrap w:val="0"/>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bidi="ar"/>
              </w:rPr>
              <w:t>设备、设施等资源配置符合有关教育教学标准要求。</w:t>
            </w:r>
          </w:p>
        </w:tc>
        <w:tc>
          <w:tcPr>
            <w:tcW w:w="3049"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文件查阅</w:t>
            </w:r>
          </w:p>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bidi="ar"/>
              </w:rPr>
              <w:t>现场检查</w:t>
            </w: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1.有保障教学设备、设施配置到位的制度并落实（0.5分）；</w:t>
            </w:r>
          </w:p>
        </w:tc>
        <w:tc>
          <w:tcPr>
            <w:tcW w:w="1050" w:type="dxa"/>
            <w:vMerge w:val="restart"/>
            <w:noWrap w:val="0"/>
            <w:vAlign w:val="center"/>
          </w:tcPr>
          <w:p>
            <w:pPr>
              <w:widowControl/>
              <w:ind w:firstLine="403" w:firstLineChars="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613" w:type="dxa"/>
            <w:vMerge w:val="continue"/>
            <w:noWrap w:val="0"/>
            <w:vAlign w:val="center"/>
          </w:tcPr>
          <w:p>
            <w:pPr>
              <w:widowControl/>
              <w:ind w:firstLine="403" w:firstLineChars="0"/>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ind w:firstLine="403" w:firstLineChars="0"/>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ind w:firstLine="403" w:firstLineChars="0"/>
              <w:rPr>
                <w:rFonts w:hint="eastAsia" w:ascii="仿宋_GB2312" w:hAnsi="仿宋_GB2312" w:eastAsia="仿宋_GB2312" w:cs="仿宋_GB2312"/>
                <w:color w:val="000000"/>
                <w:sz w:val="24"/>
                <w:szCs w:val="24"/>
              </w:rPr>
            </w:pPr>
          </w:p>
        </w:tc>
        <w:tc>
          <w:tcPr>
            <w:tcW w:w="4356" w:type="dxa"/>
            <w:noWrap w:val="0"/>
            <w:vAlign w:val="center"/>
          </w:tcPr>
          <w:p>
            <w:pPr>
              <w:widowControl/>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2.医院的设备、设施等资源配置符合要求（0.5分）。</w:t>
            </w:r>
          </w:p>
        </w:tc>
        <w:tc>
          <w:tcPr>
            <w:tcW w:w="1050" w:type="dxa"/>
            <w:vMerge w:val="continue"/>
            <w:noWrap w:val="0"/>
            <w:vAlign w:val="center"/>
          </w:tcPr>
          <w:p>
            <w:pPr>
              <w:widowControl/>
              <w:ind w:firstLine="403" w:firstLineChars="0"/>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50" w:type="dxa"/>
            <w:gridSpan w:val="5"/>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一百八十八</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根据临床、教学、科研和管理的需要，有计划、有重点地收集国内外各种医学及相关学科的图书和文献，开展多层次多种方式的读者服务工作，提高信息资源的利用率</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13"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3.8.188.</w:t>
            </w:r>
            <w:r>
              <w:rPr>
                <w:rFonts w:hint="eastAsia" w:ascii="仿宋_GB2312" w:hAnsi="仿宋_GB2312" w:eastAsia="仿宋_GB2312" w:cs="仿宋_GB2312"/>
                <w:color w:val="000000"/>
                <w:kern w:val="0"/>
                <w:sz w:val="24"/>
                <w:szCs w:val="24"/>
              </w:rPr>
              <w:t>1</w:t>
            </w:r>
          </w:p>
        </w:tc>
        <w:tc>
          <w:tcPr>
            <w:tcW w:w="4482" w:type="dxa"/>
            <w:vMerge w:val="restart"/>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根据临床、教学、科研和管理的需要，有计划、有重点地收集国内外各种医学及相关学科的图书和文献。</w:t>
            </w:r>
          </w:p>
        </w:tc>
        <w:tc>
          <w:tcPr>
            <w:tcW w:w="3049"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现场检查</w:t>
            </w: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1.有图书馆提供文献查询服务（0.1分）；</w:t>
            </w:r>
          </w:p>
        </w:tc>
        <w:tc>
          <w:tcPr>
            <w:tcW w:w="1050" w:type="dxa"/>
            <w:vMerge w:val="restart"/>
            <w:noWrap w:val="0"/>
            <w:vAlign w:val="center"/>
          </w:tcPr>
          <w:p>
            <w:pPr>
              <w:widowControl/>
              <w:rPr>
                <w:rFonts w:hint="eastAsia" w:ascii="仿宋_GB2312" w:hAnsi="仿宋_GB2312" w:eastAsia="仿宋_GB2312" w:cs="仿宋_GB2312"/>
                <w:color w:val="000000"/>
                <w:kern w:val="0"/>
                <w:sz w:val="24"/>
                <w:szCs w:val="24"/>
              </w:rPr>
            </w:pP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13" w:type="dxa"/>
            <w:vMerge w:val="continue"/>
            <w:noWrap w:val="0"/>
            <w:vAlign w:val="center"/>
          </w:tcPr>
          <w:p>
            <w:pPr>
              <w:widowControl/>
              <w:jc w:val="left"/>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jc w:val="left"/>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jc w:val="left"/>
              <w:rPr>
                <w:rFonts w:hint="eastAsia" w:ascii="仿宋_GB2312" w:hAnsi="仿宋_GB2312" w:eastAsia="仿宋_GB2312" w:cs="仿宋_GB2312"/>
                <w:color w:val="000000"/>
                <w:sz w:val="24"/>
                <w:szCs w:val="24"/>
              </w:rPr>
            </w:pP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2.图书馆有专门科室管理，能满足临床科研教学需求（0.1分）；</w:t>
            </w:r>
          </w:p>
        </w:tc>
        <w:tc>
          <w:tcPr>
            <w:tcW w:w="1050" w:type="dxa"/>
            <w:vMerge w:val="continue"/>
            <w:noWrap w:val="0"/>
            <w:vAlign w:val="center"/>
          </w:tcPr>
          <w:p>
            <w:pPr>
              <w:widowControl/>
              <w:jc w:val="left"/>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13" w:type="dxa"/>
            <w:vMerge w:val="continue"/>
            <w:noWrap w:val="0"/>
            <w:vAlign w:val="center"/>
          </w:tcPr>
          <w:p>
            <w:pPr>
              <w:widowControl/>
              <w:jc w:val="left"/>
              <w:rPr>
                <w:rFonts w:hint="eastAsia" w:ascii="仿宋_GB2312" w:hAnsi="仿宋_GB2312" w:eastAsia="仿宋_GB2312" w:cs="仿宋_GB2312"/>
                <w:color w:val="000000"/>
                <w:kern w:val="0"/>
                <w:sz w:val="24"/>
                <w:szCs w:val="24"/>
                <w:lang w:val="en-US" w:eastAsia="zh-CN"/>
              </w:rPr>
            </w:pPr>
          </w:p>
        </w:tc>
        <w:tc>
          <w:tcPr>
            <w:tcW w:w="4482" w:type="dxa"/>
            <w:vMerge w:val="continue"/>
            <w:noWrap w:val="0"/>
            <w:vAlign w:val="center"/>
          </w:tcPr>
          <w:p>
            <w:pPr>
              <w:widowControl/>
              <w:jc w:val="left"/>
              <w:rPr>
                <w:rFonts w:hint="eastAsia" w:ascii="仿宋_GB2312" w:hAnsi="仿宋_GB2312" w:eastAsia="仿宋_GB2312" w:cs="仿宋_GB2312"/>
                <w:color w:val="000000"/>
                <w:kern w:val="0"/>
                <w:sz w:val="24"/>
                <w:szCs w:val="24"/>
                <w:lang w:val="en-US" w:eastAsia="zh-CN"/>
              </w:rPr>
            </w:pPr>
          </w:p>
        </w:tc>
        <w:tc>
          <w:tcPr>
            <w:tcW w:w="3049" w:type="dxa"/>
            <w:vMerge w:val="continue"/>
            <w:noWrap w:val="0"/>
            <w:vAlign w:val="center"/>
          </w:tcPr>
          <w:p>
            <w:pPr>
              <w:widowControl/>
              <w:jc w:val="left"/>
              <w:rPr>
                <w:rFonts w:hint="eastAsia" w:ascii="仿宋_GB2312" w:hAnsi="仿宋_GB2312" w:eastAsia="仿宋_GB2312" w:cs="仿宋_GB2312"/>
                <w:color w:val="000000"/>
                <w:kern w:val="0"/>
                <w:sz w:val="24"/>
                <w:szCs w:val="24"/>
                <w:lang w:val="en-US" w:eastAsia="zh-CN"/>
              </w:rPr>
            </w:pP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3.有数据或记录体现医院不断更新藏书刊总量和中外文数据库检索服务情况以满足临床科研教学需求（0.1分）。</w:t>
            </w:r>
          </w:p>
        </w:tc>
        <w:tc>
          <w:tcPr>
            <w:tcW w:w="1050" w:type="dxa"/>
            <w:vMerge w:val="continue"/>
            <w:noWrap w:val="0"/>
            <w:vAlign w:val="center"/>
          </w:tcPr>
          <w:p>
            <w:pPr>
              <w:widowControl/>
              <w:jc w:val="left"/>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13" w:type="dxa"/>
            <w:vMerge w:val="restart"/>
            <w:noWrap w:val="0"/>
            <w:vAlign w:val="center"/>
          </w:tcPr>
          <w:p>
            <w:pPr>
              <w:widowControl/>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b w:val="0"/>
                <w:bCs w:val="0"/>
                <w:color w:val="000000"/>
                <w:kern w:val="0"/>
                <w:sz w:val="24"/>
                <w:szCs w:val="24"/>
                <w:lang w:val="en-US" w:eastAsia="zh-CN"/>
              </w:rPr>
              <w:t>3.8.188.2</w:t>
            </w:r>
          </w:p>
        </w:tc>
        <w:tc>
          <w:tcPr>
            <w:tcW w:w="4482" w:type="dxa"/>
            <w:vMerge w:val="restart"/>
            <w:noWrap w:val="0"/>
            <w:vAlign w:val="center"/>
          </w:tcPr>
          <w:p>
            <w:pPr>
              <w:widowControl/>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开展多层次多种方式的读者服务工作，提高信息资源的利用率。</w:t>
            </w:r>
          </w:p>
        </w:tc>
        <w:tc>
          <w:tcPr>
            <w:tcW w:w="3049"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员工访谈</w:t>
            </w: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1.有网上图书预约、催还、续借和馆际互借等功能；可提供网络版医学文献数据库（中文、外文期刊库等）全文文献检索服务（0.1分）；</w:t>
            </w:r>
          </w:p>
        </w:tc>
        <w:tc>
          <w:tcPr>
            <w:tcW w:w="1050" w:type="dxa"/>
            <w:vMerge w:val="restart"/>
            <w:noWrap w:val="0"/>
            <w:vAlign w:val="center"/>
          </w:tcPr>
          <w:p>
            <w:pPr>
              <w:widowControl/>
              <w:rPr>
                <w:rFonts w:hint="eastAsia" w:ascii="仿宋_GB2312" w:hAnsi="仿宋_GB2312" w:eastAsia="仿宋_GB2312" w:cs="仿宋_GB2312"/>
                <w:color w:val="000000"/>
                <w:kern w:val="0"/>
                <w:sz w:val="24"/>
                <w:szCs w:val="24"/>
              </w:rPr>
            </w:pP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613"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4482"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3049" w:type="dxa"/>
            <w:vMerge w:val="continue"/>
            <w:noWrap w:val="0"/>
            <w:vAlign w:val="center"/>
          </w:tcPr>
          <w:p>
            <w:pPr>
              <w:widowControl/>
              <w:jc w:val="both"/>
              <w:rPr>
                <w:rFonts w:hint="eastAsia" w:ascii="仿宋_GB2312" w:hAnsi="仿宋_GB2312" w:eastAsia="仿宋_GB2312" w:cs="仿宋_GB2312"/>
                <w:color w:val="000000"/>
                <w:sz w:val="24"/>
                <w:szCs w:val="24"/>
              </w:rPr>
            </w:pP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2.有开展定题检索、课题查新、信息编译和分析研究以及最新文献报道等信息服务工作（0.1分）；</w:t>
            </w:r>
          </w:p>
        </w:tc>
        <w:tc>
          <w:tcPr>
            <w:tcW w:w="1050"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13"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c>
          <w:tcPr>
            <w:tcW w:w="4482"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c>
          <w:tcPr>
            <w:tcW w:w="3049"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c>
          <w:tcPr>
            <w:tcW w:w="43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3.员工对图书馆资源、服务效率满意（0.1分）。</w:t>
            </w:r>
          </w:p>
        </w:tc>
        <w:tc>
          <w:tcPr>
            <w:tcW w:w="1050" w:type="dxa"/>
            <w:vMerge w:val="continue"/>
            <w:noWrap w:val="0"/>
            <w:vAlign w:val="center"/>
          </w:tcPr>
          <w:p>
            <w:pPr>
              <w:widowControl/>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13" w:type="dxa"/>
            <w:vMerge w:val="restart"/>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bookmarkStart w:id="226" w:name="_Toc18354"/>
            <w:r>
              <w:rPr>
                <w:rFonts w:hint="eastAsia" w:ascii="仿宋_GB2312" w:hAnsi="仿宋_GB2312" w:eastAsia="仿宋_GB2312" w:cs="仿宋_GB2312"/>
                <w:b w:val="0"/>
                <w:bCs w:val="0"/>
                <w:color w:val="000000"/>
                <w:kern w:val="0"/>
                <w:sz w:val="24"/>
                <w:szCs w:val="24"/>
                <w:lang w:val="en-US" w:eastAsia="zh-CN"/>
              </w:rPr>
              <w:t>3.8.188.3</w:t>
            </w:r>
          </w:p>
        </w:tc>
        <w:tc>
          <w:tcPr>
            <w:tcW w:w="4482" w:type="dxa"/>
            <w:vMerge w:val="restart"/>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全面落实规范化继续医学教育工作</w:t>
            </w:r>
          </w:p>
        </w:tc>
        <w:tc>
          <w:tcPr>
            <w:tcW w:w="3049" w:type="dxa"/>
            <w:vMerge w:val="restart"/>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文件查阅</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记录查看</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数据核查</w:t>
            </w:r>
          </w:p>
        </w:tc>
        <w:tc>
          <w:tcPr>
            <w:tcW w:w="4356" w:type="dxa"/>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1.国家级及自治区继续医学教育项目执行率：评审周期内有国家级或自治区级继续教育项目立项 ，且项目执行率达≥85%得0.1分，85%＞评审周期内项目执行率≥80%得0.05分，＜80%不得分；</w:t>
            </w:r>
          </w:p>
        </w:tc>
        <w:tc>
          <w:tcPr>
            <w:tcW w:w="1050" w:type="dxa"/>
            <w:vMerge w:val="restart"/>
            <w:noWrap w:val="0"/>
            <w:vAlign w:val="center"/>
          </w:tcPr>
          <w:p>
            <w:pPr>
              <w:widowControl/>
              <w:jc w:val="center"/>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13"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4482"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049"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4356" w:type="dxa"/>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r>
              <w:rPr>
                <w:rFonts w:hint="eastAsia" w:ascii="仿宋_GB2312" w:hAnsi="仿宋_GB2312" w:eastAsia="仿宋_GB2312" w:cs="仿宋_GB2312"/>
                <w:b w:val="0"/>
                <w:bCs w:val="0"/>
                <w:color w:val="000000"/>
                <w:kern w:val="0"/>
                <w:sz w:val="24"/>
                <w:szCs w:val="24"/>
                <w:lang w:val="zh-CN" w:eastAsia="zh-CN"/>
              </w:rPr>
              <w:t>卫生技术人员继续医学教育年度学分达标率：卫生技术人员总体达标率达到100%（</w:t>
            </w:r>
            <w:r>
              <w:rPr>
                <w:rFonts w:hint="eastAsia" w:ascii="仿宋_GB2312" w:hAnsi="仿宋_GB2312" w:eastAsia="仿宋_GB2312" w:cs="仿宋_GB2312"/>
                <w:b w:val="0"/>
                <w:bCs w:val="0"/>
                <w:color w:val="000000"/>
                <w:kern w:val="0"/>
                <w:sz w:val="24"/>
                <w:szCs w:val="24"/>
                <w:lang w:val="en-US" w:eastAsia="zh-CN"/>
              </w:rPr>
              <w:t>0.1分</w:t>
            </w:r>
            <w:r>
              <w:rPr>
                <w:rFonts w:hint="eastAsia" w:ascii="仿宋_GB2312" w:hAnsi="仿宋_GB2312" w:eastAsia="仿宋_GB2312" w:cs="仿宋_GB2312"/>
                <w:b w:val="0"/>
                <w:bCs w:val="0"/>
                <w:color w:val="000000"/>
                <w:kern w:val="0"/>
                <w:sz w:val="24"/>
                <w:szCs w:val="24"/>
                <w:lang w:val="zh-CN" w:eastAsia="zh-CN"/>
              </w:rPr>
              <w:t>），每降低1%扣0.</w:t>
            </w:r>
            <w:r>
              <w:rPr>
                <w:rFonts w:hint="eastAsia" w:ascii="仿宋_GB2312" w:hAnsi="仿宋_GB2312" w:eastAsia="仿宋_GB2312" w:cs="仿宋_GB2312"/>
                <w:b w:val="0"/>
                <w:bCs w:val="0"/>
                <w:color w:val="000000"/>
                <w:kern w:val="0"/>
                <w:sz w:val="24"/>
                <w:szCs w:val="24"/>
                <w:lang w:val="en-US" w:eastAsia="zh-CN"/>
              </w:rPr>
              <w:t>05</w:t>
            </w:r>
            <w:r>
              <w:rPr>
                <w:rFonts w:hint="eastAsia" w:ascii="仿宋_GB2312" w:hAnsi="仿宋_GB2312" w:eastAsia="仿宋_GB2312" w:cs="仿宋_GB2312"/>
                <w:b w:val="0"/>
                <w:bCs w:val="0"/>
                <w:color w:val="000000"/>
                <w:kern w:val="0"/>
                <w:sz w:val="24"/>
                <w:szCs w:val="24"/>
                <w:lang w:val="zh-CN" w:eastAsia="zh-CN"/>
              </w:rPr>
              <w:t>分，＜95%不得分；</w:t>
            </w:r>
          </w:p>
        </w:tc>
        <w:tc>
          <w:tcPr>
            <w:tcW w:w="105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13"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4482"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3049"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c>
          <w:tcPr>
            <w:tcW w:w="4356" w:type="dxa"/>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w:t>
            </w:r>
            <w:r>
              <w:rPr>
                <w:rFonts w:hint="eastAsia" w:ascii="仿宋_GB2312" w:hAnsi="仿宋_GB2312" w:eastAsia="仿宋_GB2312" w:cs="仿宋_GB2312"/>
                <w:b w:val="0"/>
                <w:bCs w:val="0"/>
                <w:color w:val="000000"/>
                <w:kern w:val="0"/>
                <w:sz w:val="24"/>
                <w:szCs w:val="24"/>
                <w:lang w:val="zh-CN" w:eastAsia="zh-CN"/>
              </w:rPr>
              <w:t>全面覆盖卫生技术人员接受继续医学教育：卫生技术人员接受继续医学教育覆盖率达到100%（</w:t>
            </w:r>
            <w:r>
              <w:rPr>
                <w:rFonts w:hint="eastAsia" w:ascii="仿宋_GB2312" w:hAnsi="仿宋_GB2312" w:eastAsia="仿宋_GB2312" w:cs="仿宋_GB2312"/>
                <w:b w:val="0"/>
                <w:bCs w:val="0"/>
                <w:color w:val="000000"/>
                <w:kern w:val="0"/>
                <w:sz w:val="24"/>
                <w:szCs w:val="24"/>
                <w:lang w:val="en-US" w:eastAsia="zh-CN"/>
              </w:rPr>
              <w:t>0.2分</w:t>
            </w:r>
            <w:r>
              <w:rPr>
                <w:rFonts w:hint="eastAsia" w:ascii="仿宋_GB2312" w:hAnsi="仿宋_GB2312" w:eastAsia="仿宋_GB2312" w:cs="仿宋_GB2312"/>
                <w:b w:val="0"/>
                <w:bCs w:val="0"/>
                <w:color w:val="000000"/>
                <w:kern w:val="0"/>
                <w:sz w:val="24"/>
                <w:szCs w:val="24"/>
                <w:lang w:val="zh-CN" w:eastAsia="zh-CN"/>
              </w:rPr>
              <w:t>）；每降低1%扣0.</w:t>
            </w:r>
            <w:r>
              <w:rPr>
                <w:rFonts w:hint="eastAsia" w:ascii="仿宋_GB2312" w:hAnsi="仿宋_GB2312" w:eastAsia="仿宋_GB2312" w:cs="仿宋_GB2312"/>
                <w:b w:val="0"/>
                <w:bCs w:val="0"/>
                <w:color w:val="000000"/>
                <w:kern w:val="0"/>
                <w:sz w:val="24"/>
                <w:szCs w:val="24"/>
                <w:lang w:val="en-US" w:eastAsia="zh-CN"/>
              </w:rPr>
              <w:t>05</w:t>
            </w:r>
            <w:r>
              <w:rPr>
                <w:rFonts w:hint="eastAsia" w:ascii="仿宋_GB2312" w:hAnsi="仿宋_GB2312" w:eastAsia="仿宋_GB2312" w:cs="仿宋_GB2312"/>
                <w:b w:val="0"/>
                <w:bCs w:val="0"/>
                <w:color w:val="000000"/>
                <w:kern w:val="0"/>
                <w:sz w:val="24"/>
                <w:szCs w:val="24"/>
                <w:lang w:val="zh-CN" w:eastAsia="zh-CN"/>
              </w:rPr>
              <w:t>分，＜95%不得分。</w:t>
            </w:r>
          </w:p>
        </w:tc>
        <w:tc>
          <w:tcPr>
            <w:tcW w:w="1050" w:type="dxa"/>
            <w:vMerge w:val="continue"/>
            <w:noWrap w:val="0"/>
            <w:vAlign w:val="center"/>
          </w:tcPr>
          <w:p>
            <w:pPr>
              <w:widowControl/>
              <w:rPr>
                <w:rFonts w:hint="eastAsia" w:ascii="仿宋_GB2312" w:hAnsi="仿宋_GB2312" w:eastAsia="仿宋_GB2312" w:cs="仿宋_GB2312"/>
                <w:b w:val="0"/>
                <w:bCs w:val="0"/>
                <w:color w:val="000000"/>
                <w:kern w:val="0"/>
                <w:sz w:val="24"/>
                <w:szCs w:val="24"/>
                <w:lang w:val="en-US" w:eastAsia="zh-CN"/>
              </w:rPr>
            </w:pPr>
          </w:p>
        </w:tc>
      </w:tr>
      <w:bookmarkEnd w:id="225"/>
    </w:tbl>
    <w:p>
      <w:pPr>
        <w:keepNext/>
        <w:keepLines/>
        <w:widowControl/>
        <w:spacing w:line="460" w:lineRule="exact"/>
        <w:ind w:firstLine="562" w:firstLineChars="200"/>
        <w:jc w:val="left"/>
        <w:outlineLvl w:val="9"/>
        <w:rPr>
          <w:rFonts w:hint="eastAsia" w:ascii="仿宋_GB2312" w:hAnsi="仿宋_GB2312" w:eastAsia="仿宋_GB2312" w:cs="仿宋_GB2312"/>
          <w:b/>
          <w:color w:val="000000"/>
          <w:kern w:val="0"/>
          <w:sz w:val="28"/>
          <w:szCs w:val="28"/>
        </w:rPr>
      </w:pPr>
    </w:p>
    <w:p>
      <w:pPr>
        <w:pStyle w:val="5"/>
        <w:bidi w:val="0"/>
        <w:rPr>
          <w:rFonts w:hint="eastAsia"/>
          <w:color w:val="000000"/>
        </w:rPr>
      </w:pPr>
      <w:bookmarkStart w:id="227" w:name="_Toc17477"/>
    </w:p>
    <w:p>
      <w:pPr>
        <w:pStyle w:val="5"/>
        <w:bidi w:val="0"/>
        <w:rPr>
          <w:rFonts w:hint="eastAsia"/>
          <w:color w:val="000000"/>
        </w:rPr>
      </w:pPr>
    </w:p>
    <w:p>
      <w:pPr>
        <w:pStyle w:val="5"/>
        <w:bidi w:val="0"/>
        <w:rPr>
          <w:rFonts w:hint="eastAsia"/>
          <w:color w:val="000000"/>
          <w:lang w:val="en-US" w:eastAsia="zh-CN"/>
        </w:rPr>
      </w:pPr>
      <w:bookmarkStart w:id="228" w:name="_Toc14067"/>
      <w:bookmarkStart w:id="229" w:name="_Toc12839"/>
      <w:r>
        <w:rPr>
          <w:rFonts w:hint="eastAsia"/>
          <w:color w:val="000000"/>
        </w:rPr>
        <w:t>九、行风与文化建设管理（</w:t>
      </w:r>
      <w:r>
        <w:rPr>
          <w:rFonts w:hint="eastAsia"/>
          <w:color w:val="000000"/>
          <w:lang w:val="en-US" w:eastAsia="zh-CN"/>
        </w:rPr>
        <w:t>7</w:t>
      </w:r>
      <w:r>
        <w:rPr>
          <w:rFonts w:hint="eastAsia"/>
          <w:color w:val="000000"/>
        </w:rPr>
        <w:t>分）</w:t>
      </w:r>
      <w:bookmarkEnd w:id="226"/>
      <w:bookmarkEnd w:id="227"/>
      <w:bookmarkEnd w:id="228"/>
      <w:bookmarkEnd w:id="229"/>
    </w:p>
    <w:tbl>
      <w:tblPr>
        <w:tblStyle w:val="14"/>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5"/>
        <w:gridCol w:w="15"/>
        <w:gridCol w:w="4109"/>
        <w:gridCol w:w="3032"/>
        <w:gridCol w:w="4349"/>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6074" w:type="dxa"/>
            <w:gridSpan w:val="4"/>
            <w:shd w:val="clear" w:color="auto" w:fill="FEF2CC"/>
            <w:noWrap w:val="0"/>
            <w:vAlign w:val="center"/>
          </w:tcPr>
          <w:p>
            <w:pPr>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val="en-US" w:eastAsia="zh-CN"/>
              </w:rPr>
              <w:t>指标细则</w:t>
            </w:r>
          </w:p>
        </w:tc>
        <w:tc>
          <w:tcPr>
            <w:tcW w:w="3032" w:type="dxa"/>
            <w:shd w:val="clear" w:color="auto" w:fill="FEF2CC"/>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评审方法</w:t>
            </w:r>
          </w:p>
        </w:tc>
        <w:tc>
          <w:tcPr>
            <w:tcW w:w="4349" w:type="dxa"/>
            <w:shd w:val="clear" w:color="auto" w:fill="FEF2CC"/>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评分细则</w:t>
            </w:r>
          </w:p>
        </w:tc>
        <w:tc>
          <w:tcPr>
            <w:tcW w:w="1065" w:type="dxa"/>
            <w:shd w:val="clear" w:color="auto" w:fill="FEF2CC"/>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520" w:type="dxa"/>
            <w:gridSpan w:val="7"/>
            <w:noWrap w:val="0"/>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一百八十九</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医院应当加强医务人员职业道德教育， 弘扬社会主义核心价值观和新时代医疗卫生职业精神，坚持 “以患者为中心”，尊重患者权利，履行防病治病、救死扶伤、保护人民健康的神圣职责</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2分</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45" w:type="dxa"/>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0"/>
                <w:sz w:val="24"/>
                <w:szCs w:val="24"/>
                <w:lang w:val="en-US" w:eastAsia="zh-CN"/>
              </w:rPr>
              <w:t>3.9.189.</w:t>
            </w:r>
            <w:r>
              <w:rPr>
                <w:rFonts w:hint="eastAsia" w:ascii="仿宋_GB2312" w:hAnsi="仿宋_GB2312" w:eastAsia="仿宋_GB2312" w:cs="仿宋_GB2312"/>
                <w:color w:val="000000"/>
                <w:sz w:val="24"/>
                <w:szCs w:val="24"/>
              </w:rPr>
              <w:t>1</w:t>
            </w:r>
          </w:p>
        </w:tc>
        <w:tc>
          <w:tcPr>
            <w:tcW w:w="4129" w:type="dxa"/>
            <w:gridSpan w:val="3"/>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医院应当加强医务人员职业道德教育。</w:t>
            </w:r>
          </w:p>
        </w:tc>
        <w:tc>
          <w:tcPr>
            <w:tcW w:w="3032" w:type="dxa"/>
            <w:vMerge w:val="restart"/>
            <w:noWrap w:val="0"/>
            <w:vAlign w:val="center"/>
          </w:tcPr>
          <w:p>
            <w:pPr>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1.制定有加强医务人员职业道德教育的相关规定和具体措施</w:t>
            </w:r>
            <w:r>
              <w:rPr>
                <w:rStyle w:val="28"/>
                <w:rFonts w:hint="eastAsia" w:ascii="仿宋_GB2312" w:hAnsi="仿宋_GB2312" w:eastAsia="仿宋_GB2312" w:cs="仿宋_GB2312"/>
                <w:color w:val="000000"/>
                <w:sz w:val="24"/>
                <w:szCs w:val="24"/>
                <w:lang w:val="en-US" w:eastAsia="zh-CN" w:bidi="ar"/>
              </w:rPr>
              <w:t>（0.2分）；</w:t>
            </w:r>
          </w:p>
        </w:tc>
        <w:tc>
          <w:tcPr>
            <w:tcW w:w="1065" w:type="dxa"/>
            <w:vMerge w:val="restart"/>
            <w:noWrap w:val="0"/>
            <w:vAlign w:val="center"/>
          </w:tcPr>
          <w:p>
            <w:pPr>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0.6</w:t>
            </w:r>
          </w:p>
          <w:p>
            <w:pPr>
              <w:ind w:firstLine="480" w:firstLineChars="2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945" w:type="dxa"/>
            <w:vMerge w:val="continue"/>
            <w:noWrap w:val="0"/>
            <w:vAlign w:val="center"/>
          </w:tcPr>
          <w:p>
            <w:pPr>
              <w:rPr>
                <w:rFonts w:hint="eastAsia" w:ascii="仿宋_GB2312" w:hAnsi="仿宋_GB2312" w:eastAsia="仿宋_GB2312" w:cs="仿宋_GB2312"/>
                <w:color w:val="000000"/>
                <w:sz w:val="24"/>
                <w:szCs w:val="24"/>
              </w:rPr>
            </w:pPr>
          </w:p>
        </w:tc>
        <w:tc>
          <w:tcPr>
            <w:tcW w:w="4129" w:type="dxa"/>
            <w:gridSpan w:val="3"/>
            <w:vMerge w:val="continue"/>
            <w:noWrap w:val="0"/>
            <w:vAlign w:val="center"/>
          </w:tcPr>
          <w:p>
            <w:pPr>
              <w:rPr>
                <w:rFonts w:hint="eastAsia" w:ascii="仿宋_GB2312" w:hAnsi="仿宋_GB2312" w:eastAsia="仿宋_GB2312" w:cs="仿宋_GB2312"/>
                <w:color w:val="000000"/>
                <w:sz w:val="24"/>
                <w:szCs w:val="24"/>
              </w:rPr>
            </w:pPr>
          </w:p>
        </w:tc>
        <w:tc>
          <w:tcPr>
            <w:tcW w:w="3032" w:type="dxa"/>
            <w:vMerge w:val="continue"/>
            <w:noWrap w:val="0"/>
            <w:vAlign w:val="center"/>
          </w:tcPr>
          <w:p>
            <w:pPr>
              <w:jc w:val="center"/>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2.制定有年度医务人员职业道德教育培训计划</w:t>
            </w:r>
            <w:r>
              <w:rPr>
                <w:rStyle w:val="28"/>
                <w:rFonts w:hint="eastAsia" w:ascii="仿宋_GB2312" w:hAnsi="仿宋_GB2312" w:eastAsia="仿宋_GB2312" w:cs="仿宋_GB2312"/>
                <w:color w:val="000000"/>
                <w:sz w:val="24"/>
                <w:szCs w:val="24"/>
                <w:lang w:val="en-US" w:eastAsia="zh-CN" w:bidi="ar"/>
              </w:rPr>
              <w:t>（0.2分）；</w:t>
            </w:r>
          </w:p>
        </w:tc>
        <w:tc>
          <w:tcPr>
            <w:tcW w:w="1065" w:type="dxa"/>
            <w:vMerge w:val="continue"/>
            <w:noWrap w:val="0"/>
            <w:vAlign w:val="center"/>
          </w:tcPr>
          <w:p>
            <w:pP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45" w:type="dxa"/>
            <w:vMerge w:val="continue"/>
            <w:noWrap w:val="0"/>
            <w:vAlign w:val="center"/>
          </w:tcPr>
          <w:p>
            <w:pPr>
              <w:rPr>
                <w:rFonts w:hint="eastAsia" w:ascii="仿宋_GB2312" w:hAnsi="仿宋_GB2312" w:eastAsia="仿宋_GB2312" w:cs="仿宋_GB2312"/>
                <w:color w:val="000000"/>
                <w:sz w:val="24"/>
                <w:szCs w:val="24"/>
                <w:lang w:eastAsia="zh-CN"/>
              </w:rPr>
            </w:pPr>
          </w:p>
        </w:tc>
        <w:tc>
          <w:tcPr>
            <w:tcW w:w="4129" w:type="dxa"/>
            <w:gridSpan w:val="3"/>
            <w:vMerge w:val="continue"/>
            <w:noWrap w:val="0"/>
            <w:vAlign w:val="center"/>
          </w:tcPr>
          <w:p>
            <w:pPr>
              <w:rPr>
                <w:rFonts w:hint="eastAsia" w:ascii="仿宋_GB2312" w:hAnsi="仿宋_GB2312" w:eastAsia="仿宋_GB2312" w:cs="仿宋_GB2312"/>
                <w:color w:val="000000"/>
                <w:sz w:val="24"/>
                <w:szCs w:val="24"/>
                <w:lang w:eastAsia="zh-CN"/>
              </w:rPr>
            </w:pPr>
          </w:p>
        </w:tc>
        <w:tc>
          <w:tcPr>
            <w:tcW w:w="3032" w:type="dxa"/>
            <w:vMerge w:val="continue"/>
            <w:noWrap w:val="0"/>
            <w:vAlign w:val="center"/>
          </w:tcPr>
          <w:p>
            <w:pPr>
              <w:jc w:val="center"/>
              <w:rPr>
                <w:rFonts w:hint="eastAsia" w:ascii="仿宋_GB2312" w:hAnsi="仿宋_GB2312" w:eastAsia="仿宋_GB2312" w:cs="仿宋_GB2312"/>
                <w:color w:val="000000"/>
                <w:sz w:val="24"/>
                <w:szCs w:val="24"/>
                <w:lang w:eastAsia="zh-CN"/>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3.定期开展医务人员职业道德教育培训</w:t>
            </w:r>
            <w:r>
              <w:rPr>
                <w:rStyle w:val="28"/>
                <w:rFonts w:hint="eastAsia" w:ascii="仿宋_GB2312" w:hAnsi="仿宋_GB2312" w:eastAsia="仿宋_GB2312" w:cs="仿宋_GB2312"/>
                <w:color w:val="000000"/>
                <w:sz w:val="24"/>
                <w:szCs w:val="24"/>
                <w:lang w:val="en-US" w:eastAsia="zh-CN" w:bidi="ar"/>
              </w:rPr>
              <w:t>（0.2分）。</w:t>
            </w:r>
          </w:p>
        </w:tc>
        <w:tc>
          <w:tcPr>
            <w:tcW w:w="1065" w:type="dxa"/>
            <w:vMerge w:val="continue"/>
            <w:noWrap w:val="0"/>
            <w:vAlign w:val="center"/>
          </w:tcPr>
          <w:p>
            <w:pP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45" w:type="dxa"/>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0"/>
                <w:sz w:val="24"/>
                <w:szCs w:val="24"/>
                <w:lang w:val="en-US" w:eastAsia="zh-CN"/>
              </w:rPr>
              <w:t>3.9.189.</w:t>
            </w:r>
            <w:r>
              <w:rPr>
                <w:rFonts w:hint="eastAsia" w:ascii="仿宋_GB2312" w:hAnsi="仿宋_GB2312" w:eastAsia="仿宋_GB2312" w:cs="仿宋_GB2312"/>
                <w:color w:val="000000"/>
                <w:sz w:val="24"/>
                <w:szCs w:val="24"/>
              </w:rPr>
              <w:t>2</w:t>
            </w:r>
          </w:p>
        </w:tc>
        <w:tc>
          <w:tcPr>
            <w:tcW w:w="4129" w:type="dxa"/>
            <w:gridSpan w:val="3"/>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弘扬社会主义核心价值观和新时代医疗卫生职业精神，在医院工作中予以体现。</w:t>
            </w:r>
          </w:p>
        </w:tc>
        <w:tc>
          <w:tcPr>
            <w:tcW w:w="3032" w:type="dxa"/>
            <w:vMerge w:val="restart"/>
            <w:noWrap w:val="0"/>
            <w:vAlign w:val="center"/>
          </w:tcPr>
          <w:p>
            <w:pPr>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p>
            <w:pPr>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1.医院官网、微信公众号等多种媒介宣传弘扬核心主义价值观和新时代医疗卫生职业精神，并在院内树立先进典型和榜样</w:t>
            </w:r>
            <w:r>
              <w:rPr>
                <w:rStyle w:val="29"/>
                <w:rFonts w:hint="eastAsia" w:ascii="仿宋_GB2312" w:hAnsi="仿宋_GB2312" w:eastAsia="仿宋_GB2312" w:cs="仿宋_GB2312"/>
                <w:color w:val="000000"/>
                <w:sz w:val="24"/>
                <w:szCs w:val="24"/>
                <w:lang w:val="en-US" w:eastAsia="zh-CN" w:bidi="ar"/>
              </w:rPr>
              <w:t>（0.2分）；</w:t>
            </w:r>
          </w:p>
        </w:tc>
        <w:tc>
          <w:tcPr>
            <w:tcW w:w="1065" w:type="dxa"/>
            <w:vMerge w:val="restart"/>
            <w:noWrap w:val="0"/>
            <w:vAlign w:val="center"/>
          </w:tcPr>
          <w:p>
            <w:pPr>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4129" w:type="dxa"/>
            <w:gridSpan w:val="3"/>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3032"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2.访谈员工知晓职业道德规范要求、法律法规、社会主义核心价值观及新时代医疗卫生职业精神内涵（0.2分）。</w:t>
            </w:r>
          </w:p>
        </w:tc>
        <w:tc>
          <w:tcPr>
            <w:tcW w:w="106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45" w:type="dxa"/>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0"/>
                <w:sz w:val="24"/>
                <w:szCs w:val="24"/>
                <w:lang w:val="en-US" w:eastAsia="zh-CN"/>
              </w:rPr>
              <w:t>3.9.189.</w:t>
            </w:r>
            <w:r>
              <w:rPr>
                <w:rFonts w:hint="eastAsia" w:ascii="仿宋_GB2312" w:hAnsi="仿宋_GB2312" w:eastAsia="仿宋_GB2312" w:cs="仿宋_GB2312"/>
                <w:color w:val="000000"/>
                <w:sz w:val="24"/>
                <w:szCs w:val="24"/>
              </w:rPr>
              <w:t>3</w:t>
            </w:r>
          </w:p>
        </w:tc>
        <w:tc>
          <w:tcPr>
            <w:tcW w:w="4129" w:type="dxa"/>
            <w:gridSpan w:val="3"/>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坚持“以患者为中心”，尊重患者权利，履行防病治病、救死扶伤、保护人民健康的神圣职责。</w:t>
            </w:r>
          </w:p>
        </w:tc>
        <w:tc>
          <w:tcPr>
            <w:tcW w:w="3032" w:type="dxa"/>
            <w:vMerge w:val="restart"/>
            <w:noWrap w:val="0"/>
            <w:vAlign w:val="center"/>
          </w:tcPr>
          <w:p>
            <w:pPr>
              <w:spacing w:line="30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0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0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jc w:val="center"/>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1.有指定部门负责收集院内、外对医院服务意见和建议；有相应的制度流程（0.2分）；</w:t>
            </w:r>
          </w:p>
        </w:tc>
        <w:tc>
          <w:tcPr>
            <w:tcW w:w="1065" w:type="dxa"/>
            <w:vMerge w:val="restart"/>
            <w:noWrap w:val="0"/>
            <w:vAlign w:val="center"/>
          </w:tcPr>
          <w:p>
            <w:pPr>
              <w:rPr>
                <w:rFonts w:hint="eastAsia" w:ascii="仿宋_GB2312" w:hAnsi="仿宋_GB2312" w:eastAsia="仿宋_GB2312" w:cs="仿宋_GB2312"/>
                <w:color w:val="000000"/>
                <w:sz w:val="24"/>
                <w:szCs w:val="24"/>
              </w:rPr>
            </w:pPr>
          </w:p>
          <w:p>
            <w:pPr>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45" w:type="dxa"/>
            <w:vMerge w:val="continue"/>
            <w:noWrap w:val="0"/>
            <w:vAlign w:val="center"/>
          </w:tcPr>
          <w:p>
            <w:pPr>
              <w:rPr>
                <w:rFonts w:hint="eastAsia" w:ascii="仿宋_GB2312" w:hAnsi="仿宋_GB2312" w:eastAsia="仿宋_GB2312" w:cs="仿宋_GB2312"/>
                <w:color w:val="000000"/>
                <w:sz w:val="24"/>
                <w:szCs w:val="24"/>
              </w:rPr>
            </w:pPr>
          </w:p>
        </w:tc>
        <w:tc>
          <w:tcPr>
            <w:tcW w:w="4129" w:type="dxa"/>
            <w:gridSpan w:val="3"/>
            <w:vMerge w:val="continue"/>
            <w:noWrap w:val="0"/>
            <w:vAlign w:val="center"/>
          </w:tcPr>
          <w:p>
            <w:pPr>
              <w:rPr>
                <w:rFonts w:hint="eastAsia" w:ascii="仿宋_GB2312" w:hAnsi="仿宋_GB2312" w:eastAsia="仿宋_GB2312" w:cs="仿宋_GB2312"/>
                <w:color w:val="000000"/>
                <w:sz w:val="24"/>
                <w:szCs w:val="24"/>
              </w:rPr>
            </w:pPr>
          </w:p>
        </w:tc>
        <w:tc>
          <w:tcPr>
            <w:tcW w:w="3032" w:type="dxa"/>
            <w:vMerge w:val="continue"/>
            <w:noWrap w:val="0"/>
            <w:vAlign w:val="center"/>
          </w:tcPr>
          <w:p>
            <w:pPr>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2.现场查看各种意见/建议收集渠道运行畅通（0.2分）；</w:t>
            </w:r>
          </w:p>
        </w:tc>
        <w:tc>
          <w:tcPr>
            <w:tcW w:w="1065" w:type="dxa"/>
            <w:vMerge w:val="continue"/>
            <w:noWrap w:val="0"/>
            <w:vAlign w:val="center"/>
          </w:tcPr>
          <w:p>
            <w:pP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45" w:type="dxa"/>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4129" w:type="dxa"/>
            <w:gridSpan w:val="3"/>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3.有收集意见和建议原始记录及针对性分析、处理、回应记录，意见和建议得到有效解决（0.3分）；</w:t>
            </w:r>
          </w:p>
        </w:tc>
        <w:tc>
          <w:tcPr>
            <w:tcW w:w="1065" w:type="dxa"/>
            <w:vMerge w:val="continue"/>
            <w:noWrap w:val="0"/>
            <w:vAlign w:val="center"/>
          </w:tcPr>
          <w:p>
            <w:pP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45" w:type="dxa"/>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4129" w:type="dxa"/>
            <w:gridSpan w:val="3"/>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4.访谈患者的就医体验，对医院的服务满意度（0.3分）。</w:t>
            </w:r>
          </w:p>
        </w:tc>
        <w:tc>
          <w:tcPr>
            <w:tcW w:w="1065" w:type="dxa"/>
            <w:vMerge w:val="continue"/>
            <w:noWrap w:val="0"/>
            <w:vAlign w:val="center"/>
          </w:tcPr>
          <w:p>
            <w:pP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520" w:type="dxa"/>
            <w:gridSpan w:val="7"/>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一百九十</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重视医院文化建设，建立医院文化建设制度，把医院文化培育成核心竞争力，逐步建立以患者为中心、注重医疗质量安全根植于医院服务理念的特色价值取向和行为标准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65" w:type="dxa"/>
            <w:gridSpan w:val="3"/>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0"/>
                <w:sz w:val="24"/>
                <w:szCs w:val="24"/>
                <w:lang w:val="en-US" w:eastAsia="zh-CN"/>
              </w:rPr>
              <w:t>3.9.190.</w:t>
            </w:r>
            <w:r>
              <w:rPr>
                <w:rFonts w:hint="eastAsia" w:ascii="仿宋_GB2312" w:hAnsi="仿宋_GB2312" w:eastAsia="仿宋_GB2312" w:cs="仿宋_GB2312"/>
                <w:color w:val="000000"/>
                <w:sz w:val="24"/>
                <w:szCs w:val="24"/>
              </w:rPr>
              <w:t>1</w:t>
            </w:r>
          </w:p>
        </w:tc>
        <w:tc>
          <w:tcPr>
            <w:tcW w:w="4109"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重视医院文化建设，建立医院文化建设制度，把医院文化培育成核心竞争力。</w:t>
            </w:r>
          </w:p>
        </w:tc>
        <w:tc>
          <w:tcPr>
            <w:tcW w:w="303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kinsoku/>
              <w:wordWrap/>
              <w:overflowPunct/>
              <w:topLinePunct w:val="0"/>
              <w:autoSpaceDE/>
              <w:autoSpaceDN/>
              <w:bidi w:val="0"/>
              <w:adjustRightInd/>
              <w:snapToGrid/>
              <w:spacing w:line="280" w:lineRule="exact"/>
              <w:ind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kinsoku/>
              <w:wordWrap/>
              <w:overflowPunct/>
              <w:topLinePunct w:val="0"/>
              <w:autoSpaceDE/>
              <w:autoSpaceDN/>
              <w:bidi w:val="0"/>
              <w:adjustRightInd/>
              <w:snapToGrid/>
              <w:spacing w:line="280" w:lineRule="exact"/>
              <w:ind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1.建立有医院文化建设制度，把医院文化培育成核心竞争力（0.2分）；</w:t>
            </w:r>
          </w:p>
        </w:tc>
        <w:tc>
          <w:tcPr>
            <w:tcW w:w="1065" w:type="dxa"/>
            <w:vMerge w:val="restart"/>
            <w:noWrap w:val="0"/>
            <w:vAlign w:val="center"/>
          </w:tcPr>
          <w:p>
            <w:pPr>
              <w:keepNext w:val="0"/>
              <w:keepLines w:val="0"/>
              <w:pageBreakBefore w:val="0"/>
              <w:tabs>
                <w:tab w:val="left" w:pos="755"/>
              </w:tabs>
              <w:kinsoku/>
              <w:wordWrap/>
              <w:overflowPunct/>
              <w:topLinePunct w:val="0"/>
              <w:autoSpaceDE/>
              <w:autoSpaceDN/>
              <w:bidi w:val="0"/>
              <w:adjustRightInd/>
              <w:snapToGrid/>
              <w:spacing w:line="280" w:lineRule="exact"/>
              <w:ind w:firstLine="240" w:firstLineChars="1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65" w:type="dxa"/>
            <w:gridSpan w:val="3"/>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4109"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rPr>
            </w:pPr>
          </w:p>
        </w:tc>
        <w:tc>
          <w:tcPr>
            <w:tcW w:w="3032"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2.有指定部门负责文化建设工作，制定有医院文化建设工作方案（0.2分）；</w:t>
            </w:r>
          </w:p>
        </w:tc>
        <w:tc>
          <w:tcPr>
            <w:tcW w:w="1065"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65" w:type="dxa"/>
            <w:gridSpan w:val="3"/>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c>
          <w:tcPr>
            <w:tcW w:w="4109"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3.定期对职工进行医院文化的培训和教育（0.2分）；</w:t>
            </w:r>
          </w:p>
        </w:tc>
        <w:tc>
          <w:tcPr>
            <w:tcW w:w="1065"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965" w:type="dxa"/>
            <w:gridSpan w:val="3"/>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c>
          <w:tcPr>
            <w:tcW w:w="4109"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w:t>
            </w:r>
            <w:r>
              <w:rPr>
                <w:rFonts w:hint="eastAsia" w:ascii="仿宋_GB2312" w:hAnsi="仿宋_GB2312" w:eastAsia="仿宋_GB2312" w:cs="仿宋_GB2312"/>
                <w:color w:val="000000"/>
                <w:kern w:val="0"/>
                <w:sz w:val="24"/>
                <w:highlight w:val="none"/>
                <w:lang w:bidi="ar"/>
              </w:rPr>
              <w:t>持续推进医院精神文明建设，加强和深化全国文明单位、全国青年文明号创建工作，推动学雷锋志愿服务向广度和深度拓展</w:t>
            </w:r>
            <w:r>
              <w:rPr>
                <w:rFonts w:hint="eastAsia" w:ascii="仿宋_GB2312" w:hAnsi="仿宋_GB2312" w:eastAsia="仿宋_GB2312" w:cs="仿宋_GB2312"/>
                <w:color w:val="000000"/>
                <w:kern w:val="0"/>
                <w:sz w:val="24"/>
                <w:highlight w:val="none"/>
                <w:lang w:eastAsia="zh-CN" w:bidi="ar"/>
              </w:rPr>
              <w:t>，</w:t>
            </w:r>
            <w:r>
              <w:rPr>
                <w:rFonts w:hint="eastAsia" w:ascii="仿宋_GB2312" w:hAnsi="仿宋_GB2312" w:eastAsia="仿宋_GB2312" w:cs="仿宋_GB2312"/>
                <w:i w:val="0"/>
                <w:iCs w:val="0"/>
                <w:color w:val="000000"/>
                <w:kern w:val="0"/>
                <w:sz w:val="24"/>
                <w:szCs w:val="24"/>
                <w:u w:val="none"/>
                <w:lang w:val="en-US" w:eastAsia="zh-CN" w:bidi="ar"/>
              </w:rPr>
              <w:t>院内各部门、科室有开展多种形式的医院文化建设活动（0.4分）；</w:t>
            </w:r>
          </w:p>
        </w:tc>
        <w:tc>
          <w:tcPr>
            <w:tcW w:w="1065"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65" w:type="dxa"/>
            <w:gridSpan w:val="3"/>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c>
          <w:tcPr>
            <w:tcW w:w="4109"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5.主管部门对医院文化建设有年度总结分析，持续改进（0.4分）。</w:t>
            </w:r>
          </w:p>
        </w:tc>
        <w:tc>
          <w:tcPr>
            <w:tcW w:w="1065"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965" w:type="dxa"/>
            <w:gridSpan w:val="3"/>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0"/>
                <w:sz w:val="24"/>
                <w:szCs w:val="24"/>
                <w:lang w:val="en-US" w:eastAsia="zh-CN"/>
              </w:rPr>
              <w:t>3.9.190.</w:t>
            </w:r>
            <w:r>
              <w:rPr>
                <w:rFonts w:hint="eastAsia" w:ascii="仿宋_GB2312" w:hAnsi="仿宋_GB2312" w:eastAsia="仿宋_GB2312" w:cs="仿宋_GB2312"/>
                <w:color w:val="000000"/>
                <w:sz w:val="24"/>
                <w:szCs w:val="24"/>
              </w:rPr>
              <w:t>2</w:t>
            </w:r>
          </w:p>
        </w:tc>
        <w:tc>
          <w:tcPr>
            <w:tcW w:w="4109"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逐步建立以患者为中心、注重医疗质量安全根植于医院服务理念的特色价值取向和行为标准。</w:t>
            </w:r>
          </w:p>
        </w:tc>
        <w:tc>
          <w:tcPr>
            <w:tcW w:w="303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kinsoku/>
              <w:wordWrap/>
              <w:overflowPunct/>
              <w:topLinePunct w:val="0"/>
              <w:autoSpaceDE/>
              <w:autoSpaceDN/>
              <w:bidi w:val="0"/>
              <w:adjustRightInd/>
              <w:snapToGrid/>
              <w:spacing w:line="280" w:lineRule="exact"/>
              <w:ind w:right="105" w:rightChars="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1.医院文化建设坚持以患者为中心，以医疗质量为根本，并贯穿于医院文化建设过程（0.3分）；</w:t>
            </w:r>
          </w:p>
        </w:tc>
        <w:tc>
          <w:tcPr>
            <w:tcW w:w="106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965"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c>
          <w:tcPr>
            <w:tcW w:w="410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c>
          <w:tcPr>
            <w:tcW w:w="303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2.医院文化建设实施方案体现医疗服务、队伍建设、学科建设、制度建设、学术研究、党建群团工作、安全生产、品牌形象、健康宣教等方面内容（0.3分）；</w:t>
            </w: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965"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c>
          <w:tcPr>
            <w:tcW w:w="410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3.医院文化建设内涵突出，特色鲜明</w:t>
            </w:r>
            <w:r>
              <w:rPr>
                <w:rFonts w:hint="eastAsia" w:ascii="仿宋_GB2312" w:hAnsi="仿宋_GB2312" w:eastAsia="仿宋_GB2312" w:cs="仿宋_GB2312"/>
                <w:color w:val="000000"/>
                <w:kern w:val="0"/>
                <w:sz w:val="24"/>
                <w:highlight w:val="none"/>
                <w:lang w:eastAsia="zh-CN" w:bidi="ar"/>
              </w:rPr>
              <w:t>，定期选树宣传表扬“业务标兵”、“健康卫士”、“最美天使”等优秀医务工作人员，引导医务工作人员重品行、修医德、铸医魂精进医术</w:t>
            </w:r>
            <w:r>
              <w:rPr>
                <w:rFonts w:hint="eastAsia" w:ascii="仿宋_GB2312" w:hAnsi="仿宋_GB2312" w:eastAsia="仿宋_GB2312" w:cs="仿宋_GB2312"/>
                <w:i w:val="0"/>
                <w:iCs w:val="0"/>
                <w:color w:val="000000"/>
                <w:kern w:val="0"/>
                <w:sz w:val="24"/>
                <w:szCs w:val="24"/>
                <w:u w:val="none"/>
                <w:lang w:val="en-US" w:eastAsia="zh-CN" w:bidi="ar"/>
              </w:rPr>
              <w:t>（0.5分）；</w:t>
            </w: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65"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c>
          <w:tcPr>
            <w:tcW w:w="410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4.访谈员工知晓医院文化内涵、文化特色（0.5分）。</w:t>
            </w: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520" w:type="dxa"/>
            <w:gridSpan w:val="7"/>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一百九十一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执行《关于建立医务人员医德考评制度的指导意见（试行）》</w:t>
            </w:r>
            <w:r>
              <w:rPr>
                <w:rFonts w:hint="eastAsia" w:ascii="仿宋_GB2312" w:hAnsi="仿宋_GB2312" w:eastAsia="仿宋_GB2312" w:cs="仿宋_GB2312"/>
                <w:color w:val="000000"/>
                <w:sz w:val="24"/>
                <w:szCs w:val="24"/>
                <w:lang w:eastAsia="zh-CN"/>
              </w:rPr>
              <w:t>落实</w:t>
            </w:r>
            <w:r>
              <w:rPr>
                <w:rFonts w:hint="eastAsia" w:ascii="仿宋_GB2312" w:hAnsi="仿宋_GB2312" w:eastAsia="仿宋_GB2312" w:cs="仿宋_GB2312"/>
                <w:color w:val="000000"/>
                <w:sz w:val="24"/>
                <w:szCs w:val="24"/>
              </w:rPr>
              <w:t>《医疗机构工作人员廉洁从业九项准则》，建立行风建设与管理的组织和制度体系，完善工作机制</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0" w:type="dxa"/>
            <w:gridSpan w:val="2"/>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0"/>
                <w:sz w:val="24"/>
                <w:szCs w:val="24"/>
                <w:lang w:val="en-US" w:eastAsia="zh-CN"/>
              </w:rPr>
              <w:t>3.9.191.</w:t>
            </w:r>
            <w:r>
              <w:rPr>
                <w:rFonts w:hint="eastAsia" w:ascii="仿宋_GB2312" w:hAnsi="仿宋_GB2312" w:eastAsia="仿宋_GB2312" w:cs="仿宋_GB2312"/>
                <w:color w:val="000000"/>
                <w:sz w:val="24"/>
                <w:szCs w:val="24"/>
              </w:rPr>
              <w:t>1</w:t>
            </w:r>
          </w:p>
        </w:tc>
        <w:tc>
          <w:tcPr>
            <w:tcW w:w="4124" w:type="dxa"/>
            <w:gridSpan w:val="2"/>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贯彻执行《关于建立医务人员医德考评制度的指导意见（试行）》和《医疗机构工作人员廉洁从业九项准则》。</w:t>
            </w:r>
          </w:p>
        </w:tc>
        <w:tc>
          <w:tcPr>
            <w:tcW w:w="3032" w:type="dxa"/>
            <w:vMerge w:val="restart"/>
            <w:noWrap w:val="0"/>
            <w:vAlign w:val="center"/>
          </w:tcPr>
          <w:p>
            <w:pPr>
              <w:spacing w:line="26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26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26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1.有医德医风管理组织体系，有主管部门负责管理与考评；有医德医风管理组织架构图（0.2分）；</w:t>
            </w:r>
          </w:p>
        </w:tc>
        <w:tc>
          <w:tcPr>
            <w:tcW w:w="1065" w:type="dxa"/>
            <w:vMerge w:val="restart"/>
            <w:noWrap w:val="0"/>
            <w:vAlign w:val="center"/>
          </w:tcPr>
          <w:p>
            <w:pPr>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0"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124"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3032"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2.有医德医风考评方案、量化标准、考核结果公示及奖惩制度（0.2分）；</w:t>
            </w:r>
          </w:p>
        </w:tc>
        <w:tc>
          <w:tcPr>
            <w:tcW w:w="1065"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0"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124"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3032"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3.有医德医风投诉渠道，医务部、护理部、投诉管理科、纪检监察室、人事科等部门有员工受到投诉及处理的原始资料，并将信息提供给医德医风考评机构（0.2分）；</w:t>
            </w:r>
          </w:p>
        </w:tc>
        <w:tc>
          <w:tcPr>
            <w:tcW w:w="1065"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0"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124"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3032"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w:t>
            </w:r>
            <w:r>
              <w:rPr>
                <w:rStyle w:val="28"/>
                <w:rFonts w:hint="eastAsia" w:ascii="仿宋_GB2312" w:hAnsi="仿宋_GB2312" w:eastAsia="仿宋_GB2312" w:cs="仿宋_GB2312"/>
                <w:color w:val="000000"/>
                <w:sz w:val="24"/>
                <w:szCs w:val="24"/>
                <w:lang w:val="en-US" w:eastAsia="zh-CN" w:bidi="ar"/>
              </w:rPr>
              <w:t>有落实《医疗机构工作人员廉洁从业九项准则》的自查记录（0.2分）；</w:t>
            </w:r>
          </w:p>
        </w:tc>
        <w:tc>
          <w:tcPr>
            <w:tcW w:w="1065"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0"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124"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3032"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5.主管部门</w:t>
            </w:r>
            <w:r>
              <w:rPr>
                <w:rStyle w:val="28"/>
                <w:rFonts w:hint="eastAsia" w:ascii="仿宋_GB2312" w:hAnsi="仿宋_GB2312" w:eastAsia="仿宋_GB2312" w:cs="仿宋_GB2312"/>
                <w:color w:val="000000"/>
                <w:sz w:val="24"/>
                <w:szCs w:val="24"/>
                <w:lang w:val="en-US" w:eastAsia="zh-CN" w:bidi="ar"/>
              </w:rPr>
              <w:t>每年</w:t>
            </w:r>
            <w:r>
              <w:rPr>
                <w:rStyle w:val="29"/>
                <w:rFonts w:hint="eastAsia" w:ascii="仿宋_GB2312" w:hAnsi="仿宋_GB2312" w:eastAsia="仿宋_GB2312" w:cs="仿宋_GB2312"/>
                <w:color w:val="000000"/>
                <w:sz w:val="24"/>
                <w:szCs w:val="24"/>
                <w:lang w:val="en-US" w:eastAsia="zh-CN" w:bidi="ar"/>
              </w:rPr>
              <w:t>对医务人员进行考评，有医务人员考评记录、考评档案（0.2分）；</w:t>
            </w:r>
          </w:p>
        </w:tc>
        <w:tc>
          <w:tcPr>
            <w:tcW w:w="1065"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0"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124" w:type="dxa"/>
            <w:gridSpan w:val="2"/>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3032"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6.有资料或数据体现医德医风持续改善（0.2分）。</w:t>
            </w:r>
          </w:p>
        </w:tc>
        <w:tc>
          <w:tcPr>
            <w:tcW w:w="1065" w:type="dxa"/>
            <w:vMerge w:val="continue"/>
            <w:noWrap w:val="0"/>
            <w:vAlign w:val="center"/>
          </w:tcPr>
          <w:p>
            <w:pPr>
              <w:ind w:firstLine="480" w:firstLineChars="2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50" w:type="dxa"/>
            <w:gridSpan w:val="2"/>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0"/>
                <w:sz w:val="24"/>
                <w:szCs w:val="24"/>
                <w:lang w:val="en-US" w:eastAsia="zh-CN"/>
              </w:rPr>
              <w:t>3.9.191.</w:t>
            </w:r>
            <w:r>
              <w:rPr>
                <w:rFonts w:hint="eastAsia" w:ascii="仿宋_GB2312" w:hAnsi="仿宋_GB2312" w:eastAsia="仿宋_GB2312" w:cs="仿宋_GB2312"/>
                <w:color w:val="000000"/>
                <w:sz w:val="24"/>
                <w:szCs w:val="24"/>
              </w:rPr>
              <w:t>2</w:t>
            </w:r>
          </w:p>
        </w:tc>
        <w:tc>
          <w:tcPr>
            <w:tcW w:w="4124" w:type="dxa"/>
            <w:gridSpan w:val="2"/>
            <w:vMerge w:val="restart"/>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建立行风建设与管理的组织和制度体系，完善工作机制。</w:t>
            </w:r>
          </w:p>
        </w:tc>
        <w:tc>
          <w:tcPr>
            <w:tcW w:w="3032" w:type="dxa"/>
            <w:vMerge w:val="restart"/>
            <w:noWrap w:val="0"/>
            <w:vAlign w:val="center"/>
          </w:tcPr>
          <w:p>
            <w:pPr>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spacing w:line="320" w:lineRule="exact"/>
              <w:ind w:right="105" w:rightChar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1.建立有行风建设与管理的组织和制度体系，并配置有专职行风建设人员（0.2分）；</w:t>
            </w:r>
          </w:p>
        </w:tc>
        <w:tc>
          <w:tcPr>
            <w:tcW w:w="1065" w:type="dxa"/>
            <w:vMerge w:val="restart"/>
            <w:noWrap w:val="0"/>
            <w:vAlign w:val="center"/>
          </w:tcPr>
          <w:p>
            <w:pPr>
              <w:rPr>
                <w:rFonts w:hint="eastAsia" w:ascii="仿宋_GB2312" w:hAnsi="仿宋_GB2312" w:eastAsia="仿宋_GB2312" w:cs="仿宋_GB2312"/>
                <w:color w:val="000000"/>
                <w:sz w:val="24"/>
                <w:szCs w:val="24"/>
              </w:rPr>
            </w:pPr>
          </w:p>
          <w:p>
            <w:pPr>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50" w:type="dxa"/>
            <w:gridSpan w:val="2"/>
            <w:vMerge w:val="continue"/>
            <w:noWrap w:val="0"/>
            <w:vAlign w:val="center"/>
          </w:tcPr>
          <w:p>
            <w:pPr>
              <w:rPr>
                <w:rFonts w:hint="eastAsia" w:ascii="仿宋_GB2312" w:hAnsi="仿宋_GB2312" w:eastAsia="仿宋_GB2312" w:cs="仿宋_GB2312"/>
                <w:color w:val="000000"/>
                <w:sz w:val="24"/>
                <w:szCs w:val="24"/>
              </w:rPr>
            </w:pPr>
          </w:p>
        </w:tc>
        <w:tc>
          <w:tcPr>
            <w:tcW w:w="4124" w:type="dxa"/>
            <w:gridSpan w:val="2"/>
            <w:vMerge w:val="continue"/>
            <w:noWrap w:val="0"/>
            <w:vAlign w:val="center"/>
          </w:tcPr>
          <w:p>
            <w:pPr>
              <w:rPr>
                <w:rFonts w:hint="eastAsia" w:ascii="仿宋_GB2312" w:hAnsi="仿宋_GB2312" w:eastAsia="仿宋_GB2312" w:cs="仿宋_GB2312"/>
                <w:color w:val="000000"/>
                <w:sz w:val="24"/>
                <w:szCs w:val="24"/>
              </w:rPr>
            </w:pPr>
          </w:p>
        </w:tc>
        <w:tc>
          <w:tcPr>
            <w:tcW w:w="3032" w:type="dxa"/>
            <w:vMerge w:val="continue"/>
            <w:noWrap w:val="0"/>
            <w:vAlign w:val="center"/>
          </w:tcPr>
          <w:p>
            <w:pPr>
              <w:rPr>
                <w:rFonts w:hint="eastAsia" w:ascii="仿宋_GB2312" w:hAnsi="仿宋_GB2312" w:eastAsia="仿宋_GB2312" w:cs="仿宋_GB2312"/>
                <w:color w:val="000000"/>
                <w:sz w:val="24"/>
                <w:szCs w:val="24"/>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2.大力普及行风教育培训，新入职员工行风教育培训率100%（0.2分）；</w:t>
            </w:r>
          </w:p>
        </w:tc>
        <w:tc>
          <w:tcPr>
            <w:tcW w:w="1065" w:type="dxa"/>
            <w:vMerge w:val="continue"/>
            <w:noWrap w:val="0"/>
            <w:vAlign w:val="center"/>
          </w:tcPr>
          <w:p>
            <w:pP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50" w:type="dxa"/>
            <w:gridSpan w:val="2"/>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4124" w:type="dxa"/>
            <w:gridSpan w:val="2"/>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3.将行风表现纳入重点专科评审和干部任用、职称晋升、评优评先工作中，实行行风一票否决制（0.2分）；</w:t>
            </w:r>
          </w:p>
        </w:tc>
        <w:tc>
          <w:tcPr>
            <w:tcW w:w="1065" w:type="dxa"/>
            <w:vMerge w:val="continue"/>
            <w:noWrap w:val="0"/>
            <w:vAlign w:val="center"/>
          </w:tcPr>
          <w:p>
            <w:pP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50" w:type="dxa"/>
            <w:gridSpan w:val="2"/>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4124" w:type="dxa"/>
            <w:gridSpan w:val="2"/>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3032" w:type="dxa"/>
            <w:vMerge w:val="continue"/>
            <w:noWrap w:val="0"/>
            <w:vAlign w:val="center"/>
          </w:tcPr>
          <w:p>
            <w:pPr>
              <w:rPr>
                <w:rFonts w:hint="eastAsia" w:ascii="仿宋_GB2312" w:hAnsi="仿宋_GB2312" w:eastAsia="仿宋_GB2312" w:cs="仿宋_GB2312"/>
                <w:color w:val="000000"/>
                <w:sz w:val="24"/>
                <w:szCs w:val="24"/>
                <w:lang w:val="en-US" w:eastAsia="zh-CN"/>
              </w:rPr>
            </w:pPr>
          </w:p>
        </w:tc>
        <w:tc>
          <w:tcPr>
            <w:tcW w:w="43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4.建立廉政风险信息化风险管理平台，对重点领域、重点岗位、重点项目等实现风险点防控（0.2分）。</w:t>
            </w:r>
          </w:p>
        </w:tc>
        <w:tc>
          <w:tcPr>
            <w:tcW w:w="1065" w:type="dxa"/>
            <w:vMerge w:val="continue"/>
            <w:noWrap w:val="0"/>
            <w:vAlign w:val="center"/>
          </w:tcPr>
          <w:p>
            <w:pPr>
              <w:rPr>
                <w:rFonts w:hint="eastAsia" w:ascii="仿宋_GB2312" w:hAnsi="仿宋_GB2312" w:eastAsia="仿宋_GB2312" w:cs="仿宋_GB2312"/>
                <w:color w:val="000000"/>
                <w:sz w:val="24"/>
                <w:szCs w:val="24"/>
                <w:lang w:val="en-US" w:eastAsia="zh-CN"/>
              </w:rPr>
            </w:pPr>
          </w:p>
        </w:tc>
      </w:tr>
    </w:tbl>
    <w:p>
      <w:pPr>
        <w:rPr>
          <w:rFonts w:hint="eastAsia"/>
          <w:color w:val="000000"/>
          <w:lang w:val="en-US" w:eastAsia="zh-CN"/>
        </w:rPr>
      </w:pPr>
    </w:p>
    <w:p>
      <w:pPr>
        <w:rPr>
          <w:color w:val="000000"/>
        </w:rPr>
      </w:pPr>
    </w:p>
    <w:sectPr>
      <w:headerReference r:id="rId5" w:type="default"/>
      <w:footerReference r:id="rId6"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Arial Unicode MS">
    <w:altName w:val="Times New Roman"/>
    <w:panose1 w:val="020B0604020202020204"/>
    <w:charset w:val="00"/>
    <w:family w:val="swiss"/>
    <w:pitch w:val="default"/>
    <w:sig w:usb0="00000000" w:usb1="00000000" w:usb2="0000003F" w:usb3="00000000" w:csb0="603F01FF" w:csb1="FFFF0000"/>
  </w:font>
  <w:font w:name="Courier New">
    <w:altName w:val="DejaVu Sans"/>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等线">
    <w:altName w:val="宋体"/>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78"/>
        <w:tab w:val="center" w:pos="4453"/>
        <w:tab w:val="center" w:pos="7512"/>
        <w:tab w:val="left" w:pos="13304"/>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tabs>
                              <w:tab w:val="center" w:pos="7512"/>
                              <w:tab w:val="left" w:pos="13304"/>
                            </w:tabs>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44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CLyLG8zgEAAIgDAAAO&#10;AAAAAAAAAAEAIAAAADQBAABkcnMvZTJvRG9jLnhtbFBLBQYAAAAABgAGAFkBAAB0BQAAAAA=&#10;">
              <v:fill on="f" focussize="0,0"/>
              <v:stroke on="f"/>
              <v:imagedata o:title=""/>
              <o:lock v:ext="edit" aspectratio="f"/>
              <v:textbox inset="0mm,0mm,0mm,0mm" style="mso-fit-shape-to-text:t;">
                <w:txbxContent>
                  <w:p>
                    <w:pPr>
                      <w:pStyle w:val="9"/>
                      <w:tabs>
                        <w:tab w:val="center" w:pos="7512"/>
                        <w:tab w:val="left" w:pos="13304"/>
                      </w:tabs>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44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rFonts w:hint="eastAsia" w:eastAsia="宋体"/>
      </w:rPr>
      <w:tab/>
    </w:r>
    <w:r>
      <w:rPr>
        <w:rFonts w:hint="eastAsia" w:eastAsia="宋体"/>
      </w:rPr>
      <w:tab/>
    </w:r>
    <w:r>
      <w:rPr>
        <w:rFonts w:hint="eastAsia" w:eastAsia="宋体"/>
      </w:rPr>
      <w:tab/>
    </w:r>
  </w:p>
  <w:p>
    <w:pPr>
      <w:pStyle w:val="6"/>
      <w:spacing w:line="14" w:lineRule="auto"/>
      <w:rPr>
        <w:rFonts w:hint="default" w:ascii="Arial" w:eastAsia="宋体"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78"/>
        <w:tab w:val="center" w:pos="4453"/>
        <w:tab w:val="center" w:pos="7512"/>
        <w:tab w:val="left" w:pos="13304"/>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tabs>
                              <w:tab w:val="center" w:pos="7512"/>
                              <w:tab w:val="left" w:pos="13304"/>
                            </w:tabs>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44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O/9Mwc8BAACIAwAA&#10;DgAAAAAAAAABACAAAAA0AQAAZHJzL2Uyb0RvYy54bWxQSwUGAAAAAAYABgBZAQAAdQUAAAAA&#10;">
              <v:fill on="f" focussize="0,0"/>
              <v:stroke on="f"/>
              <v:imagedata o:title=""/>
              <o:lock v:ext="edit" aspectratio="f"/>
              <v:textbox inset="0mm,0mm,0mm,0mm" style="mso-fit-shape-to-text:t;">
                <w:txbxContent>
                  <w:p>
                    <w:pPr>
                      <w:pStyle w:val="9"/>
                      <w:tabs>
                        <w:tab w:val="center" w:pos="7512"/>
                        <w:tab w:val="left" w:pos="13304"/>
                      </w:tabs>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44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rFonts w:hint="eastAsia" w:eastAsia="宋体"/>
      </w:rPr>
      <w:tab/>
    </w:r>
    <w:r>
      <w:rPr>
        <w:rFonts w:hint="eastAsia" w:eastAsia="宋体"/>
      </w:rPr>
      <w:tab/>
    </w:r>
    <w:r>
      <w:rPr>
        <w:rFonts w:hint="eastAsia" w:eastAsia="宋体"/>
      </w:rPr>
      <w:tab/>
    </w:r>
  </w:p>
  <w:p>
    <w:pPr>
      <w:pStyle w:val="6"/>
      <w:spacing w:line="14" w:lineRule="auto"/>
      <w:rPr>
        <w:rFonts w:hint="default" w:ascii="Arial" w:eastAsia="宋体" w:cs="Arial"/>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DE32"/>
    <w:multiLevelType w:val="singleLevel"/>
    <w:tmpl w:val="9666DE32"/>
    <w:lvl w:ilvl="0" w:tentative="0">
      <w:start w:val="1"/>
      <w:numFmt w:val="chineseCounting"/>
      <w:suff w:val="nothing"/>
      <w:lvlText w:val="%1、"/>
      <w:lvlJc w:val="left"/>
      <w:rPr>
        <w:rFonts w:hint="eastAsia"/>
      </w:rPr>
    </w:lvl>
  </w:abstractNum>
  <w:abstractNum w:abstractNumId="1">
    <w:nsid w:val="AA957898"/>
    <w:multiLevelType w:val="singleLevel"/>
    <w:tmpl w:val="AA957898"/>
    <w:lvl w:ilvl="0" w:tentative="0">
      <w:start w:val="1"/>
      <w:numFmt w:val="decimal"/>
      <w:lvlText w:val="%1."/>
      <w:lvlJc w:val="left"/>
      <w:pPr>
        <w:tabs>
          <w:tab w:val="left" w:pos="312"/>
        </w:tabs>
      </w:pPr>
    </w:lvl>
  </w:abstractNum>
  <w:abstractNum w:abstractNumId="2">
    <w:nsid w:val="06DADE20"/>
    <w:multiLevelType w:val="singleLevel"/>
    <w:tmpl w:val="06DADE20"/>
    <w:lvl w:ilvl="0" w:tentative="0">
      <w:start w:val="1"/>
      <w:numFmt w:val="chineseCounting"/>
      <w:suff w:val="nothing"/>
      <w:lvlText w:val="%1、"/>
      <w:lvlJc w:val="left"/>
      <w:rPr>
        <w:rFonts w:hint="eastAsia"/>
      </w:rPr>
    </w:lvl>
  </w:abstractNum>
  <w:abstractNum w:abstractNumId="3">
    <w:nsid w:val="18A38FFD"/>
    <w:multiLevelType w:val="singleLevel"/>
    <w:tmpl w:val="18A38FFD"/>
    <w:lvl w:ilvl="0" w:tentative="0">
      <w:start w:val="1"/>
      <w:numFmt w:val="decimal"/>
      <w:lvlText w:val="%1."/>
      <w:lvlJc w:val="left"/>
      <w:pPr>
        <w:tabs>
          <w:tab w:val="left" w:pos="312"/>
        </w:tabs>
      </w:pPr>
    </w:lvl>
  </w:abstractNum>
  <w:abstractNum w:abstractNumId="4">
    <w:nsid w:val="2A860779"/>
    <w:multiLevelType w:val="singleLevel"/>
    <w:tmpl w:val="2A860779"/>
    <w:lvl w:ilvl="0" w:tentative="0">
      <w:start w:val="1"/>
      <w:numFmt w:val="decimal"/>
      <w:lvlText w:val="%1."/>
      <w:lvlJc w:val="left"/>
      <w:pPr>
        <w:tabs>
          <w:tab w:val="left" w:pos="312"/>
        </w:tabs>
      </w:pPr>
    </w:lvl>
  </w:abstractNum>
  <w:abstractNum w:abstractNumId="5">
    <w:nsid w:val="4DD5024C"/>
    <w:multiLevelType w:val="singleLevel"/>
    <w:tmpl w:val="4DD5024C"/>
    <w:lvl w:ilvl="0" w:tentative="0">
      <w:start w:val="3"/>
      <w:numFmt w:val="chineseCounting"/>
      <w:suff w:val="space"/>
      <w:lvlText w:val="第%1章"/>
      <w:lvlJc w:val="left"/>
      <w:rPr>
        <w:rFonts w:hint="eastAsia"/>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mJkNzU3ZTg2NTBjYzQ1MzFkYzgzMjdiYjkzMDUifQ=="/>
  </w:docVars>
  <w:rsids>
    <w:rsidRoot w:val="5624740C"/>
    <w:rsid w:val="008D138C"/>
    <w:rsid w:val="009B4410"/>
    <w:rsid w:val="00FA4BD4"/>
    <w:rsid w:val="010B303C"/>
    <w:rsid w:val="0110021E"/>
    <w:rsid w:val="011265D4"/>
    <w:rsid w:val="0136652F"/>
    <w:rsid w:val="01547FCC"/>
    <w:rsid w:val="015E5C50"/>
    <w:rsid w:val="018B3FBD"/>
    <w:rsid w:val="01F6263F"/>
    <w:rsid w:val="021A09FD"/>
    <w:rsid w:val="0319774B"/>
    <w:rsid w:val="03280AEE"/>
    <w:rsid w:val="0345553D"/>
    <w:rsid w:val="03A53435"/>
    <w:rsid w:val="03D42E2E"/>
    <w:rsid w:val="03DB41BC"/>
    <w:rsid w:val="042941A5"/>
    <w:rsid w:val="048B5944"/>
    <w:rsid w:val="049D6221"/>
    <w:rsid w:val="04D1463D"/>
    <w:rsid w:val="04FD765F"/>
    <w:rsid w:val="05356ECA"/>
    <w:rsid w:val="058344C7"/>
    <w:rsid w:val="05E216D2"/>
    <w:rsid w:val="0621626D"/>
    <w:rsid w:val="062C51A3"/>
    <w:rsid w:val="062D71EF"/>
    <w:rsid w:val="06A9325B"/>
    <w:rsid w:val="06FD09C0"/>
    <w:rsid w:val="071F6AB6"/>
    <w:rsid w:val="07575EB7"/>
    <w:rsid w:val="077010BF"/>
    <w:rsid w:val="07C66F31"/>
    <w:rsid w:val="07D9256B"/>
    <w:rsid w:val="07F60221"/>
    <w:rsid w:val="09273F68"/>
    <w:rsid w:val="09336352"/>
    <w:rsid w:val="09E837C2"/>
    <w:rsid w:val="0A0B1E3D"/>
    <w:rsid w:val="0A9739F9"/>
    <w:rsid w:val="0C247DA4"/>
    <w:rsid w:val="0C4B5C57"/>
    <w:rsid w:val="0C5D79FA"/>
    <w:rsid w:val="0CE25417"/>
    <w:rsid w:val="0CE82017"/>
    <w:rsid w:val="0CEB6423"/>
    <w:rsid w:val="0CFC376B"/>
    <w:rsid w:val="0D3D2A60"/>
    <w:rsid w:val="0D437B8D"/>
    <w:rsid w:val="0D591F36"/>
    <w:rsid w:val="0D654235"/>
    <w:rsid w:val="0DBE68EC"/>
    <w:rsid w:val="0E0B24BC"/>
    <w:rsid w:val="0F903C9B"/>
    <w:rsid w:val="105C2F10"/>
    <w:rsid w:val="12101BDD"/>
    <w:rsid w:val="12FF079D"/>
    <w:rsid w:val="13373653"/>
    <w:rsid w:val="13457FBA"/>
    <w:rsid w:val="138A79EF"/>
    <w:rsid w:val="138E2B67"/>
    <w:rsid w:val="13FB3C73"/>
    <w:rsid w:val="14656E95"/>
    <w:rsid w:val="147541B9"/>
    <w:rsid w:val="14F41582"/>
    <w:rsid w:val="14F9313E"/>
    <w:rsid w:val="15633A47"/>
    <w:rsid w:val="15BD5A4B"/>
    <w:rsid w:val="15FE50F1"/>
    <w:rsid w:val="164E6EE3"/>
    <w:rsid w:val="16927B48"/>
    <w:rsid w:val="16E4259C"/>
    <w:rsid w:val="171C569C"/>
    <w:rsid w:val="184249BE"/>
    <w:rsid w:val="18616977"/>
    <w:rsid w:val="18804243"/>
    <w:rsid w:val="18957752"/>
    <w:rsid w:val="18D41EC8"/>
    <w:rsid w:val="18ED07C2"/>
    <w:rsid w:val="197D3103"/>
    <w:rsid w:val="19825A7F"/>
    <w:rsid w:val="1A1979BE"/>
    <w:rsid w:val="1A683EE7"/>
    <w:rsid w:val="1A905DA4"/>
    <w:rsid w:val="1B4626F6"/>
    <w:rsid w:val="1B6E0B18"/>
    <w:rsid w:val="1BA96989"/>
    <w:rsid w:val="1BB2644B"/>
    <w:rsid w:val="1BF1078A"/>
    <w:rsid w:val="1BF142A3"/>
    <w:rsid w:val="1C204A0A"/>
    <w:rsid w:val="1D316C64"/>
    <w:rsid w:val="1D3D282C"/>
    <w:rsid w:val="1D585E40"/>
    <w:rsid w:val="1D8331BE"/>
    <w:rsid w:val="1D8A3414"/>
    <w:rsid w:val="1DCA3787"/>
    <w:rsid w:val="1E0076E4"/>
    <w:rsid w:val="1E9777B7"/>
    <w:rsid w:val="1EE41203"/>
    <w:rsid w:val="1F7A11C5"/>
    <w:rsid w:val="1FB405E2"/>
    <w:rsid w:val="207B2B57"/>
    <w:rsid w:val="20A83953"/>
    <w:rsid w:val="20B03081"/>
    <w:rsid w:val="20E25061"/>
    <w:rsid w:val="20F913EB"/>
    <w:rsid w:val="214F4DED"/>
    <w:rsid w:val="21A15954"/>
    <w:rsid w:val="21E454A8"/>
    <w:rsid w:val="22066EC3"/>
    <w:rsid w:val="222C23F5"/>
    <w:rsid w:val="227669A1"/>
    <w:rsid w:val="230B52D3"/>
    <w:rsid w:val="23396CC6"/>
    <w:rsid w:val="233C3EB8"/>
    <w:rsid w:val="234743CE"/>
    <w:rsid w:val="23E8105A"/>
    <w:rsid w:val="23EF19A7"/>
    <w:rsid w:val="242C11B4"/>
    <w:rsid w:val="24C312AE"/>
    <w:rsid w:val="25003179"/>
    <w:rsid w:val="256F4A6F"/>
    <w:rsid w:val="25F37ECB"/>
    <w:rsid w:val="26306D9D"/>
    <w:rsid w:val="26BD0C49"/>
    <w:rsid w:val="27110E3D"/>
    <w:rsid w:val="27F03E2A"/>
    <w:rsid w:val="28031235"/>
    <w:rsid w:val="281B5514"/>
    <w:rsid w:val="28316933"/>
    <w:rsid w:val="28CC45A6"/>
    <w:rsid w:val="298244C2"/>
    <w:rsid w:val="298868CB"/>
    <w:rsid w:val="29990FCF"/>
    <w:rsid w:val="2A4F6A61"/>
    <w:rsid w:val="2A501133"/>
    <w:rsid w:val="2ABA4190"/>
    <w:rsid w:val="2B0B5EBE"/>
    <w:rsid w:val="2BAC3BC5"/>
    <w:rsid w:val="2BC26243"/>
    <w:rsid w:val="2CF808B6"/>
    <w:rsid w:val="2D0D0869"/>
    <w:rsid w:val="2D336E93"/>
    <w:rsid w:val="2D8A1425"/>
    <w:rsid w:val="2DB651CE"/>
    <w:rsid w:val="2DE45E95"/>
    <w:rsid w:val="2E6E02D1"/>
    <w:rsid w:val="2E765318"/>
    <w:rsid w:val="2EC954D7"/>
    <w:rsid w:val="2FA16F19"/>
    <w:rsid w:val="2FAF52E3"/>
    <w:rsid w:val="2FD805E2"/>
    <w:rsid w:val="302A3C52"/>
    <w:rsid w:val="30642A44"/>
    <w:rsid w:val="30C00065"/>
    <w:rsid w:val="30D856C4"/>
    <w:rsid w:val="316E14D8"/>
    <w:rsid w:val="3186403B"/>
    <w:rsid w:val="31E65532"/>
    <w:rsid w:val="32146E78"/>
    <w:rsid w:val="32196D53"/>
    <w:rsid w:val="324232CF"/>
    <w:rsid w:val="325A322E"/>
    <w:rsid w:val="334214A6"/>
    <w:rsid w:val="33AF2A23"/>
    <w:rsid w:val="341E1D1F"/>
    <w:rsid w:val="342E1F62"/>
    <w:rsid w:val="344C21F4"/>
    <w:rsid w:val="347A1107"/>
    <w:rsid w:val="34E34AF0"/>
    <w:rsid w:val="35647AFB"/>
    <w:rsid w:val="357065AB"/>
    <w:rsid w:val="357C7593"/>
    <w:rsid w:val="35B142E0"/>
    <w:rsid w:val="360B09F4"/>
    <w:rsid w:val="361D6A8E"/>
    <w:rsid w:val="36436F81"/>
    <w:rsid w:val="364F61C0"/>
    <w:rsid w:val="369806B3"/>
    <w:rsid w:val="36DD145B"/>
    <w:rsid w:val="36F6682B"/>
    <w:rsid w:val="37196F77"/>
    <w:rsid w:val="379E4E4D"/>
    <w:rsid w:val="38797555"/>
    <w:rsid w:val="38A9721D"/>
    <w:rsid w:val="38B46172"/>
    <w:rsid w:val="38DE4855"/>
    <w:rsid w:val="396F3538"/>
    <w:rsid w:val="39AA5F36"/>
    <w:rsid w:val="3A9C5981"/>
    <w:rsid w:val="3A9F38DB"/>
    <w:rsid w:val="3B047B2F"/>
    <w:rsid w:val="3BB787C5"/>
    <w:rsid w:val="3BB80364"/>
    <w:rsid w:val="3C850B8E"/>
    <w:rsid w:val="3D1D4B08"/>
    <w:rsid w:val="3D55623A"/>
    <w:rsid w:val="3DBB53B3"/>
    <w:rsid w:val="3DBC0328"/>
    <w:rsid w:val="3DD443B6"/>
    <w:rsid w:val="3DDD67A7"/>
    <w:rsid w:val="3DF93AC7"/>
    <w:rsid w:val="3E171697"/>
    <w:rsid w:val="3E226717"/>
    <w:rsid w:val="3E242766"/>
    <w:rsid w:val="3EE94DE1"/>
    <w:rsid w:val="3F010D63"/>
    <w:rsid w:val="3F344776"/>
    <w:rsid w:val="3F351425"/>
    <w:rsid w:val="3F431FA6"/>
    <w:rsid w:val="3F4F2F8B"/>
    <w:rsid w:val="3F861E30"/>
    <w:rsid w:val="3F9A4830"/>
    <w:rsid w:val="3F9C4E10"/>
    <w:rsid w:val="3FFA7226"/>
    <w:rsid w:val="402F1149"/>
    <w:rsid w:val="40361759"/>
    <w:rsid w:val="40A435AC"/>
    <w:rsid w:val="40E4752C"/>
    <w:rsid w:val="412D3B04"/>
    <w:rsid w:val="41B34B23"/>
    <w:rsid w:val="42063000"/>
    <w:rsid w:val="422C0B92"/>
    <w:rsid w:val="425C5BF6"/>
    <w:rsid w:val="426572C3"/>
    <w:rsid w:val="430D6B32"/>
    <w:rsid w:val="43E06D85"/>
    <w:rsid w:val="442C2626"/>
    <w:rsid w:val="443E7E62"/>
    <w:rsid w:val="444D1AEC"/>
    <w:rsid w:val="44A33ADF"/>
    <w:rsid w:val="44A403D3"/>
    <w:rsid w:val="44DA2233"/>
    <w:rsid w:val="45116508"/>
    <w:rsid w:val="45725A27"/>
    <w:rsid w:val="45AE09CE"/>
    <w:rsid w:val="464247E2"/>
    <w:rsid w:val="468C0EF3"/>
    <w:rsid w:val="46EE732F"/>
    <w:rsid w:val="46EF5BB0"/>
    <w:rsid w:val="478A62C0"/>
    <w:rsid w:val="4798622F"/>
    <w:rsid w:val="47E250E6"/>
    <w:rsid w:val="48052B82"/>
    <w:rsid w:val="488F2969"/>
    <w:rsid w:val="48B1423A"/>
    <w:rsid w:val="48FF37F6"/>
    <w:rsid w:val="492061E1"/>
    <w:rsid w:val="496764D2"/>
    <w:rsid w:val="4A730277"/>
    <w:rsid w:val="4B687E31"/>
    <w:rsid w:val="4BB012C6"/>
    <w:rsid w:val="4BD771EC"/>
    <w:rsid w:val="4BE118F0"/>
    <w:rsid w:val="4BE83CD7"/>
    <w:rsid w:val="4BF35CCB"/>
    <w:rsid w:val="4C0B3F37"/>
    <w:rsid w:val="4C11182E"/>
    <w:rsid w:val="4C774EC2"/>
    <w:rsid w:val="4D3869E9"/>
    <w:rsid w:val="4D3FB4EA"/>
    <w:rsid w:val="4D521AB1"/>
    <w:rsid w:val="4DE12396"/>
    <w:rsid w:val="4E054B94"/>
    <w:rsid w:val="4E383760"/>
    <w:rsid w:val="4EA7125C"/>
    <w:rsid w:val="4F71762A"/>
    <w:rsid w:val="4F7542EB"/>
    <w:rsid w:val="4F81007F"/>
    <w:rsid w:val="4FB113C7"/>
    <w:rsid w:val="500C229C"/>
    <w:rsid w:val="50320F89"/>
    <w:rsid w:val="509D7BA3"/>
    <w:rsid w:val="50E242BB"/>
    <w:rsid w:val="50E7551B"/>
    <w:rsid w:val="50F6577B"/>
    <w:rsid w:val="51711289"/>
    <w:rsid w:val="5224178B"/>
    <w:rsid w:val="526C6028"/>
    <w:rsid w:val="52B65AA2"/>
    <w:rsid w:val="52C3322C"/>
    <w:rsid w:val="536C1D08"/>
    <w:rsid w:val="5391281C"/>
    <w:rsid w:val="53D5112A"/>
    <w:rsid w:val="53E20815"/>
    <w:rsid w:val="53EF7BB5"/>
    <w:rsid w:val="54002D41"/>
    <w:rsid w:val="544818C4"/>
    <w:rsid w:val="54481DA0"/>
    <w:rsid w:val="54A45FBE"/>
    <w:rsid w:val="54AE49FC"/>
    <w:rsid w:val="54B43092"/>
    <w:rsid w:val="54DA451B"/>
    <w:rsid w:val="55174B4A"/>
    <w:rsid w:val="551B7B1F"/>
    <w:rsid w:val="55C04645"/>
    <w:rsid w:val="55F3226C"/>
    <w:rsid w:val="5624740C"/>
    <w:rsid w:val="57106E4E"/>
    <w:rsid w:val="57343356"/>
    <w:rsid w:val="57D23F31"/>
    <w:rsid w:val="57D507D0"/>
    <w:rsid w:val="57FBE501"/>
    <w:rsid w:val="58394F4F"/>
    <w:rsid w:val="583D2827"/>
    <w:rsid w:val="5841695C"/>
    <w:rsid w:val="591A2B12"/>
    <w:rsid w:val="59270EA1"/>
    <w:rsid w:val="59710271"/>
    <w:rsid w:val="598967AB"/>
    <w:rsid w:val="59963052"/>
    <w:rsid w:val="599A0220"/>
    <w:rsid w:val="599A0DAD"/>
    <w:rsid w:val="59EE0CF2"/>
    <w:rsid w:val="59EE32D6"/>
    <w:rsid w:val="5A5E6BC1"/>
    <w:rsid w:val="5AA24261"/>
    <w:rsid w:val="5B0166A4"/>
    <w:rsid w:val="5B447F87"/>
    <w:rsid w:val="5C0318AE"/>
    <w:rsid w:val="5CF32058"/>
    <w:rsid w:val="5D6915FE"/>
    <w:rsid w:val="5E5D7479"/>
    <w:rsid w:val="5E89740C"/>
    <w:rsid w:val="5E973C9F"/>
    <w:rsid w:val="5E9B43B7"/>
    <w:rsid w:val="5EA554C1"/>
    <w:rsid w:val="5FF92C9C"/>
    <w:rsid w:val="608D1FC5"/>
    <w:rsid w:val="609D5BF6"/>
    <w:rsid w:val="60BA6C35"/>
    <w:rsid w:val="60CA0A03"/>
    <w:rsid w:val="60D46F8B"/>
    <w:rsid w:val="60F51CDC"/>
    <w:rsid w:val="610B03FC"/>
    <w:rsid w:val="6114688D"/>
    <w:rsid w:val="61827719"/>
    <w:rsid w:val="618C244B"/>
    <w:rsid w:val="61BE7A72"/>
    <w:rsid w:val="61F6283F"/>
    <w:rsid w:val="621442B3"/>
    <w:rsid w:val="62456734"/>
    <w:rsid w:val="626A0257"/>
    <w:rsid w:val="628B6134"/>
    <w:rsid w:val="6299575A"/>
    <w:rsid w:val="63F975E8"/>
    <w:rsid w:val="64070636"/>
    <w:rsid w:val="641211D1"/>
    <w:rsid w:val="641566C2"/>
    <w:rsid w:val="64522685"/>
    <w:rsid w:val="64726DC1"/>
    <w:rsid w:val="64787702"/>
    <w:rsid w:val="648E2EF5"/>
    <w:rsid w:val="654452C0"/>
    <w:rsid w:val="65920882"/>
    <w:rsid w:val="65D81522"/>
    <w:rsid w:val="65FA64D2"/>
    <w:rsid w:val="66243B97"/>
    <w:rsid w:val="66557471"/>
    <w:rsid w:val="669D6CA3"/>
    <w:rsid w:val="66F7369D"/>
    <w:rsid w:val="67DA5964"/>
    <w:rsid w:val="67DC1BB5"/>
    <w:rsid w:val="67DE73E1"/>
    <w:rsid w:val="68075185"/>
    <w:rsid w:val="68107A6A"/>
    <w:rsid w:val="68824896"/>
    <w:rsid w:val="68B67967"/>
    <w:rsid w:val="693764BC"/>
    <w:rsid w:val="69673663"/>
    <w:rsid w:val="69EF1A30"/>
    <w:rsid w:val="6A226130"/>
    <w:rsid w:val="6A403BA8"/>
    <w:rsid w:val="6A5E1DC4"/>
    <w:rsid w:val="6B152E08"/>
    <w:rsid w:val="6B8E5A63"/>
    <w:rsid w:val="6C117498"/>
    <w:rsid w:val="6C2202E2"/>
    <w:rsid w:val="6C6C32C1"/>
    <w:rsid w:val="6D12171A"/>
    <w:rsid w:val="6D297EA7"/>
    <w:rsid w:val="6D3E2790"/>
    <w:rsid w:val="6D652B07"/>
    <w:rsid w:val="6D720581"/>
    <w:rsid w:val="6DA214E3"/>
    <w:rsid w:val="6DAE50F8"/>
    <w:rsid w:val="6DB5EC70"/>
    <w:rsid w:val="6DD13D5A"/>
    <w:rsid w:val="6DDFC180"/>
    <w:rsid w:val="6E971ED7"/>
    <w:rsid w:val="6EE12A3D"/>
    <w:rsid w:val="6FA110A6"/>
    <w:rsid w:val="6FDF388C"/>
    <w:rsid w:val="703C5307"/>
    <w:rsid w:val="71327C95"/>
    <w:rsid w:val="71520488"/>
    <w:rsid w:val="717226F9"/>
    <w:rsid w:val="71C2431D"/>
    <w:rsid w:val="7211361D"/>
    <w:rsid w:val="72594007"/>
    <w:rsid w:val="728E441F"/>
    <w:rsid w:val="72B868C0"/>
    <w:rsid w:val="73456D7F"/>
    <w:rsid w:val="73803019"/>
    <w:rsid w:val="742239DB"/>
    <w:rsid w:val="743F55E9"/>
    <w:rsid w:val="74626032"/>
    <w:rsid w:val="74DA16DE"/>
    <w:rsid w:val="753D1A70"/>
    <w:rsid w:val="756A2421"/>
    <w:rsid w:val="75755175"/>
    <w:rsid w:val="75CC4C7D"/>
    <w:rsid w:val="760F6550"/>
    <w:rsid w:val="76135B11"/>
    <w:rsid w:val="76330ED5"/>
    <w:rsid w:val="76B16D11"/>
    <w:rsid w:val="76C04405"/>
    <w:rsid w:val="76D427C2"/>
    <w:rsid w:val="76F7541E"/>
    <w:rsid w:val="78583DB1"/>
    <w:rsid w:val="78CC08A3"/>
    <w:rsid w:val="78D35282"/>
    <w:rsid w:val="78DA53E1"/>
    <w:rsid w:val="79165D85"/>
    <w:rsid w:val="79293892"/>
    <w:rsid w:val="7A28639F"/>
    <w:rsid w:val="7A62577F"/>
    <w:rsid w:val="7A6C3EEC"/>
    <w:rsid w:val="7AA07122"/>
    <w:rsid w:val="7AF81F4F"/>
    <w:rsid w:val="7AFF852E"/>
    <w:rsid w:val="7B5714F2"/>
    <w:rsid w:val="7B595205"/>
    <w:rsid w:val="7B5C5125"/>
    <w:rsid w:val="7B60094B"/>
    <w:rsid w:val="7BB513BD"/>
    <w:rsid w:val="7BEB4909"/>
    <w:rsid w:val="7C687E75"/>
    <w:rsid w:val="7C8178DB"/>
    <w:rsid w:val="7C885C06"/>
    <w:rsid w:val="7C926B66"/>
    <w:rsid w:val="7CC039D3"/>
    <w:rsid w:val="7CC10ED0"/>
    <w:rsid w:val="7D4D37D4"/>
    <w:rsid w:val="7DB17DBE"/>
    <w:rsid w:val="7DD03BBD"/>
    <w:rsid w:val="7E064983"/>
    <w:rsid w:val="7E2B43EA"/>
    <w:rsid w:val="7E807423"/>
    <w:rsid w:val="7EB839A3"/>
    <w:rsid w:val="7EC925E5"/>
    <w:rsid w:val="7ED63ADC"/>
    <w:rsid w:val="7EEE3880"/>
    <w:rsid w:val="7F14424B"/>
    <w:rsid w:val="7F6000C3"/>
    <w:rsid w:val="7F6E56DC"/>
    <w:rsid w:val="7F7C7208"/>
    <w:rsid w:val="7FF66057"/>
    <w:rsid w:val="9FED4316"/>
    <w:rsid w:val="B7FE2AAC"/>
    <w:rsid w:val="B8E72BAD"/>
    <w:rsid w:val="BBF3FA8A"/>
    <w:rsid w:val="BED58198"/>
    <w:rsid w:val="BF7D08BB"/>
    <w:rsid w:val="F16E6B92"/>
    <w:rsid w:val="F3A7043D"/>
    <w:rsid w:val="F9FCEB9E"/>
    <w:rsid w:val="FBFF5A5B"/>
    <w:rsid w:val="FEFF0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jc w:val="center"/>
      <w:outlineLvl w:val="0"/>
    </w:pPr>
    <w:rPr>
      <w:rFonts w:ascii="Times New Roman" w:hAnsi="Times New Roman" w:eastAsia="宋体"/>
      <w:b/>
      <w:bCs/>
      <w:sz w:val="32"/>
      <w:szCs w:val="44"/>
    </w:rPr>
  </w:style>
  <w:style w:type="paragraph" w:styleId="4">
    <w:name w:val="heading 2"/>
    <w:basedOn w:val="1"/>
    <w:next w:val="1"/>
    <w:link w:val="18"/>
    <w:qFormat/>
    <w:uiPriority w:val="0"/>
    <w:pPr>
      <w:spacing w:line="500" w:lineRule="exact"/>
      <w:jc w:val="center"/>
      <w:outlineLvl w:val="1"/>
    </w:pPr>
    <w:rPr>
      <w:rFonts w:ascii="黑体" w:hAnsi="黑体" w:eastAsia="宋体"/>
      <w:b/>
      <w:bCs/>
      <w:sz w:val="30"/>
      <w:szCs w:val="28"/>
    </w:rPr>
  </w:style>
  <w:style w:type="paragraph" w:styleId="5">
    <w:name w:val="heading 3"/>
    <w:basedOn w:val="4"/>
    <w:next w:val="1"/>
    <w:link w:val="19"/>
    <w:qFormat/>
    <w:uiPriority w:val="0"/>
    <w:pPr>
      <w:jc w:val="left"/>
      <w:outlineLvl w:val="2"/>
    </w:pPr>
    <w:rPr>
      <w:rFonts w:ascii="Times New Roman" w:hAnsi="Times New Roman"/>
      <w:sz w:val="28"/>
    </w:rPr>
  </w:style>
  <w:style w:type="character" w:default="1" w:styleId="16">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2">
    <w:name w:val="Title"/>
    <w:basedOn w:val="1"/>
    <w:next w:val="1"/>
    <w:qFormat/>
    <w:uiPriority w:val="0"/>
    <w:pPr>
      <w:jc w:val="center"/>
    </w:pPr>
    <w:rPr>
      <w:rFonts w:hint="default" w:ascii="华文中宋" w:hAnsi="华文中宋" w:eastAsia="华文中宋" w:cs="Arial Unicode MS"/>
      <w:sz w:val="44"/>
      <w:szCs w:val="44"/>
    </w:rPr>
  </w:style>
  <w:style w:type="paragraph" w:styleId="6">
    <w:name w:val="Body Text"/>
    <w:basedOn w:val="1"/>
    <w:qFormat/>
    <w:uiPriority w:val="0"/>
    <w:rPr>
      <w:rFonts w:ascii="Times New Roman" w:hAnsi="Times New Roman" w:eastAsia="宋体" w:cs="Times New Roman"/>
      <w:sz w:val="32"/>
      <w:szCs w:val="32"/>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eastAsia="宋体" w:cs="Times New Roman"/>
      <w:szCs w:val="20"/>
    </w:rPr>
  </w:style>
  <w:style w:type="paragraph" w:styleId="9">
    <w:name w:val="footer"/>
    <w:basedOn w:val="1"/>
    <w:qFormat/>
    <w:uiPriority w:val="0"/>
    <w:pPr>
      <w:tabs>
        <w:tab w:val="center" w:pos="4153"/>
        <w:tab w:val="right" w:pos="8306"/>
      </w:tabs>
    </w:pPr>
    <w:rPr>
      <w:rFonts w:hint="default"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hint="default" w:ascii="Calibri" w:hAnsi="Calibri" w:eastAsia="宋体" w:cs="Times New Roman"/>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rPr>
      <w:rFonts w:ascii="Times New Roman" w:hAnsi="Times New Roman" w:eastAsia="宋体" w:cs="Times New Roman"/>
      <w:sz w:val="24"/>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Char"/>
    <w:link w:val="3"/>
    <w:qFormat/>
    <w:uiPriority w:val="0"/>
    <w:rPr>
      <w:rFonts w:ascii="Times New Roman" w:hAnsi="Times New Roman" w:eastAsia="宋体"/>
      <w:b/>
      <w:bCs/>
      <w:sz w:val="32"/>
      <w:szCs w:val="44"/>
    </w:rPr>
  </w:style>
  <w:style w:type="character" w:customStyle="1" w:styleId="18">
    <w:name w:val="标题 2 Char"/>
    <w:link w:val="4"/>
    <w:qFormat/>
    <w:uiPriority w:val="0"/>
    <w:rPr>
      <w:rFonts w:ascii="黑体" w:hAnsi="黑体" w:eastAsia="宋体"/>
      <w:b/>
      <w:bCs/>
      <w:sz w:val="30"/>
      <w:szCs w:val="28"/>
    </w:rPr>
  </w:style>
  <w:style w:type="character" w:customStyle="1" w:styleId="19">
    <w:name w:val="标题 3 Char"/>
    <w:link w:val="5"/>
    <w:qFormat/>
    <w:uiPriority w:val="0"/>
    <w:rPr>
      <w:rFonts w:ascii="Times New Roman" w:hAnsi="Times New Roman"/>
      <w:sz w:val="28"/>
    </w:rPr>
  </w:style>
  <w:style w:type="character" w:customStyle="1" w:styleId="20">
    <w:name w:val="正文2 Char"/>
    <w:link w:val="21"/>
    <w:qFormat/>
    <w:uiPriority w:val="0"/>
    <w:rPr>
      <w:rFonts w:hint="default" w:ascii="Calibri" w:hAnsi="Calibri" w:eastAsia="宋体" w:cs="Times New Roman"/>
      <w:sz w:val="32"/>
      <w:szCs w:val="22"/>
    </w:rPr>
  </w:style>
  <w:style w:type="paragraph" w:customStyle="1" w:styleId="21">
    <w:name w:val="正文2"/>
    <w:basedOn w:val="22"/>
    <w:link w:val="20"/>
    <w:qFormat/>
    <w:uiPriority w:val="0"/>
    <w:pPr>
      <w:spacing w:line="560" w:lineRule="exact"/>
      <w:ind w:firstLine="880"/>
      <w:jc w:val="both"/>
    </w:pPr>
    <w:rPr>
      <w:rFonts w:hint="default" w:ascii="Calibri" w:hAnsi="Calibri" w:eastAsia="宋体" w:cs="Times New Roman"/>
      <w:sz w:val="32"/>
      <w:szCs w:val="22"/>
    </w:rPr>
  </w:style>
  <w:style w:type="paragraph" w:customStyle="1" w:styleId="22">
    <w:name w:val="正文11"/>
    <w:next w:val="23"/>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customStyle="1" w:styleId="23">
    <w:name w:val="标题1"/>
    <w:basedOn w:val="22"/>
    <w:next w:val="22"/>
    <w:qFormat/>
    <w:uiPriority w:val="0"/>
    <w:pPr>
      <w:spacing w:before="240" w:beforeAutospacing="0" w:after="60" w:afterAutospacing="0"/>
      <w:jc w:val="center"/>
      <w:outlineLvl w:val="0"/>
    </w:pPr>
    <w:rPr>
      <w:rFonts w:ascii="Arial" w:hAnsi="Arial" w:eastAsia="宋体" w:cs="Times New Roman"/>
      <w:b/>
      <w:sz w:val="32"/>
    </w:rPr>
  </w:style>
  <w:style w:type="paragraph" w:customStyle="1" w:styleId="24">
    <w:name w:val="表头"/>
    <w:basedOn w:val="22"/>
    <w:qFormat/>
    <w:uiPriority w:val="0"/>
    <w:pPr>
      <w:widowControl/>
      <w:spacing w:line="360" w:lineRule="exact"/>
      <w:jc w:val="center"/>
    </w:pPr>
    <w:rPr>
      <w:rFonts w:hint="default" w:ascii="黑体" w:hAnsi="黑体" w:eastAsia="黑体" w:cs="Times New Roman"/>
      <w:color w:val="000000"/>
      <w:sz w:val="28"/>
      <w:szCs w:val="28"/>
    </w:rPr>
  </w:style>
  <w:style w:type="paragraph" w:customStyle="1" w:styleId="25">
    <w:name w:val="表左"/>
    <w:basedOn w:val="1"/>
    <w:qFormat/>
    <w:uiPriority w:val="0"/>
    <w:pPr>
      <w:widowControl/>
      <w:spacing w:line="360" w:lineRule="exact"/>
      <w:jc w:val="both"/>
    </w:pPr>
    <w:rPr>
      <w:rFonts w:hint="default" w:ascii="Times New Roman" w:hAnsi="Times New Roman" w:eastAsia="宋体" w:cs="Times New Roman"/>
      <w:color w:val="000000"/>
      <w:sz w:val="28"/>
      <w:szCs w:val="28"/>
    </w:rPr>
  </w:style>
  <w:style w:type="paragraph" w:customStyle="1" w:styleId="26">
    <w:name w:val="正文目录"/>
    <w:basedOn w:val="22"/>
    <w:next w:val="22"/>
    <w:qFormat/>
    <w:uiPriority w:val="0"/>
    <w:pPr>
      <w:keepNext/>
      <w:keepLines/>
      <w:widowControl w:val="0"/>
      <w:spacing w:line="560" w:lineRule="exact"/>
      <w:ind w:firstLine="200"/>
      <w:outlineLvl w:val="2"/>
    </w:pPr>
    <w:rPr>
      <w:rFonts w:ascii="Arial" w:hAnsi="Arial" w:eastAsia="黑体" w:cs="Times New Roman"/>
      <w:sz w:val="32"/>
      <w:szCs w:val="20"/>
    </w:rPr>
  </w:style>
  <w:style w:type="character" w:customStyle="1" w:styleId="27">
    <w:name w:val="font11"/>
    <w:basedOn w:val="16"/>
    <w:qFormat/>
    <w:uiPriority w:val="0"/>
    <w:rPr>
      <w:rFonts w:hint="eastAsia" w:ascii="宋体" w:hAnsi="宋体" w:eastAsia="宋体" w:cs="宋体"/>
      <w:color w:val="FF0000"/>
      <w:sz w:val="20"/>
      <w:szCs w:val="20"/>
      <w:u w:val="none"/>
    </w:rPr>
  </w:style>
  <w:style w:type="character" w:customStyle="1" w:styleId="28">
    <w:name w:val="font101"/>
    <w:basedOn w:val="16"/>
    <w:qFormat/>
    <w:uiPriority w:val="0"/>
    <w:rPr>
      <w:rFonts w:hint="default" w:ascii="仿宋_GB2312" w:eastAsia="仿宋_GB2312" w:cs="仿宋_GB2312"/>
      <w:color w:val="0070C0"/>
      <w:sz w:val="24"/>
      <w:szCs w:val="24"/>
      <w:u w:val="none"/>
    </w:rPr>
  </w:style>
  <w:style w:type="character" w:customStyle="1" w:styleId="29">
    <w:name w:val="font71"/>
    <w:basedOn w:val="16"/>
    <w:qFormat/>
    <w:uiPriority w:val="0"/>
    <w:rPr>
      <w:rFonts w:hint="default" w:ascii="仿宋_GB2312" w:eastAsia="仿宋_GB2312" w:cs="仿宋_GB2312"/>
      <w:color w:val="000000"/>
      <w:sz w:val="24"/>
      <w:szCs w:val="24"/>
      <w:u w:val="none"/>
    </w:rPr>
  </w:style>
  <w:style w:type="character" w:customStyle="1" w:styleId="30">
    <w:name w:val="font112"/>
    <w:basedOn w:val="16"/>
    <w:qFormat/>
    <w:uiPriority w:val="0"/>
    <w:rPr>
      <w:rFonts w:hint="default" w:ascii="仿宋_GB2312" w:eastAsia="仿宋_GB2312" w:cs="仿宋_GB2312"/>
      <w:color w:val="022ABE"/>
      <w:sz w:val="24"/>
      <w:szCs w:val="24"/>
      <w:u w:val="none"/>
    </w:rPr>
  </w:style>
  <w:style w:type="paragraph" w:customStyle="1" w:styleId="31">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32">
    <w:name w:val="font81"/>
    <w:basedOn w:val="16"/>
    <w:qFormat/>
    <w:uiPriority w:val="0"/>
    <w:rPr>
      <w:rFonts w:hint="eastAsia" w:ascii="宋体" w:hAnsi="宋体" w:eastAsia="宋体" w:cs="宋体"/>
      <w:color w:val="000000"/>
      <w:sz w:val="21"/>
      <w:szCs w:val="21"/>
      <w:u w:val="none"/>
    </w:rPr>
  </w:style>
  <w:style w:type="character" w:customStyle="1" w:styleId="33">
    <w:name w:val="font151"/>
    <w:basedOn w:val="16"/>
    <w:qFormat/>
    <w:uiPriority w:val="0"/>
    <w:rPr>
      <w:rFonts w:hint="eastAsia" w:ascii="宋体" w:hAnsi="宋体" w:eastAsia="宋体" w:cs="宋体"/>
      <w:color w:val="0000FF"/>
      <w:sz w:val="21"/>
      <w:szCs w:val="21"/>
      <w:u w:val="none"/>
    </w:rPr>
  </w:style>
  <w:style w:type="character" w:customStyle="1" w:styleId="34">
    <w:name w:val="font171"/>
    <w:basedOn w:val="16"/>
    <w:qFormat/>
    <w:uiPriority w:val="0"/>
    <w:rPr>
      <w:rFonts w:hint="eastAsia" w:ascii="宋体" w:hAnsi="宋体" w:eastAsia="宋体" w:cs="宋体"/>
      <w:color w:val="000000"/>
      <w:sz w:val="32"/>
      <w:szCs w:val="32"/>
      <w:u w:val="none"/>
    </w:rPr>
  </w:style>
  <w:style w:type="character" w:customStyle="1" w:styleId="35">
    <w:name w:val="font131"/>
    <w:basedOn w:val="16"/>
    <w:qFormat/>
    <w:uiPriority w:val="0"/>
    <w:rPr>
      <w:rFonts w:hint="default" w:ascii="仿宋_GB2312" w:eastAsia="仿宋_GB2312" w:cs="仿宋_GB2312"/>
      <w:b/>
      <w:bCs/>
      <w:color w:val="022ABE"/>
      <w:sz w:val="24"/>
      <w:szCs w:val="24"/>
      <w:u w:val="none"/>
    </w:rPr>
  </w:style>
  <w:style w:type="character" w:customStyle="1" w:styleId="36">
    <w:name w:val="font21"/>
    <w:basedOn w:val="16"/>
    <w:qFormat/>
    <w:uiPriority w:val="0"/>
    <w:rPr>
      <w:rFonts w:hint="default" w:ascii="仿宋_GB2312" w:eastAsia="仿宋_GB2312" w:cs="仿宋_GB2312"/>
      <w:color w:val="000000"/>
      <w:sz w:val="24"/>
      <w:szCs w:val="24"/>
      <w:u w:val="none"/>
    </w:rPr>
  </w:style>
  <w:style w:type="character" w:customStyle="1" w:styleId="37">
    <w:name w:val="font51"/>
    <w:basedOn w:val="16"/>
    <w:qFormat/>
    <w:uiPriority w:val="0"/>
    <w:rPr>
      <w:rFonts w:hint="default" w:ascii="仿宋_GB2312" w:eastAsia="仿宋_GB2312" w:cs="仿宋_GB2312"/>
      <w:color w:val="000000"/>
      <w:sz w:val="24"/>
      <w:szCs w:val="24"/>
      <w:u w:val="none"/>
    </w:rPr>
  </w:style>
  <w:style w:type="character" w:customStyle="1" w:styleId="38">
    <w:name w:val="font181"/>
    <w:basedOn w:val="16"/>
    <w:qFormat/>
    <w:uiPriority w:val="0"/>
    <w:rPr>
      <w:rFonts w:hint="eastAsia" w:ascii="宋体" w:hAnsi="宋体" w:eastAsia="宋体" w:cs="宋体"/>
      <w:color w:val="000000"/>
      <w:sz w:val="24"/>
      <w:szCs w:val="24"/>
      <w:u w:val="none"/>
    </w:rPr>
  </w:style>
  <w:style w:type="character" w:customStyle="1" w:styleId="39">
    <w:name w:val="font241"/>
    <w:basedOn w:val="16"/>
    <w:qFormat/>
    <w:uiPriority w:val="0"/>
    <w:rPr>
      <w:rFonts w:hint="default" w:ascii="仿宋_GB2312" w:eastAsia="仿宋_GB2312" w:cs="仿宋_GB2312"/>
      <w:b/>
      <w:bCs/>
      <w:color w:val="000000"/>
      <w:sz w:val="24"/>
      <w:szCs w:val="24"/>
      <w:u w:val="none"/>
    </w:rPr>
  </w:style>
  <w:style w:type="character" w:customStyle="1" w:styleId="40">
    <w:name w:val="font251"/>
    <w:basedOn w:val="16"/>
    <w:qFormat/>
    <w:uiPriority w:val="0"/>
    <w:rPr>
      <w:rFonts w:hint="default" w:ascii="仿宋_GB2312" w:eastAsia="仿宋_GB2312" w:cs="仿宋_GB2312"/>
      <w:b/>
      <w:bCs/>
      <w:color w:val="FF0000"/>
      <w:sz w:val="24"/>
      <w:szCs w:val="24"/>
      <w:u w:val="none"/>
    </w:rPr>
  </w:style>
  <w:style w:type="character" w:customStyle="1" w:styleId="41">
    <w:name w:val="font161"/>
    <w:basedOn w:val="16"/>
    <w:qFormat/>
    <w:uiPriority w:val="0"/>
    <w:rPr>
      <w:rFonts w:hint="default" w:ascii="仿宋_GB2312" w:eastAsia="仿宋_GB2312" w:cs="仿宋_GB2312"/>
      <w:b/>
      <w:bCs/>
      <w:color w:val="000000"/>
      <w:sz w:val="24"/>
      <w:szCs w:val="24"/>
      <w:u w:val="none"/>
    </w:rPr>
  </w:style>
  <w:style w:type="paragraph" w:customStyle="1" w:styleId="42">
    <w:name w:val="Table Paragraph"/>
    <w:basedOn w:val="1"/>
    <w:qFormat/>
    <w:uiPriority w:val="1"/>
  </w:style>
  <w:style w:type="character" w:customStyle="1" w:styleId="43">
    <w:name w:val="font191"/>
    <w:basedOn w:val="16"/>
    <w:qFormat/>
    <w:uiPriority w:val="0"/>
    <w:rPr>
      <w:rFonts w:ascii="Arial" w:hAnsi="Arial" w:cs="Arial"/>
      <w:color w:val="000000"/>
      <w:sz w:val="24"/>
      <w:szCs w:val="24"/>
      <w:u w:val="none"/>
    </w:rPr>
  </w:style>
  <w:style w:type="paragraph" w:styleId="44">
    <w:name w:val="List Paragraph"/>
    <w:basedOn w:val="1"/>
    <w:qFormat/>
    <w:uiPriority w:val="1"/>
    <w:pPr>
      <w:autoSpaceDE w:val="0"/>
      <w:autoSpaceDN w:val="0"/>
      <w:spacing w:before="190"/>
      <w:ind w:left="120" w:right="417" w:firstLine="640"/>
      <w:jc w:val="left"/>
    </w:pPr>
    <w:rPr>
      <w:rFonts w:ascii="宋体" w:hAnsi="宋体" w:cs="宋体"/>
      <w:kern w:val="0"/>
      <w:sz w:val="22"/>
      <w:szCs w:val="22"/>
    </w:rPr>
  </w:style>
  <w:style w:type="character" w:customStyle="1" w:styleId="45">
    <w:name w:val="font61"/>
    <w:basedOn w:val="16"/>
    <w:qFormat/>
    <w:uiPriority w:val="0"/>
    <w:rPr>
      <w:rFonts w:hint="default" w:ascii="仿宋_GB2312" w:eastAsia="仿宋_GB2312" w:cs="仿宋_GB2312"/>
      <w:color w:val="0070C0"/>
      <w:sz w:val="24"/>
      <w:szCs w:val="24"/>
      <w:u w:val="none"/>
    </w:rPr>
  </w:style>
  <w:style w:type="character" w:customStyle="1" w:styleId="46">
    <w:name w:val="font31"/>
    <w:basedOn w:val="16"/>
    <w:qFormat/>
    <w:uiPriority w:val="0"/>
    <w:rPr>
      <w:rFonts w:hint="default" w:ascii="仿宋_GB2312" w:eastAsia="仿宋_GB2312" w:cs="仿宋_GB2312"/>
      <w:color w:val="000000"/>
      <w:sz w:val="24"/>
      <w:szCs w:val="24"/>
      <w:u w:val="none"/>
    </w:rPr>
  </w:style>
  <w:style w:type="paragraph" w:customStyle="1" w:styleId="47">
    <w:name w:val="WPSOffice手动目录 1"/>
    <w:qFormat/>
    <w:uiPriority w:val="0"/>
    <w:pPr>
      <w:ind w:leftChars="0"/>
    </w:pPr>
    <w:rPr>
      <w:rFonts w:ascii="Calibri" w:hAnsi="Calibri" w:eastAsia="宋体" w:cs="Times New Roman"/>
      <w:sz w:val="20"/>
      <w:szCs w:val="20"/>
    </w:rPr>
  </w:style>
  <w:style w:type="paragraph" w:customStyle="1" w:styleId="48">
    <w:name w:val="WPSOffice手动目录 3"/>
    <w:qFormat/>
    <w:uiPriority w:val="0"/>
    <w:pPr>
      <w:ind w:leftChars="400"/>
    </w:pPr>
    <w:rPr>
      <w:rFonts w:ascii="Calibri" w:hAnsi="Calibri" w:eastAsia="宋体" w:cs="Times New Roman"/>
      <w:sz w:val="20"/>
      <w:szCs w:val="20"/>
    </w:rPr>
  </w:style>
  <w:style w:type="paragraph" w:customStyle="1" w:styleId="49">
    <w:name w:val="WPSOffice手动目录 2"/>
    <w:qFormat/>
    <w:uiPriority w:val="0"/>
    <w:pPr>
      <w:ind w:leftChars="200"/>
    </w:pPr>
    <w:rPr>
      <w:rFonts w:ascii="Calibri" w:hAnsi="Calibri" w:eastAsia="宋体" w:cs="Times New Roman"/>
      <w:sz w:val="20"/>
      <w:szCs w:val="20"/>
    </w:rPr>
  </w:style>
  <w:style w:type="character" w:customStyle="1" w:styleId="50">
    <w:name w:val="15"/>
    <w:basedOn w:val="16"/>
    <w:qFormat/>
    <w:uiPriority w:val="0"/>
    <w:rPr>
      <w:rFonts w:hint="default" w:ascii="Arial" w:hAnsi="Arial" w:cs="Arial"/>
      <w:color w:val="000000"/>
      <w:sz w:val="24"/>
      <w:szCs w:val="24"/>
    </w:rPr>
  </w:style>
  <w:style w:type="character" w:customStyle="1" w:styleId="51">
    <w:name w:val="16"/>
    <w:basedOn w:val="16"/>
    <w:qFormat/>
    <w:uiPriority w:val="0"/>
    <w:rPr>
      <w:rFonts w:hint="eastAsia" w:ascii="仿宋_GB2312" w:eastAsia="仿宋_GB2312"/>
      <w:color w:val="022ABE"/>
      <w:sz w:val="24"/>
      <w:szCs w:val="24"/>
    </w:rPr>
  </w:style>
  <w:style w:type="table" w:customStyle="1" w:styleId="52">
    <w:name w:val="网格型1"/>
    <w:basedOn w:val="14"/>
    <w:qFormat/>
    <w:uiPriority w:val="59"/>
    <w:pPr>
      <w:widowControl w:val="0"/>
      <w:jc w:val="both"/>
    </w:pPr>
    <w:tblPr>
      <w:tblStyle w:val="1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212</Pages>
  <Words>118112</Words>
  <Characters>131890</Characters>
  <Lines>0</Lines>
  <Paragraphs>0</Paragraphs>
  <TotalTime>21.3333333333333</TotalTime>
  <ScaleCrop>false</ScaleCrop>
  <LinksUpToDate>false</LinksUpToDate>
  <CharactersWithSpaces>133090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2023-06-23T05:06:00Z</dcterms:created>
  <dc:creator>拒绝阿离99次</dc:creator>
  <cp:lastModifiedBy>钟力</cp:lastModifiedBy>
  <cp:lastPrinted>2023-07-23T09:44:00Z</cp:lastPrinted>
  <dcterms:modified xsi:type="dcterms:W3CDTF">2023-11-30T11:39:08Z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C175C1BDC09F4FBB827E165A2D1D68CE_13</vt:lpwstr>
  </property>
</Properties>
</file>