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631F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28A450D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02A40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6"/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Style w:val="6"/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天津市</w:t>
      </w:r>
      <w:r>
        <w:rPr>
          <w:rStyle w:val="6"/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</w:rPr>
        <w:t>独资医院领域扩大开放</w:t>
      </w:r>
    </w:p>
    <w:p w14:paraId="45F6D01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6"/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Style w:val="6"/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</w:rPr>
        <w:t>试点工作</w:t>
      </w:r>
      <w:r>
        <w:rPr>
          <w:rStyle w:val="6"/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分工</w:t>
      </w:r>
    </w:p>
    <w:p w14:paraId="29614AE1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Style w:val="6"/>
          <w:rFonts w:hint="eastAsia" w:ascii="Times New Roman" w:hAnsi="Times New Roman" w:eastAsia="方正小标宋简体" w:cs="方正小标宋简体"/>
          <w:b w:val="0"/>
          <w:bCs/>
          <w:color w:val="auto"/>
          <w:sz w:val="32"/>
          <w:szCs w:val="32"/>
        </w:rPr>
      </w:pPr>
    </w:p>
    <w:p w14:paraId="71A75877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为做好我市独资医院领域扩大开放试点工作，根据《商务部 国家卫生健康委 国家药监局关于在医疗领域开展扩大开放试点工作的通知》（商资函〔2024〕568号）和国家卫生健康委、商务部、国家中医药局、国家疾控局《关于印发独资医院领域扩大开放试点工作方案的通知》（国卫医政发〔2024〕36号，以下简称“国家试点方案”），结合我市实际，明确职责分工如下。</w:t>
      </w:r>
    </w:p>
    <w:p w14:paraId="088AC4C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一、总体要求</w:t>
      </w:r>
    </w:p>
    <w:p w14:paraId="1AACF437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以习近平新时代中国特色社会主义思想为指导，全面贯彻落实党的二十届三中全会精神，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深入学习贯彻习近平总书记视察天津重要讲话精神，严格落实国家试点方案要求，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统筹发展和安全，确保试点工作平稳有序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医疗领域有序扩大开放，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引进国际高水平医疗资源，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拓展多元化服务供给格局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更好服务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群众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健康需求。</w:t>
      </w:r>
    </w:p>
    <w:p w14:paraId="1AE137C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二、职责分工</w:t>
      </w:r>
    </w:p>
    <w:p w14:paraId="0E0AE16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（一）卫生健康部门。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负责外商独资医院设置审批和执业登记，负责事中事后管理，依法履行属地行业监管责任。</w:t>
      </w:r>
    </w:p>
    <w:p w14:paraId="42F3D19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（二）商务部门。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负责加强对外商独资医院的服务保障，保障外商投资合法权益。</w:t>
      </w:r>
    </w:p>
    <w:p w14:paraId="39729A1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（三）市场监管部门。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负责审批营利性外商独资医院投资主体《营业执照》，依法实施有关市场领域监管。</w:t>
      </w:r>
    </w:p>
    <w:p w14:paraId="1DFD207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（四）民政部门。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负责对非营利性外商独资医院设立主体进行民办非企业单位登记，依法实施相关监管。</w:t>
      </w:r>
    </w:p>
    <w:p w14:paraId="6D79D73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（五）医保部门。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负责将符合医保有关规定的医院按程序纳入医保定点，依法实施基本医疗保障基金使用监管。</w:t>
      </w:r>
    </w:p>
    <w:p w14:paraId="7EC6D00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（六）药监部门。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负责外商独资医院涉及的药品、医疗器械质量监管。</w:t>
      </w:r>
    </w:p>
    <w:p w14:paraId="78DA8499">
      <w:pPr>
        <w:pStyle w:val="3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（七）疾控部门。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负责对外商独资医院开展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疾病预防控制</w:t>
      </w:r>
      <w:r>
        <w:rPr>
          <w:rFonts w:hint="eastAsia" w:ascii="Times New Roman" w:hAnsi="Times New Roman" w:eastAsia="仿宋_GB2312" w:cs="仿宋_GB2312"/>
          <w:b w:val="0"/>
          <w:spacing w:val="0"/>
          <w:sz w:val="32"/>
          <w:szCs w:val="32"/>
        </w:rPr>
        <w:t>工作进行指导、</w:t>
      </w:r>
      <w:r>
        <w:rPr>
          <w:rFonts w:hint="eastAsia" w:ascii="Times New Roman" w:hAnsi="Times New Roman" w:eastAsia="仿宋_GB2312" w:cs="仿宋_GB2312"/>
          <w:b w:val="0"/>
          <w:spacing w:val="0"/>
          <w:sz w:val="32"/>
          <w:szCs w:val="32"/>
          <w:lang w:val="en-US" w:eastAsia="zh-CN"/>
        </w:rPr>
        <w:t>监</w:t>
      </w:r>
      <w:r>
        <w:rPr>
          <w:rFonts w:hint="eastAsia" w:ascii="Times New Roman" w:hAnsi="Times New Roman" w:eastAsia="仿宋_GB2312" w:cs="仿宋_GB2312"/>
          <w:b w:val="0"/>
          <w:spacing w:val="0"/>
          <w:sz w:val="32"/>
          <w:szCs w:val="32"/>
        </w:rPr>
        <w:t>督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7AEC04B"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三、工作要求</w:t>
      </w:r>
    </w:p>
    <w:p w14:paraId="01046A93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（一）优化营商环境，依法准入。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各相关部门要增强优化营商环境意识，推进我市营商环境建设。各级承担相关审批职能部门，要坚持依法行政，严格依据法律法规和具体政策，做好解读宣讲，把好准入关，切实引进国际高水平医疗资源。</w:t>
      </w:r>
    </w:p>
    <w:p w14:paraId="0CA5A118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（二）强化分工协作，提升效率。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卫生健康部门要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与有关部门建立协同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机制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优化提升工作效率。各有关部门强化分工协作，按照国家试点方案，结合职责分工，畅通部门间衔接，依法依规落实工作职责。</w:t>
      </w:r>
    </w:p>
    <w:p w14:paraId="57A6F5FB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cs="仿宋_GB2312" w:eastAsiaTheme="minorEastAsia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（三）开展运行评估，完善管理。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外商独资医院所在区卫生健康委要会同有关部门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开展运行评估，及时协调解决试点中遇到的难点问题。市卫生健康委会同市级有关部门做好指导。遇有重大情况，及时向国家卫生健康委、商务部等部门报告。</w:t>
      </w:r>
    </w:p>
    <w:p w14:paraId="451100D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Style w:val="6"/>
          <w:rFonts w:hint="default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（四）依法监督管理，同等对待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。各有关部门要依法履行法定职责，对所有医疗机构一视同仁。在执法中坚持“执法+普法”相结合，促进依法执业。坚持公平、公正、规范、文明执法，处罚与教育相结合，引导自觉守法。</w:t>
      </w:r>
    </w:p>
    <w:p w14:paraId="6F709C2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（五）</w:t>
      </w:r>
      <w:r>
        <w:rPr>
          <w:rStyle w:val="6"/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健全监管机制，化解风险。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各有关部门要结合外商独资医院业务开展和运行特点，不断完善事中事后监管机制，健全强化属地化监管机制和监管能力，通过不断探索完善综合监管机制，防范风险，实现有效监管。</w:t>
      </w:r>
    </w:p>
    <w:p w14:paraId="6CBBC5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F4315"/>
    <w:rsid w:val="2E7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2024-12-03T21:24:00Z</dcterms:created>
  <dc:creator>雨熹 Cisia</dc:creator>
  <cp:lastModifiedBy>雨熹 Cisia</cp:lastModifiedBy>
  <dcterms:modified xsi:type="dcterms:W3CDTF">2024-12-03T21:25:15Z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DEA39DF459FD89839D064F67F1A10301_41</vt:lpwstr>
  </property>
</Properties>
</file>