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8B" w:rsidRPr="00F50C8B" w:rsidRDefault="00F50C8B" w:rsidP="00F50C8B">
      <w:pPr>
        <w:tabs>
          <w:tab w:val="left" w:pos="7380"/>
          <w:tab w:val="left" w:pos="7920"/>
        </w:tabs>
        <w:spacing w:line="600" w:lineRule="exact"/>
        <w:rPr>
          <w:rFonts w:ascii="黑体" w:eastAsia="黑体" w:hAnsi="黑体"/>
          <w:sz w:val="32"/>
          <w:szCs w:val="32"/>
        </w:rPr>
      </w:pPr>
      <w:r w:rsidRPr="00F50C8B">
        <w:rPr>
          <w:rFonts w:ascii="黑体" w:eastAsia="黑体" w:hAnsi="黑体"/>
          <w:sz w:val="32"/>
          <w:szCs w:val="32"/>
        </w:rPr>
        <w:t>附件1</w:t>
      </w:r>
    </w:p>
    <w:p w:rsidR="00F50C8B" w:rsidRPr="00F41376" w:rsidRDefault="00F50C8B" w:rsidP="00F50C8B">
      <w:pPr>
        <w:spacing w:line="800" w:lineRule="exact"/>
        <w:ind w:leftChars="1" w:left="1877" w:hangingChars="586" w:hanging="1875"/>
        <w:rPr>
          <w:sz w:val="32"/>
          <w:szCs w:val="32"/>
        </w:rPr>
      </w:pPr>
    </w:p>
    <w:p w:rsidR="00F50C8B" w:rsidRPr="00F41376" w:rsidRDefault="00F50C8B" w:rsidP="00F50C8B">
      <w:pPr>
        <w:widowControl/>
        <w:spacing w:line="640" w:lineRule="exact"/>
        <w:jc w:val="center"/>
        <w:rPr>
          <w:rFonts w:eastAsia="方正小标宋简体"/>
          <w:kern w:val="0"/>
          <w:sz w:val="44"/>
          <w:szCs w:val="44"/>
        </w:rPr>
      </w:pPr>
      <w:r w:rsidRPr="00F41376">
        <w:rPr>
          <w:rFonts w:eastAsia="方正小标宋简体"/>
          <w:kern w:val="0"/>
          <w:sz w:val="44"/>
          <w:szCs w:val="44"/>
        </w:rPr>
        <w:t>普通口服固体制剂溶出度试验</w:t>
      </w:r>
    </w:p>
    <w:p w:rsidR="00F50C8B" w:rsidRPr="00F41376" w:rsidRDefault="00F50C8B" w:rsidP="00F50C8B">
      <w:pPr>
        <w:widowControl/>
        <w:spacing w:line="640" w:lineRule="exact"/>
        <w:jc w:val="center"/>
        <w:rPr>
          <w:rFonts w:eastAsia="方正小标宋简体"/>
          <w:kern w:val="0"/>
          <w:sz w:val="44"/>
          <w:szCs w:val="44"/>
        </w:rPr>
      </w:pPr>
      <w:r w:rsidRPr="00F41376">
        <w:rPr>
          <w:rFonts w:eastAsia="方正小标宋简体"/>
          <w:kern w:val="0"/>
          <w:sz w:val="44"/>
          <w:szCs w:val="44"/>
        </w:rPr>
        <w:t>技术指导原则</w:t>
      </w:r>
    </w:p>
    <w:p w:rsidR="00F50C8B" w:rsidRPr="00F41376" w:rsidRDefault="00F50C8B" w:rsidP="00F50C8B">
      <w:pPr>
        <w:widowControl/>
        <w:spacing w:line="600" w:lineRule="exact"/>
        <w:rPr>
          <w:rFonts w:eastAsia="仿宋_GB2312"/>
          <w:sz w:val="32"/>
          <w:szCs w:val="32"/>
        </w:rPr>
      </w:pPr>
    </w:p>
    <w:p w:rsidR="00F50C8B" w:rsidRPr="00F41376" w:rsidRDefault="00F50C8B" w:rsidP="00F50C8B">
      <w:pPr>
        <w:spacing w:line="600" w:lineRule="exact"/>
        <w:ind w:firstLineChars="196" w:firstLine="627"/>
        <w:rPr>
          <w:rFonts w:eastAsia="黑体"/>
          <w:bCs/>
          <w:kern w:val="0"/>
          <w:sz w:val="32"/>
          <w:szCs w:val="32"/>
        </w:rPr>
      </w:pPr>
      <w:r w:rsidRPr="00F41376">
        <w:rPr>
          <w:rFonts w:eastAsia="黑体"/>
          <w:bCs/>
          <w:kern w:val="0"/>
          <w:sz w:val="32"/>
          <w:szCs w:val="32"/>
        </w:rPr>
        <w:t>一、前言</w:t>
      </w:r>
    </w:p>
    <w:p w:rsidR="00F50C8B" w:rsidRPr="00E445A7" w:rsidRDefault="00F50C8B" w:rsidP="00F50C8B">
      <w:pPr>
        <w:widowControl/>
        <w:spacing w:line="600" w:lineRule="exact"/>
        <w:ind w:firstLineChars="200" w:firstLine="640"/>
        <w:rPr>
          <w:rFonts w:eastAsia="仿宋_GB2312"/>
          <w:sz w:val="32"/>
          <w:szCs w:val="32"/>
        </w:rPr>
      </w:pPr>
      <w:r w:rsidRPr="00B7487F">
        <w:rPr>
          <w:rFonts w:eastAsia="仿宋_GB2312"/>
          <w:sz w:val="32"/>
          <w:szCs w:val="32"/>
        </w:rPr>
        <w:t>本指导原则适用于普通口服固体制剂，包括以下内容：（</w:t>
      </w:r>
      <w:r w:rsidRPr="00AB61F9">
        <w:rPr>
          <w:rFonts w:eastAsia="仿宋_GB2312"/>
          <w:sz w:val="32"/>
          <w:szCs w:val="32"/>
        </w:rPr>
        <w:t>1</w:t>
      </w:r>
      <w:r w:rsidRPr="00E419B3">
        <w:rPr>
          <w:rFonts w:eastAsia="仿宋_GB2312"/>
          <w:sz w:val="32"/>
          <w:szCs w:val="32"/>
        </w:rPr>
        <w:t>）溶出度试验的一般要求；（</w:t>
      </w:r>
      <w:r w:rsidRPr="005D3E33">
        <w:rPr>
          <w:rFonts w:eastAsia="仿宋_GB2312"/>
          <w:sz w:val="32"/>
          <w:szCs w:val="32"/>
        </w:rPr>
        <w:t>2</w:t>
      </w:r>
      <w:r w:rsidRPr="0031182F">
        <w:rPr>
          <w:rFonts w:eastAsia="仿宋_GB2312"/>
          <w:sz w:val="32"/>
          <w:szCs w:val="32"/>
        </w:rPr>
        <w:t>）根据生物药剂学特性建立溶出度标准的方法；（</w:t>
      </w:r>
      <w:r w:rsidRPr="00B87BA5">
        <w:rPr>
          <w:rFonts w:eastAsia="仿宋_GB2312"/>
          <w:sz w:val="32"/>
          <w:szCs w:val="32"/>
        </w:rPr>
        <w:t>3</w:t>
      </w:r>
      <w:r w:rsidRPr="00AA13C3">
        <w:rPr>
          <w:rFonts w:eastAsia="仿宋_GB2312"/>
          <w:sz w:val="32"/>
          <w:szCs w:val="32"/>
        </w:rPr>
        <w:t>）溶出曲线比较的统计学方法；（</w:t>
      </w:r>
      <w:r w:rsidRPr="008B0B93">
        <w:rPr>
          <w:rFonts w:eastAsia="仿宋_GB2312"/>
          <w:sz w:val="32"/>
          <w:szCs w:val="32"/>
        </w:rPr>
        <w:t>4</w:t>
      </w:r>
      <w:r w:rsidRPr="008B0B93">
        <w:rPr>
          <w:rFonts w:eastAsia="仿宋_GB2312"/>
          <w:sz w:val="32"/>
          <w:szCs w:val="32"/>
        </w:rPr>
        <w:t>）体内生物等效性试验豁免（即采用体外溶出度试验代替体内生物等效性试验）的一般考虑。</w:t>
      </w:r>
    </w:p>
    <w:p w:rsidR="00F50C8B" w:rsidRPr="00377D1A" w:rsidRDefault="00F50C8B" w:rsidP="00F50C8B">
      <w:pPr>
        <w:widowControl/>
        <w:spacing w:line="600" w:lineRule="exact"/>
        <w:ind w:firstLineChars="200" w:firstLine="640"/>
        <w:rPr>
          <w:rFonts w:eastAsia="仿宋_GB2312"/>
          <w:sz w:val="32"/>
          <w:szCs w:val="32"/>
        </w:rPr>
      </w:pPr>
      <w:r w:rsidRPr="007E21D5">
        <w:rPr>
          <w:rFonts w:eastAsia="仿宋_GB2312"/>
          <w:sz w:val="32"/>
          <w:szCs w:val="32"/>
        </w:rPr>
        <w:t>本指导原则还针对药品的处方工艺在批准后发生变更时，如何通过溶出度试验确认药品质量和疗效的一致性提出了建议。附录对溶出度试验的方法学、仪器和操作条件进行了概述。</w:t>
      </w:r>
    </w:p>
    <w:p w:rsidR="00F50C8B" w:rsidRPr="00F41376" w:rsidRDefault="00F50C8B" w:rsidP="00F50C8B">
      <w:pPr>
        <w:spacing w:line="600" w:lineRule="exact"/>
        <w:ind w:firstLineChars="196" w:firstLine="627"/>
        <w:rPr>
          <w:rFonts w:eastAsia="黑体"/>
          <w:bCs/>
          <w:kern w:val="0"/>
          <w:sz w:val="32"/>
          <w:szCs w:val="32"/>
        </w:rPr>
      </w:pPr>
      <w:r w:rsidRPr="00F41376">
        <w:rPr>
          <w:rFonts w:eastAsia="黑体"/>
          <w:bCs/>
          <w:kern w:val="0"/>
          <w:sz w:val="32"/>
          <w:szCs w:val="32"/>
        </w:rPr>
        <w:t>二、背景</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固体制剂口服给药后，药物的吸收取决于药物从制剂中的溶出或释放、药物在生理条件下的溶解以及在胃肠道的渗透。由于药物的溶出和溶解对吸收具有重要影响，因此，体外溶出度试验有可能预测其体内行为。基于上述考虑，建立普通口服固体制剂（如片剂和胶囊）体外溶出度试验方法，有下列作用：</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评价</w:t>
      </w:r>
      <w:proofErr w:type="gramStart"/>
      <w:r w:rsidRPr="00F41376">
        <w:rPr>
          <w:rFonts w:eastAsia="仿宋_GB2312"/>
          <w:sz w:val="32"/>
          <w:szCs w:val="32"/>
        </w:rPr>
        <w:t>药品批间质量</w:t>
      </w:r>
      <w:proofErr w:type="gramEnd"/>
      <w:r w:rsidRPr="00F41376">
        <w:rPr>
          <w:rFonts w:eastAsia="仿宋_GB2312"/>
          <w:sz w:val="32"/>
          <w:szCs w:val="32"/>
        </w:rPr>
        <w:t>的一致性；</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指导新制剂的研发；</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lastRenderedPageBreak/>
        <w:t>3.</w:t>
      </w:r>
      <w:r w:rsidRPr="00F41376">
        <w:rPr>
          <w:rFonts w:eastAsia="仿宋_GB2312"/>
          <w:sz w:val="32"/>
          <w:szCs w:val="32"/>
        </w:rPr>
        <w:t>在药品发生某些变更后（如处方、生产工艺、生产场所变更和生产工艺放大），确认药品质量和疗效的一致性。</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在药品批准过程中确定溶出度标准时，应考虑到药物的溶解性、渗透性、溶出行为及药代动力学特性等因素，以保证</w:t>
      </w:r>
      <w:proofErr w:type="gramStart"/>
      <w:r w:rsidRPr="00F41376">
        <w:rPr>
          <w:rFonts w:eastAsia="仿宋_GB2312"/>
          <w:sz w:val="32"/>
          <w:szCs w:val="32"/>
        </w:rPr>
        <w:t>药品批间质量</w:t>
      </w:r>
      <w:proofErr w:type="gramEnd"/>
      <w:r w:rsidRPr="00F41376">
        <w:rPr>
          <w:rFonts w:eastAsia="仿宋_GB2312"/>
          <w:sz w:val="32"/>
          <w:szCs w:val="32"/>
        </w:rPr>
        <w:t>的一致性、变更以及工艺放大前后药品质量的一致性。</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对于新药申请，应提供关键临床试验和</w:t>
      </w:r>
      <w:r w:rsidRPr="00F41376">
        <w:rPr>
          <w:rFonts w:eastAsia="仿宋_GB2312"/>
          <w:sz w:val="32"/>
          <w:szCs w:val="32"/>
        </w:rPr>
        <w:t>/</w:t>
      </w:r>
      <w:r w:rsidRPr="00F41376">
        <w:rPr>
          <w:rFonts w:eastAsia="仿宋_GB2312"/>
          <w:sz w:val="32"/>
          <w:szCs w:val="32"/>
        </w:rPr>
        <w:t>或生物利用度试验用样品以及其他人体试验用样品的体外溶出度数据。对于仿制药申请，应在溶出曲线研究的基础上制定溶出度标准。无论是新药还是仿制药申请，均应根据可接受的临床试验用样品、生物利用度和</w:t>
      </w:r>
      <w:r w:rsidRPr="00F41376">
        <w:rPr>
          <w:rFonts w:eastAsia="仿宋_GB2312"/>
          <w:sz w:val="32"/>
          <w:szCs w:val="32"/>
        </w:rPr>
        <w:t>/</w:t>
      </w:r>
      <w:r w:rsidRPr="00F41376">
        <w:rPr>
          <w:rFonts w:eastAsia="仿宋_GB2312"/>
          <w:sz w:val="32"/>
          <w:szCs w:val="32"/>
        </w:rPr>
        <w:t>或生物等效性试验用样品的溶出度结果，制定溶出度标准。</w:t>
      </w:r>
    </w:p>
    <w:p w:rsidR="00F50C8B" w:rsidRPr="00F41376" w:rsidRDefault="00F50C8B" w:rsidP="00F50C8B">
      <w:pPr>
        <w:spacing w:line="600" w:lineRule="exact"/>
        <w:ind w:firstLineChars="196" w:firstLine="627"/>
        <w:rPr>
          <w:rFonts w:eastAsia="黑体"/>
          <w:bCs/>
          <w:kern w:val="0"/>
          <w:sz w:val="32"/>
          <w:szCs w:val="32"/>
        </w:rPr>
      </w:pPr>
      <w:r w:rsidRPr="00F41376">
        <w:rPr>
          <w:rFonts w:eastAsia="黑体"/>
          <w:bCs/>
          <w:kern w:val="0"/>
          <w:sz w:val="32"/>
          <w:szCs w:val="32"/>
        </w:rPr>
        <w:t>三、生物药剂学分类系统</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根据药物的溶解性和渗透性，推荐以下生物药剂学分类系统（</w:t>
      </w:r>
      <w:r w:rsidRPr="00F41376">
        <w:rPr>
          <w:rFonts w:eastAsia="仿宋_GB2312"/>
          <w:sz w:val="32"/>
          <w:szCs w:val="32"/>
        </w:rPr>
        <w:t>BCS</w:t>
      </w:r>
      <w:r w:rsidRPr="00F41376">
        <w:rPr>
          <w:rFonts w:eastAsia="仿宋_GB2312"/>
          <w:sz w:val="32"/>
          <w:szCs w:val="32"/>
        </w:rPr>
        <w:t>）（</w:t>
      </w:r>
      <w:proofErr w:type="spellStart"/>
      <w:r w:rsidRPr="00F41376">
        <w:rPr>
          <w:rFonts w:eastAsia="仿宋_GB2312"/>
          <w:sz w:val="32"/>
          <w:szCs w:val="32"/>
        </w:rPr>
        <w:t>Amidon</w:t>
      </w:r>
      <w:proofErr w:type="spellEnd"/>
      <w:r w:rsidRPr="00F41376">
        <w:rPr>
          <w:rFonts w:eastAsia="仿宋_GB2312"/>
          <w:sz w:val="32"/>
          <w:szCs w:val="32"/>
        </w:rPr>
        <w:t xml:space="preserve"> 1995</w:t>
      </w:r>
      <w:r w:rsidRPr="00F41376">
        <w:rPr>
          <w:rFonts w:eastAsia="仿宋_GB2312"/>
          <w:sz w:val="32"/>
          <w:szCs w:val="32"/>
        </w:rPr>
        <w:t>）：</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类：高溶解性</w:t>
      </w:r>
      <w:r w:rsidRPr="00F50C8B">
        <w:rPr>
          <w:rFonts w:eastAsia="仿宋_GB2312"/>
          <w:sz w:val="32"/>
          <w:szCs w:val="32"/>
        </w:rPr>
        <w:t>–</w:t>
      </w:r>
      <w:r w:rsidRPr="00F41376">
        <w:rPr>
          <w:rFonts w:eastAsia="仿宋_GB2312"/>
          <w:sz w:val="32"/>
          <w:szCs w:val="32"/>
        </w:rPr>
        <w:t>高渗透性药物</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类：低溶解性</w:t>
      </w:r>
      <w:r w:rsidRPr="00F50C8B">
        <w:rPr>
          <w:rFonts w:eastAsia="仿宋_GB2312"/>
          <w:sz w:val="32"/>
          <w:szCs w:val="32"/>
        </w:rPr>
        <w:t>–</w:t>
      </w:r>
      <w:r w:rsidRPr="00F41376">
        <w:rPr>
          <w:rFonts w:eastAsia="仿宋_GB2312"/>
          <w:sz w:val="32"/>
          <w:szCs w:val="32"/>
        </w:rPr>
        <w:t>高渗透性药物</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类：高溶解性</w:t>
      </w:r>
      <w:r w:rsidRPr="00F50C8B">
        <w:rPr>
          <w:rFonts w:eastAsia="仿宋_GB2312"/>
          <w:sz w:val="32"/>
          <w:szCs w:val="32"/>
        </w:rPr>
        <w:t>–</w:t>
      </w:r>
      <w:r w:rsidRPr="00F41376">
        <w:rPr>
          <w:rFonts w:eastAsia="仿宋_GB2312"/>
          <w:sz w:val="32"/>
          <w:szCs w:val="32"/>
        </w:rPr>
        <w:t>低渗透性药物</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4</w:t>
      </w:r>
      <w:r w:rsidRPr="00F41376">
        <w:rPr>
          <w:rFonts w:eastAsia="仿宋_GB2312"/>
          <w:sz w:val="32"/>
          <w:szCs w:val="32"/>
        </w:rPr>
        <w:t>类：低溶解性</w:t>
      </w:r>
      <w:r w:rsidRPr="00F50C8B">
        <w:rPr>
          <w:rFonts w:eastAsia="仿宋_GB2312"/>
          <w:sz w:val="32"/>
          <w:szCs w:val="32"/>
        </w:rPr>
        <w:t>–</w:t>
      </w:r>
      <w:r w:rsidRPr="00F41376">
        <w:rPr>
          <w:rFonts w:eastAsia="仿宋_GB2312"/>
          <w:sz w:val="32"/>
          <w:szCs w:val="32"/>
        </w:rPr>
        <w:t>低渗透性药物</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上述分类原则可作为制定体外溶出度质量标准的依据，也可用于预测能否建立良好的体内</w:t>
      </w:r>
      <w:r w:rsidRPr="00F41376">
        <w:rPr>
          <w:rFonts w:eastAsia="仿宋_GB2312"/>
          <w:sz w:val="32"/>
          <w:szCs w:val="32"/>
        </w:rPr>
        <w:t>-</w:t>
      </w:r>
      <w:r w:rsidRPr="00F41376">
        <w:rPr>
          <w:rFonts w:eastAsia="仿宋_GB2312"/>
          <w:sz w:val="32"/>
          <w:szCs w:val="32"/>
        </w:rPr>
        <w:t>体外相关性（</w:t>
      </w:r>
      <w:r w:rsidRPr="00F41376">
        <w:rPr>
          <w:rFonts w:eastAsia="仿宋_GB2312"/>
          <w:sz w:val="32"/>
          <w:szCs w:val="32"/>
        </w:rPr>
        <w:t>IVIVC</w:t>
      </w:r>
      <w:r w:rsidRPr="00F41376">
        <w:rPr>
          <w:rFonts w:eastAsia="仿宋_GB2312"/>
          <w:sz w:val="32"/>
          <w:szCs w:val="32"/>
        </w:rPr>
        <w:t>）。在</w:t>
      </w:r>
      <w:r w:rsidRPr="00F41376">
        <w:rPr>
          <w:rFonts w:eastAsia="仿宋_GB2312"/>
          <w:sz w:val="32"/>
          <w:szCs w:val="32"/>
        </w:rPr>
        <w:t>37±1</w:t>
      </w:r>
      <w:r w:rsidRPr="00F50C8B">
        <w:rPr>
          <w:rFonts w:eastAsia="仿宋_GB2312" w:hint="eastAsia"/>
          <w:sz w:val="32"/>
          <w:szCs w:val="32"/>
        </w:rPr>
        <w:t>℃</w:t>
      </w:r>
      <w:r w:rsidRPr="00F41376">
        <w:rPr>
          <w:rFonts w:eastAsia="仿宋_GB2312"/>
          <w:sz w:val="32"/>
          <w:szCs w:val="32"/>
        </w:rPr>
        <w:t>下，测定最高剂量单位的药物在</w:t>
      </w:r>
      <w:r w:rsidRPr="00F41376">
        <w:rPr>
          <w:rFonts w:eastAsia="仿宋_GB2312"/>
          <w:sz w:val="32"/>
          <w:szCs w:val="32"/>
        </w:rPr>
        <w:t>250mL pH</w:t>
      </w:r>
      <w:r w:rsidRPr="00F41376">
        <w:rPr>
          <w:rFonts w:eastAsia="仿宋_GB2312"/>
          <w:sz w:val="32"/>
          <w:szCs w:val="32"/>
        </w:rPr>
        <w:t>值介于</w:t>
      </w:r>
      <w:r w:rsidRPr="00F41376">
        <w:rPr>
          <w:rFonts w:eastAsia="仿宋_GB2312"/>
          <w:sz w:val="32"/>
          <w:szCs w:val="32"/>
        </w:rPr>
        <w:t>1.0</w:t>
      </w:r>
      <w:r w:rsidRPr="00F41376">
        <w:rPr>
          <w:rFonts w:eastAsia="仿宋_GB2312"/>
          <w:sz w:val="32"/>
          <w:szCs w:val="32"/>
        </w:rPr>
        <w:t>和</w:t>
      </w:r>
      <w:r w:rsidRPr="00F41376">
        <w:rPr>
          <w:rFonts w:eastAsia="仿宋_GB2312"/>
          <w:sz w:val="32"/>
          <w:szCs w:val="32"/>
        </w:rPr>
        <w:t>8.0</w:t>
      </w:r>
      <w:r w:rsidRPr="00F41376">
        <w:rPr>
          <w:rFonts w:eastAsia="仿宋_GB2312"/>
          <w:sz w:val="32"/>
          <w:szCs w:val="32"/>
        </w:rPr>
        <w:t>之间的溶出介质中的浓度，当药物的最高剂量除</w:t>
      </w:r>
      <w:proofErr w:type="gramStart"/>
      <w:r w:rsidRPr="00F41376">
        <w:rPr>
          <w:rFonts w:eastAsia="仿宋_GB2312"/>
          <w:sz w:val="32"/>
          <w:szCs w:val="32"/>
        </w:rPr>
        <w:t>以以上</w:t>
      </w:r>
      <w:proofErr w:type="gramEnd"/>
      <w:r w:rsidRPr="00F41376">
        <w:rPr>
          <w:rFonts w:eastAsia="仿宋_GB2312"/>
          <w:sz w:val="32"/>
          <w:szCs w:val="32"/>
        </w:rPr>
        <w:t>介质中的药物浓度小于或等于</w:t>
      </w:r>
      <w:r w:rsidRPr="00F41376">
        <w:rPr>
          <w:rFonts w:eastAsia="仿宋_GB2312"/>
          <w:sz w:val="32"/>
          <w:szCs w:val="32"/>
        </w:rPr>
        <w:t>250mL</w:t>
      </w:r>
      <w:r w:rsidRPr="00F41376">
        <w:rPr>
          <w:rFonts w:eastAsia="仿宋_GB2312"/>
          <w:sz w:val="32"/>
          <w:szCs w:val="32"/>
        </w:rPr>
        <w:t>时，可认为是高溶解性药物。一般情</w:t>
      </w:r>
      <w:r w:rsidRPr="00F41376">
        <w:rPr>
          <w:rFonts w:eastAsia="仿宋_GB2312"/>
          <w:sz w:val="32"/>
          <w:szCs w:val="32"/>
        </w:rPr>
        <w:lastRenderedPageBreak/>
        <w:t>况下，在胃肠道内稳定且吸收程度高于</w:t>
      </w:r>
      <w:r w:rsidRPr="00F41376">
        <w:rPr>
          <w:rFonts w:eastAsia="仿宋_GB2312"/>
          <w:sz w:val="32"/>
          <w:szCs w:val="32"/>
        </w:rPr>
        <w:t>85%</w:t>
      </w:r>
      <w:r w:rsidRPr="00F41376">
        <w:rPr>
          <w:rFonts w:eastAsia="仿宋_GB2312"/>
          <w:sz w:val="32"/>
          <w:szCs w:val="32"/>
        </w:rPr>
        <w:t>或有证据表明其良好渗透性的药物，可认为是高渗透性药物。</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在禁食状态下，胃内滞留（排空）</w:t>
      </w:r>
      <w:r w:rsidRPr="00F41376">
        <w:rPr>
          <w:rFonts w:eastAsia="仿宋_GB2312"/>
          <w:sz w:val="32"/>
          <w:szCs w:val="32"/>
        </w:rPr>
        <w:t>T50%</w:t>
      </w:r>
      <w:r w:rsidRPr="00F41376">
        <w:rPr>
          <w:rFonts w:eastAsia="仿宋_GB2312"/>
          <w:sz w:val="32"/>
          <w:szCs w:val="32"/>
        </w:rPr>
        <w:t>时间为</w:t>
      </w:r>
      <w:r w:rsidRPr="00F41376">
        <w:rPr>
          <w:rFonts w:eastAsia="仿宋_GB2312"/>
          <w:sz w:val="32"/>
          <w:szCs w:val="32"/>
        </w:rPr>
        <w:t>15</w:t>
      </w:r>
      <w:r w:rsidRPr="00F41376">
        <w:rPr>
          <w:rFonts w:ascii="Cambria Math" w:eastAsia="Dotum" w:hAnsi="Cambria Math" w:cs="Cambria Math"/>
          <w:sz w:val="32"/>
          <w:szCs w:val="32"/>
        </w:rPr>
        <w:t>∼</w:t>
      </w:r>
      <w:r w:rsidRPr="00F41376">
        <w:rPr>
          <w:rFonts w:eastAsia="仿宋_GB2312"/>
          <w:sz w:val="32"/>
          <w:szCs w:val="32"/>
        </w:rPr>
        <w:t>20</w:t>
      </w:r>
      <w:r w:rsidRPr="00F41376">
        <w:rPr>
          <w:rFonts w:eastAsia="仿宋_GB2312"/>
          <w:sz w:val="32"/>
          <w:szCs w:val="32"/>
        </w:rPr>
        <w:t>分钟。对于高溶解性</w:t>
      </w:r>
      <w:r w:rsidRPr="00F41376">
        <w:rPr>
          <w:rFonts w:eastAsia="仿宋_GB2312"/>
          <w:sz w:val="32"/>
          <w:szCs w:val="32"/>
        </w:rPr>
        <w:t>-</w:t>
      </w:r>
      <w:r w:rsidRPr="00F41376">
        <w:rPr>
          <w:rFonts w:eastAsia="仿宋_GB2312"/>
          <w:sz w:val="32"/>
          <w:szCs w:val="32"/>
        </w:rPr>
        <w:t>高渗透性（</w:t>
      </w:r>
      <w:r w:rsidRPr="00F41376">
        <w:rPr>
          <w:rFonts w:eastAsia="仿宋_GB2312"/>
          <w:sz w:val="32"/>
          <w:szCs w:val="32"/>
        </w:rPr>
        <w:t>1</w:t>
      </w:r>
      <w:r w:rsidRPr="00F41376">
        <w:rPr>
          <w:rFonts w:eastAsia="仿宋_GB2312"/>
          <w:sz w:val="32"/>
          <w:szCs w:val="32"/>
        </w:rPr>
        <w:t>类）及某些情况下的高溶解性</w:t>
      </w:r>
      <w:r w:rsidRPr="00F41376">
        <w:rPr>
          <w:rFonts w:eastAsia="仿宋_GB2312"/>
          <w:sz w:val="32"/>
          <w:szCs w:val="32"/>
        </w:rPr>
        <w:t>-</w:t>
      </w:r>
      <w:r w:rsidRPr="00F41376">
        <w:rPr>
          <w:rFonts w:eastAsia="仿宋_GB2312"/>
          <w:sz w:val="32"/>
          <w:szCs w:val="32"/>
        </w:rPr>
        <w:t>低渗透性（</w:t>
      </w:r>
      <w:r w:rsidRPr="00F41376">
        <w:rPr>
          <w:rFonts w:eastAsia="仿宋_GB2312"/>
          <w:sz w:val="32"/>
          <w:szCs w:val="32"/>
        </w:rPr>
        <w:t>3</w:t>
      </w:r>
      <w:r w:rsidRPr="00F41376">
        <w:rPr>
          <w:rFonts w:eastAsia="仿宋_GB2312"/>
          <w:sz w:val="32"/>
          <w:szCs w:val="32"/>
        </w:rPr>
        <w:t>类）药物制剂，以</w:t>
      </w:r>
      <w:r w:rsidRPr="00F41376">
        <w:rPr>
          <w:rFonts w:eastAsia="仿宋_GB2312"/>
          <w:sz w:val="32"/>
          <w:szCs w:val="32"/>
        </w:rPr>
        <w:t xml:space="preserve">0.1mol/L </w:t>
      </w:r>
      <w:proofErr w:type="spellStart"/>
      <w:r w:rsidRPr="00F41376">
        <w:rPr>
          <w:rFonts w:eastAsia="仿宋_GB2312"/>
          <w:sz w:val="32"/>
          <w:szCs w:val="32"/>
        </w:rPr>
        <w:t>HCl</w:t>
      </w:r>
      <w:proofErr w:type="spellEnd"/>
      <w:r w:rsidRPr="00F41376">
        <w:rPr>
          <w:rFonts w:eastAsia="仿宋_GB2312"/>
          <w:sz w:val="32"/>
          <w:szCs w:val="32"/>
        </w:rPr>
        <w:t>为介质，在适当的溶出度试验条件下，</w:t>
      </w:r>
      <w:r w:rsidRPr="00F41376">
        <w:rPr>
          <w:rFonts w:eastAsia="仿宋_GB2312"/>
          <w:sz w:val="32"/>
          <w:szCs w:val="32"/>
        </w:rPr>
        <w:t xml:space="preserve">15 </w:t>
      </w:r>
      <w:r w:rsidRPr="00F41376">
        <w:rPr>
          <w:rFonts w:eastAsia="仿宋_GB2312"/>
          <w:sz w:val="32"/>
          <w:szCs w:val="32"/>
        </w:rPr>
        <w:t>分钟的溶出度大于</w:t>
      </w:r>
      <w:r w:rsidRPr="00F41376">
        <w:rPr>
          <w:rFonts w:eastAsia="仿宋_GB2312"/>
          <w:sz w:val="32"/>
          <w:szCs w:val="32"/>
        </w:rPr>
        <w:t>85%</w:t>
      </w:r>
      <w:r w:rsidRPr="00F41376">
        <w:rPr>
          <w:rFonts w:eastAsia="仿宋_GB2312"/>
          <w:sz w:val="32"/>
          <w:szCs w:val="32"/>
        </w:rPr>
        <w:t>时，可认为药物制剂的生物利用度不受</w:t>
      </w:r>
      <w:proofErr w:type="gramStart"/>
      <w:r w:rsidRPr="00F41376">
        <w:rPr>
          <w:rFonts w:eastAsia="仿宋_GB2312"/>
          <w:sz w:val="32"/>
          <w:szCs w:val="32"/>
        </w:rPr>
        <w:t>溶</w:t>
      </w:r>
      <w:proofErr w:type="gramEnd"/>
      <w:r w:rsidRPr="00F41376">
        <w:rPr>
          <w:rFonts w:eastAsia="仿宋_GB2312"/>
          <w:sz w:val="32"/>
          <w:szCs w:val="32"/>
        </w:rPr>
        <w:t>出行为的限制，即制剂的行为与溶液相似。在这种情况下，胃排空速度是药物吸收的限速步骤。如果药物制剂溶出比胃排空时间慢，建议在多种介质中测定溶出曲线。</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对于低溶解性</w:t>
      </w:r>
      <w:r w:rsidRPr="00F41376">
        <w:rPr>
          <w:rFonts w:eastAsia="仿宋_GB2312"/>
          <w:sz w:val="32"/>
          <w:szCs w:val="32"/>
        </w:rPr>
        <w:t>-</w:t>
      </w:r>
      <w:r w:rsidRPr="00F41376">
        <w:rPr>
          <w:rFonts w:eastAsia="仿宋_GB2312"/>
          <w:sz w:val="32"/>
          <w:szCs w:val="32"/>
        </w:rPr>
        <w:t>高渗透性药物（</w:t>
      </w:r>
      <w:r w:rsidRPr="00F41376">
        <w:rPr>
          <w:rFonts w:eastAsia="仿宋_GB2312"/>
          <w:sz w:val="32"/>
          <w:szCs w:val="32"/>
        </w:rPr>
        <w:t>2</w:t>
      </w:r>
      <w:r w:rsidRPr="00F41376">
        <w:rPr>
          <w:rFonts w:eastAsia="仿宋_GB2312"/>
          <w:sz w:val="32"/>
          <w:szCs w:val="32"/>
        </w:rPr>
        <w:t>类），溶出是药物吸收的限速步骤，有可能建立较好的体内外相关性。对于此类制剂，建议在多种介质中测定溶出曲线。</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对于高溶解性</w:t>
      </w:r>
      <w:r w:rsidRPr="00F41376">
        <w:rPr>
          <w:rFonts w:eastAsia="仿宋_GB2312"/>
          <w:sz w:val="32"/>
          <w:szCs w:val="32"/>
        </w:rPr>
        <w:t>-</w:t>
      </w:r>
      <w:r w:rsidRPr="00F41376">
        <w:rPr>
          <w:rFonts w:eastAsia="仿宋_GB2312"/>
          <w:sz w:val="32"/>
          <w:szCs w:val="32"/>
        </w:rPr>
        <w:t>低渗透性药物（</w:t>
      </w:r>
      <w:r w:rsidRPr="00F41376">
        <w:rPr>
          <w:rFonts w:eastAsia="仿宋_GB2312"/>
          <w:sz w:val="32"/>
          <w:szCs w:val="32"/>
        </w:rPr>
        <w:t>3</w:t>
      </w:r>
      <w:r w:rsidRPr="00F41376">
        <w:rPr>
          <w:rFonts w:eastAsia="仿宋_GB2312"/>
          <w:sz w:val="32"/>
          <w:szCs w:val="32"/>
        </w:rPr>
        <w:t>类），渗透是药物吸收的限速步骤，可能不具有好的体内外相关性，吸收程度取决于溶出速率与肠转运速率之比。</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对于低溶解性</w:t>
      </w:r>
      <w:r w:rsidRPr="00F41376">
        <w:rPr>
          <w:rFonts w:eastAsia="仿宋_GB2312"/>
          <w:sz w:val="32"/>
          <w:szCs w:val="32"/>
        </w:rPr>
        <w:t>-</w:t>
      </w:r>
      <w:r w:rsidRPr="00F41376">
        <w:rPr>
          <w:rFonts w:eastAsia="仿宋_GB2312"/>
          <w:sz w:val="32"/>
          <w:szCs w:val="32"/>
        </w:rPr>
        <w:t>低渗透性药物（</w:t>
      </w:r>
      <w:r w:rsidRPr="00F41376">
        <w:rPr>
          <w:rFonts w:eastAsia="仿宋_GB2312"/>
          <w:sz w:val="32"/>
          <w:szCs w:val="32"/>
        </w:rPr>
        <w:t>4</w:t>
      </w:r>
      <w:r w:rsidRPr="00F41376">
        <w:rPr>
          <w:rFonts w:eastAsia="仿宋_GB2312"/>
          <w:sz w:val="32"/>
          <w:szCs w:val="32"/>
        </w:rPr>
        <w:t>类），制备口服制剂比较困难。</w:t>
      </w:r>
    </w:p>
    <w:p w:rsidR="00F50C8B" w:rsidRPr="00F41376" w:rsidRDefault="00F50C8B" w:rsidP="00F50C8B">
      <w:pPr>
        <w:widowControl/>
        <w:spacing w:line="600" w:lineRule="exact"/>
        <w:ind w:firstLineChars="196" w:firstLine="627"/>
        <w:rPr>
          <w:rFonts w:eastAsia="黑体"/>
          <w:bCs/>
          <w:kern w:val="0"/>
          <w:sz w:val="32"/>
          <w:szCs w:val="32"/>
        </w:rPr>
      </w:pPr>
      <w:r w:rsidRPr="00F41376">
        <w:rPr>
          <w:rFonts w:eastAsia="黑体"/>
          <w:bCs/>
          <w:kern w:val="0"/>
          <w:sz w:val="32"/>
          <w:szCs w:val="32"/>
        </w:rPr>
        <w:t>四、溶出度标准的建立</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建立体外溶出度标准的目的是保证</w:t>
      </w:r>
      <w:proofErr w:type="gramStart"/>
      <w:r w:rsidRPr="00F41376">
        <w:rPr>
          <w:rFonts w:eastAsia="仿宋_GB2312"/>
          <w:sz w:val="32"/>
          <w:szCs w:val="32"/>
        </w:rPr>
        <w:t>药品批间质量</w:t>
      </w:r>
      <w:proofErr w:type="gramEnd"/>
      <w:r w:rsidRPr="00F41376">
        <w:rPr>
          <w:rFonts w:eastAsia="仿宋_GB2312"/>
          <w:sz w:val="32"/>
          <w:szCs w:val="32"/>
        </w:rPr>
        <w:t>的一致性，并提示可能的体内生物利用度问题。对于新药申请，应根据可接受的临床试验样品、关键生物利用度试验和</w:t>
      </w:r>
      <w:r w:rsidRPr="00F41376">
        <w:rPr>
          <w:rFonts w:eastAsia="仿宋_GB2312"/>
          <w:sz w:val="32"/>
          <w:szCs w:val="32"/>
        </w:rPr>
        <w:t>/</w:t>
      </w:r>
      <w:r w:rsidRPr="00F41376">
        <w:rPr>
          <w:rFonts w:eastAsia="仿宋_GB2312"/>
          <w:sz w:val="32"/>
          <w:szCs w:val="32"/>
        </w:rPr>
        <w:t>或生物等效性试验用样品的溶出数据以及药品研发过程中的经验，确定溶出度标准。</w:t>
      </w:r>
      <w:r w:rsidRPr="00F41376">
        <w:rPr>
          <w:rFonts w:eastAsia="仿宋_GB2312"/>
          <w:sz w:val="32"/>
          <w:szCs w:val="32"/>
        </w:rPr>
        <w:lastRenderedPageBreak/>
        <w:t>如果稳定性研究批次、关键临床试验批次及拟上市的样品生物等效，也可根据稳定性研究用样品的数据制定溶出度标准。</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仿制药申请，应根据可接受的生物等效性试验用样品的溶出数据，确定溶出度标准。一般仿制药的溶出度标准应与参比制剂一致。如果仿制药的溶出度与参比制剂存在本质差异，但证明体内生物等效后，该仿制药也可建立</w:t>
      </w:r>
      <w:proofErr w:type="gramStart"/>
      <w:r w:rsidRPr="00F41376">
        <w:rPr>
          <w:rFonts w:eastAsia="仿宋_GB2312"/>
          <w:sz w:val="32"/>
          <w:szCs w:val="32"/>
        </w:rPr>
        <w:t>不同于参比</w:t>
      </w:r>
      <w:proofErr w:type="gramEnd"/>
      <w:r w:rsidRPr="00F41376">
        <w:rPr>
          <w:rFonts w:eastAsia="仿宋_GB2312"/>
          <w:sz w:val="32"/>
          <w:szCs w:val="32"/>
        </w:rPr>
        <w:t>制剂的溶出度标准。建立了药品的溶出度标准后，药品在有效期内均应符合该标准。</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普通口服固体制剂可采用下列两种溶出度控制方法：</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单点检测</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可作为常规的质量控制方法，适用于快速溶出的高溶解性药物制剂。</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 xml:space="preserve">2. </w:t>
      </w:r>
      <w:r w:rsidRPr="00F41376">
        <w:rPr>
          <w:rFonts w:eastAsia="仿宋_GB2312"/>
          <w:sz w:val="32"/>
          <w:szCs w:val="32"/>
        </w:rPr>
        <w:t>两点或多点检测</w:t>
      </w:r>
    </w:p>
    <w:p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1</w:t>
      </w:r>
      <w:r w:rsidRPr="00F41376">
        <w:rPr>
          <w:rFonts w:eastAsia="仿宋_GB2312"/>
          <w:sz w:val="32"/>
          <w:szCs w:val="32"/>
        </w:rPr>
        <w:t>）可反映制剂的溶出特征。</w:t>
      </w:r>
    </w:p>
    <w:p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2</w:t>
      </w:r>
      <w:r w:rsidRPr="00F41376">
        <w:rPr>
          <w:rFonts w:eastAsia="仿宋_GB2312"/>
          <w:sz w:val="32"/>
          <w:szCs w:val="32"/>
        </w:rPr>
        <w:t>）作为某些类型药物制剂的常规质量控制检验（如卡马西平等水溶性差且缓慢溶解的药物制剂）。</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采用两点或多点溶出度检测法，能更好地反映制剂的特点，有助于质量控制。</w:t>
      </w:r>
    </w:p>
    <w:p w:rsidR="00F50C8B" w:rsidRPr="00F41376" w:rsidRDefault="00F50C8B" w:rsidP="00F50C8B">
      <w:pPr>
        <w:widowControl/>
        <w:spacing w:line="600" w:lineRule="exact"/>
        <w:ind w:firstLineChars="200" w:firstLine="640"/>
        <w:rPr>
          <w:rFonts w:eastAsia="楷体_GB2312"/>
          <w:sz w:val="32"/>
          <w:szCs w:val="32"/>
        </w:rPr>
      </w:pPr>
      <w:r w:rsidRPr="00F41376">
        <w:rPr>
          <w:rFonts w:eastAsia="楷体_GB2312"/>
          <w:sz w:val="32"/>
          <w:szCs w:val="32"/>
        </w:rPr>
        <w:t>（一）新化合物制剂溶出度标准的建立</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考察药物制剂的溶出度特征应考虑药物的</w:t>
      </w:r>
      <w:r w:rsidRPr="00F41376">
        <w:rPr>
          <w:rFonts w:eastAsia="仿宋_GB2312"/>
          <w:sz w:val="32"/>
          <w:szCs w:val="32"/>
        </w:rPr>
        <w:t>pH-</w:t>
      </w:r>
      <w:r w:rsidRPr="00F41376">
        <w:rPr>
          <w:rFonts w:eastAsia="仿宋_GB2312"/>
          <w:sz w:val="32"/>
          <w:szCs w:val="32"/>
        </w:rPr>
        <w:t>溶解度曲线及</w:t>
      </w:r>
      <w:proofErr w:type="spellStart"/>
      <w:r w:rsidRPr="00F41376">
        <w:rPr>
          <w:rFonts w:eastAsia="仿宋_GB2312"/>
          <w:sz w:val="32"/>
          <w:szCs w:val="32"/>
        </w:rPr>
        <w:t>pKa</w:t>
      </w:r>
      <w:proofErr w:type="spellEnd"/>
      <w:r w:rsidRPr="00F41376">
        <w:rPr>
          <w:rFonts w:eastAsia="仿宋_GB2312"/>
          <w:sz w:val="32"/>
          <w:szCs w:val="32"/>
        </w:rPr>
        <w:t>，同时，测定药物的渗透性或辛醇</w:t>
      </w:r>
      <w:r w:rsidRPr="00F41376">
        <w:rPr>
          <w:rFonts w:eastAsia="仿宋_GB2312"/>
          <w:sz w:val="32"/>
          <w:szCs w:val="32"/>
        </w:rPr>
        <w:t>/</w:t>
      </w:r>
      <w:r w:rsidRPr="00F41376">
        <w:rPr>
          <w:rFonts w:eastAsia="仿宋_GB2312"/>
          <w:sz w:val="32"/>
          <w:szCs w:val="32"/>
        </w:rPr>
        <w:t>水分配系数可能有助于溶出方法的选择和建立。应采用关键临床试验和</w:t>
      </w:r>
      <w:r w:rsidRPr="00F41376">
        <w:rPr>
          <w:rFonts w:eastAsia="仿宋_GB2312"/>
          <w:sz w:val="32"/>
          <w:szCs w:val="32"/>
        </w:rPr>
        <w:t>/</w:t>
      </w:r>
      <w:r w:rsidRPr="00F41376">
        <w:rPr>
          <w:rFonts w:eastAsia="仿宋_GB2312"/>
          <w:sz w:val="32"/>
          <w:szCs w:val="32"/>
        </w:rPr>
        <w:t>或生物利用</w:t>
      </w:r>
      <w:r w:rsidRPr="00F41376">
        <w:rPr>
          <w:rFonts w:eastAsia="仿宋_GB2312"/>
          <w:sz w:val="32"/>
          <w:szCs w:val="32"/>
        </w:rPr>
        <w:lastRenderedPageBreak/>
        <w:t>度试验用样品的溶出度数据作为制定溶出度标准的依据。如果拟上市样品与关键临床试验中所用样品处方存在显著差异，应比较两种处方的溶出曲线并进行生物等效性试验。</w:t>
      </w:r>
    </w:p>
    <w:p w:rsidR="00F50C8B" w:rsidRPr="00F41376" w:rsidRDefault="00F50C8B" w:rsidP="00F50C8B">
      <w:pPr>
        <w:widowControl/>
        <w:spacing w:line="600" w:lineRule="exact"/>
        <w:ind w:firstLineChars="250" w:firstLine="810"/>
        <w:rPr>
          <w:rFonts w:eastAsia="仿宋_GB2312"/>
          <w:sz w:val="32"/>
          <w:szCs w:val="32"/>
        </w:rPr>
      </w:pPr>
      <w:r w:rsidRPr="00F50C8B">
        <w:rPr>
          <w:rFonts w:eastAsia="仿宋_GB2312"/>
          <w:spacing w:val="2"/>
          <w:sz w:val="32"/>
          <w:szCs w:val="32"/>
        </w:rPr>
        <w:t>应在适当、温和的试验条件下进行溶出度试验，</w:t>
      </w:r>
      <w:proofErr w:type="gramStart"/>
      <w:r w:rsidRPr="00F50C8B">
        <w:rPr>
          <w:rFonts w:eastAsia="仿宋_GB2312"/>
          <w:spacing w:val="2"/>
          <w:sz w:val="32"/>
          <w:szCs w:val="32"/>
        </w:rPr>
        <w:t>比如篮法</w:t>
      </w:r>
      <w:proofErr w:type="gramEnd"/>
      <w:r w:rsidRPr="00F50C8B">
        <w:rPr>
          <w:rFonts w:eastAsia="仿宋_GB2312"/>
          <w:spacing w:val="2"/>
          <w:sz w:val="32"/>
          <w:szCs w:val="32"/>
        </w:rPr>
        <w:t>50</w:t>
      </w:r>
      <w:r w:rsidRPr="00F50C8B">
        <w:rPr>
          <w:rFonts w:ascii="Cambria Math" w:eastAsia="Dotum" w:hAnsi="Cambria Math" w:cs="Cambria Math"/>
          <w:spacing w:val="2"/>
          <w:sz w:val="32"/>
          <w:szCs w:val="32"/>
        </w:rPr>
        <w:t>∼</w:t>
      </w:r>
      <w:r w:rsidRPr="00F50C8B">
        <w:rPr>
          <w:rFonts w:eastAsia="仿宋_GB2312"/>
          <w:spacing w:val="2"/>
          <w:sz w:val="32"/>
          <w:szCs w:val="32"/>
        </w:rPr>
        <w:t xml:space="preserve">100 </w:t>
      </w:r>
      <w:r w:rsidRPr="00F50C8B">
        <w:rPr>
          <w:rFonts w:eastAsia="仿宋_GB2312"/>
          <w:spacing w:val="2"/>
          <w:sz w:val="32"/>
          <w:szCs w:val="32"/>
        </w:rPr>
        <w:t>转</w:t>
      </w:r>
      <w:r w:rsidRPr="00F50C8B">
        <w:rPr>
          <w:rFonts w:eastAsia="仿宋_GB2312"/>
          <w:spacing w:val="2"/>
          <w:sz w:val="32"/>
          <w:szCs w:val="32"/>
        </w:rPr>
        <w:t>/</w:t>
      </w:r>
      <w:r w:rsidRPr="00F50C8B">
        <w:rPr>
          <w:rFonts w:eastAsia="仿宋_GB2312"/>
          <w:spacing w:val="2"/>
          <w:sz w:val="32"/>
          <w:szCs w:val="32"/>
        </w:rPr>
        <w:t>分钟</w:t>
      </w:r>
      <w:proofErr w:type="gramStart"/>
      <w:r w:rsidRPr="00F50C8B">
        <w:rPr>
          <w:rFonts w:eastAsia="仿宋_GB2312"/>
          <w:spacing w:val="2"/>
          <w:sz w:val="32"/>
          <w:szCs w:val="32"/>
        </w:rPr>
        <w:t>或桨法</w:t>
      </w:r>
      <w:proofErr w:type="gramEnd"/>
      <w:r w:rsidRPr="00F50C8B">
        <w:rPr>
          <w:rFonts w:eastAsia="仿宋_GB2312"/>
          <w:spacing w:val="2"/>
          <w:sz w:val="32"/>
          <w:szCs w:val="32"/>
        </w:rPr>
        <w:t>50</w:t>
      </w:r>
      <w:r w:rsidRPr="00F50C8B">
        <w:rPr>
          <w:rFonts w:ascii="Cambria Math" w:eastAsia="Dotum" w:hAnsi="Cambria Math" w:cs="Cambria Math"/>
          <w:spacing w:val="2"/>
          <w:sz w:val="32"/>
          <w:szCs w:val="32"/>
        </w:rPr>
        <w:t>∼</w:t>
      </w:r>
      <w:r w:rsidRPr="00F50C8B">
        <w:rPr>
          <w:rFonts w:eastAsia="仿宋_GB2312"/>
          <w:spacing w:val="2"/>
          <w:sz w:val="32"/>
          <w:szCs w:val="32"/>
        </w:rPr>
        <w:t>75</w:t>
      </w:r>
      <w:r w:rsidRPr="00F50C8B">
        <w:rPr>
          <w:rFonts w:eastAsia="仿宋_GB2312"/>
          <w:spacing w:val="2"/>
          <w:sz w:val="32"/>
          <w:szCs w:val="32"/>
        </w:rPr>
        <w:t>转</w:t>
      </w:r>
      <w:r w:rsidRPr="00F50C8B">
        <w:rPr>
          <w:rFonts w:eastAsia="仿宋_GB2312"/>
          <w:spacing w:val="2"/>
          <w:sz w:val="32"/>
          <w:szCs w:val="32"/>
        </w:rPr>
        <w:t>/</w:t>
      </w:r>
      <w:r w:rsidRPr="00F50C8B">
        <w:rPr>
          <w:rFonts w:eastAsia="仿宋_GB2312"/>
          <w:spacing w:val="2"/>
          <w:sz w:val="32"/>
          <w:szCs w:val="32"/>
        </w:rPr>
        <w:t>分钟，取样间隔</w:t>
      </w:r>
      <w:r w:rsidRPr="00F50C8B">
        <w:rPr>
          <w:rFonts w:eastAsia="仿宋_GB2312"/>
          <w:spacing w:val="2"/>
          <w:sz w:val="32"/>
          <w:szCs w:val="32"/>
        </w:rPr>
        <w:t>15</w:t>
      </w:r>
      <w:r w:rsidRPr="00F50C8B">
        <w:rPr>
          <w:rFonts w:eastAsia="仿宋_GB2312"/>
          <w:spacing w:val="2"/>
          <w:sz w:val="32"/>
          <w:szCs w:val="32"/>
        </w:rPr>
        <w:t>分钟，获得药品的溶出曲线，并在此基础上制定溶出度标准。对于快速溶出的药物制剂，可能需要以</w:t>
      </w:r>
      <w:r w:rsidRPr="00F50C8B">
        <w:rPr>
          <w:rFonts w:eastAsia="仿宋_GB2312"/>
          <w:spacing w:val="2"/>
          <w:sz w:val="32"/>
          <w:szCs w:val="32"/>
        </w:rPr>
        <w:t>10</w:t>
      </w:r>
      <w:r w:rsidRPr="00F50C8B">
        <w:rPr>
          <w:rFonts w:eastAsia="仿宋_GB2312"/>
          <w:spacing w:val="2"/>
          <w:sz w:val="32"/>
          <w:szCs w:val="32"/>
        </w:rPr>
        <w:t>分钟或更短的间隔期取样，以绘制获得完整的溶出曲线。对于高溶解性（</w:t>
      </w:r>
      <w:r w:rsidRPr="00F50C8B">
        <w:rPr>
          <w:rFonts w:eastAsia="仿宋_GB2312"/>
          <w:spacing w:val="2"/>
          <w:sz w:val="32"/>
          <w:szCs w:val="32"/>
        </w:rPr>
        <w:t>BCS 1</w:t>
      </w:r>
      <w:r w:rsidRPr="00F50C8B">
        <w:rPr>
          <w:rFonts w:eastAsia="仿宋_GB2312"/>
          <w:spacing w:val="2"/>
          <w:sz w:val="32"/>
          <w:szCs w:val="32"/>
        </w:rPr>
        <w:t>类和</w:t>
      </w:r>
      <w:r w:rsidRPr="00F50C8B">
        <w:rPr>
          <w:rFonts w:eastAsia="仿宋_GB2312"/>
          <w:spacing w:val="2"/>
          <w:sz w:val="32"/>
          <w:szCs w:val="32"/>
        </w:rPr>
        <w:t>3</w:t>
      </w:r>
      <w:r w:rsidRPr="00F50C8B">
        <w:rPr>
          <w:rFonts w:eastAsia="仿宋_GB2312"/>
          <w:spacing w:val="2"/>
          <w:sz w:val="32"/>
          <w:szCs w:val="32"/>
        </w:rPr>
        <w:t>类）和快速溶出的药物制剂，大多数情况下，标准中采用单点控制即可，取样时间点一般为</w:t>
      </w:r>
      <w:r w:rsidRPr="00F50C8B">
        <w:rPr>
          <w:rFonts w:eastAsia="仿宋_GB2312"/>
          <w:spacing w:val="2"/>
          <w:sz w:val="32"/>
          <w:szCs w:val="32"/>
        </w:rPr>
        <w:t>30</w:t>
      </w:r>
      <w:r w:rsidRPr="00F50C8B">
        <w:rPr>
          <w:rFonts w:eastAsia="仿宋_GB2312"/>
          <w:spacing w:val="2"/>
          <w:sz w:val="32"/>
          <w:szCs w:val="32"/>
        </w:rPr>
        <w:t>～</w:t>
      </w:r>
      <w:r w:rsidRPr="00F50C8B">
        <w:rPr>
          <w:rFonts w:eastAsia="仿宋_GB2312"/>
          <w:spacing w:val="2"/>
          <w:sz w:val="32"/>
          <w:szCs w:val="32"/>
        </w:rPr>
        <w:t>60</w:t>
      </w:r>
      <w:r w:rsidRPr="00F50C8B">
        <w:rPr>
          <w:rFonts w:eastAsia="仿宋_GB2312"/>
          <w:spacing w:val="2"/>
          <w:sz w:val="32"/>
          <w:szCs w:val="32"/>
        </w:rPr>
        <w:t>分钟，溶出限度通常应为不少于</w:t>
      </w:r>
      <w:r w:rsidRPr="00F41376">
        <w:rPr>
          <w:rFonts w:eastAsia="仿宋_GB2312"/>
          <w:sz w:val="32"/>
          <w:szCs w:val="32"/>
        </w:rPr>
        <w:t>70</w:t>
      </w:r>
      <w:r w:rsidRPr="00F41376">
        <w:rPr>
          <w:rFonts w:eastAsia="仿宋_GB2312"/>
          <w:sz w:val="32"/>
          <w:szCs w:val="32"/>
        </w:rPr>
        <w:t>％～</w:t>
      </w:r>
      <w:r w:rsidRPr="00F41376">
        <w:rPr>
          <w:rFonts w:eastAsia="仿宋_GB2312"/>
          <w:sz w:val="32"/>
          <w:szCs w:val="32"/>
        </w:rPr>
        <w:t>85</w:t>
      </w:r>
      <w:r w:rsidRPr="00F41376">
        <w:rPr>
          <w:rFonts w:eastAsia="仿宋_GB2312"/>
          <w:sz w:val="32"/>
          <w:szCs w:val="32"/>
        </w:rPr>
        <w:t>％。对于溶出较慢或水溶性差的药物（</w:t>
      </w:r>
      <w:r w:rsidRPr="00F41376">
        <w:rPr>
          <w:rFonts w:eastAsia="仿宋_GB2312"/>
          <w:sz w:val="32"/>
          <w:szCs w:val="32"/>
        </w:rPr>
        <w:t>BCS 2</w:t>
      </w:r>
      <w:r w:rsidRPr="00F41376">
        <w:rPr>
          <w:rFonts w:eastAsia="仿宋_GB2312"/>
          <w:sz w:val="32"/>
          <w:szCs w:val="32"/>
        </w:rPr>
        <w:t>类），根据疗效和</w:t>
      </w:r>
      <w:r w:rsidRPr="00F41376">
        <w:rPr>
          <w:rFonts w:eastAsia="仿宋_GB2312"/>
          <w:sz w:val="32"/>
          <w:szCs w:val="32"/>
        </w:rPr>
        <w:t>/</w:t>
      </w:r>
      <w:r w:rsidRPr="00F41376">
        <w:rPr>
          <w:rFonts w:eastAsia="仿宋_GB2312"/>
          <w:sz w:val="32"/>
          <w:szCs w:val="32"/>
        </w:rPr>
        <w:t>或副作用的特点，可采用两点检测法进行药品的溶出控制，第一点在</w:t>
      </w:r>
      <w:r w:rsidRPr="00F41376">
        <w:rPr>
          <w:rFonts w:eastAsia="仿宋_GB2312"/>
          <w:sz w:val="32"/>
          <w:szCs w:val="32"/>
        </w:rPr>
        <w:t>15</w:t>
      </w:r>
      <w:r w:rsidRPr="00F41376">
        <w:rPr>
          <w:rFonts w:eastAsia="仿宋_GB2312"/>
          <w:sz w:val="32"/>
          <w:szCs w:val="32"/>
        </w:rPr>
        <w:t>分钟，规定一个溶出度范围，第二个取样点（</w:t>
      </w:r>
      <w:r w:rsidRPr="00F41376">
        <w:rPr>
          <w:rFonts w:eastAsia="仿宋_GB2312"/>
          <w:sz w:val="32"/>
          <w:szCs w:val="32"/>
        </w:rPr>
        <w:t>30</w:t>
      </w:r>
      <w:r w:rsidRPr="00F41376">
        <w:rPr>
          <w:rFonts w:eastAsia="仿宋_GB2312"/>
          <w:sz w:val="32"/>
          <w:szCs w:val="32"/>
        </w:rPr>
        <w:t>、</w:t>
      </w:r>
      <w:r w:rsidRPr="00F41376">
        <w:rPr>
          <w:rFonts w:eastAsia="仿宋_GB2312"/>
          <w:sz w:val="32"/>
          <w:szCs w:val="32"/>
        </w:rPr>
        <w:t>45</w:t>
      </w:r>
      <w:r w:rsidRPr="00F41376">
        <w:rPr>
          <w:rFonts w:eastAsia="仿宋_GB2312"/>
          <w:sz w:val="32"/>
          <w:szCs w:val="32"/>
        </w:rPr>
        <w:t>或</w:t>
      </w:r>
      <w:r w:rsidRPr="00F41376">
        <w:rPr>
          <w:rFonts w:eastAsia="仿宋_GB2312"/>
          <w:sz w:val="32"/>
          <w:szCs w:val="32"/>
        </w:rPr>
        <w:t>60</w:t>
      </w:r>
      <w:r w:rsidRPr="00F41376">
        <w:rPr>
          <w:rFonts w:eastAsia="仿宋_GB2312"/>
          <w:sz w:val="32"/>
          <w:szCs w:val="32"/>
        </w:rPr>
        <w:t>分钟）时的溶出量应不低于</w:t>
      </w:r>
      <w:r w:rsidRPr="00F41376">
        <w:rPr>
          <w:rFonts w:eastAsia="仿宋_GB2312"/>
          <w:sz w:val="32"/>
          <w:szCs w:val="32"/>
        </w:rPr>
        <w:t>85%</w:t>
      </w:r>
      <w:r w:rsidRPr="00F41376">
        <w:rPr>
          <w:rFonts w:eastAsia="仿宋_GB2312"/>
          <w:sz w:val="32"/>
          <w:szCs w:val="32"/>
        </w:rPr>
        <w:t>。药品在整个有效期内均应符合制定的溶出度标准。如果制剂的溶出特性在储存或运输过程中发生改变，应根据该样品与关键临床试验（或生物等效试验）用样品的生物等效性结果，决定是否变更溶出度标准。为了保证放大生产产品以及上市后发生变更的产品持续</w:t>
      </w:r>
      <w:proofErr w:type="gramStart"/>
      <w:r w:rsidRPr="00F41376">
        <w:rPr>
          <w:rFonts w:eastAsia="仿宋_GB2312"/>
          <w:sz w:val="32"/>
          <w:szCs w:val="32"/>
        </w:rPr>
        <w:t>的批间生物等效性</w:t>
      </w:r>
      <w:proofErr w:type="gramEnd"/>
      <w:r w:rsidRPr="00F41376">
        <w:rPr>
          <w:rFonts w:eastAsia="仿宋_GB2312"/>
          <w:sz w:val="32"/>
          <w:szCs w:val="32"/>
        </w:rPr>
        <w:t>，其溶出曲线应与获得审批的生物等效批次或关键临床试验批次的溶出曲线一致。</w:t>
      </w:r>
    </w:p>
    <w:p w:rsidR="00F50C8B" w:rsidRDefault="00F50C8B" w:rsidP="00F50C8B">
      <w:pPr>
        <w:widowControl/>
        <w:spacing w:line="600" w:lineRule="exact"/>
        <w:ind w:firstLineChars="200" w:firstLine="640"/>
        <w:rPr>
          <w:rFonts w:eastAsia="楷体_GB2312"/>
          <w:sz w:val="32"/>
          <w:szCs w:val="32"/>
        </w:rPr>
      </w:pPr>
      <w:r w:rsidRPr="00F41376">
        <w:rPr>
          <w:rFonts w:eastAsia="楷体_GB2312"/>
          <w:sz w:val="32"/>
          <w:szCs w:val="32"/>
        </w:rPr>
        <w:t>（二）仿制药溶出度标准的建立</w:t>
      </w:r>
    </w:p>
    <w:p w:rsidR="00F50C8B" w:rsidRDefault="00F50C8B" w:rsidP="00F50C8B">
      <w:pPr>
        <w:widowControl/>
        <w:spacing w:line="600" w:lineRule="exact"/>
        <w:ind w:firstLineChars="200" w:firstLine="640"/>
        <w:rPr>
          <w:rFonts w:eastAsia="楷体_GB2312"/>
          <w:sz w:val="32"/>
          <w:szCs w:val="32"/>
        </w:rPr>
      </w:pPr>
      <w:r w:rsidRPr="00F41376">
        <w:rPr>
          <w:rFonts w:eastAsia="仿宋_GB2312"/>
          <w:sz w:val="32"/>
          <w:szCs w:val="32"/>
        </w:rPr>
        <w:t>根据参比制剂是否有公开的溶出度试验方法，可考虑以下三</w:t>
      </w:r>
    </w:p>
    <w:p w:rsidR="00F50C8B" w:rsidRPr="00F41376" w:rsidRDefault="00F50C8B" w:rsidP="00F50C8B">
      <w:pPr>
        <w:widowControl/>
        <w:spacing w:line="600" w:lineRule="exact"/>
        <w:rPr>
          <w:rFonts w:eastAsia="仿宋_GB2312"/>
          <w:sz w:val="32"/>
          <w:szCs w:val="32"/>
        </w:rPr>
      </w:pPr>
      <w:r w:rsidRPr="00F41376">
        <w:rPr>
          <w:rFonts w:eastAsia="仿宋_GB2312"/>
          <w:sz w:val="32"/>
          <w:szCs w:val="32"/>
        </w:rPr>
        <w:lastRenderedPageBreak/>
        <w:t>种仿制药溶出度标准建立方法：</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中国药典或国家药品标准收载溶出度试验方法的品种</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建议采用中国药典或国家药品标准收载的方法。应取受试和</w:t>
      </w:r>
      <w:proofErr w:type="gramStart"/>
      <w:r w:rsidRPr="00F41376">
        <w:rPr>
          <w:rFonts w:eastAsia="仿宋_GB2312"/>
          <w:sz w:val="32"/>
          <w:szCs w:val="32"/>
        </w:rPr>
        <w:t>参比</w:t>
      </w:r>
      <w:proofErr w:type="gramEnd"/>
      <w:r w:rsidRPr="00F41376">
        <w:rPr>
          <w:rFonts w:eastAsia="仿宋_GB2312"/>
          <w:sz w:val="32"/>
          <w:szCs w:val="32"/>
        </w:rPr>
        <w:t>制剂各</w:t>
      </w:r>
      <w:r w:rsidRPr="00F41376">
        <w:rPr>
          <w:rFonts w:eastAsia="仿宋_GB2312"/>
          <w:sz w:val="32"/>
          <w:szCs w:val="32"/>
        </w:rPr>
        <w:t>12</w:t>
      </w:r>
      <w:r w:rsidRPr="00F41376">
        <w:rPr>
          <w:rFonts w:eastAsia="仿宋_GB2312"/>
          <w:sz w:val="32"/>
          <w:szCs w:val="32"/>
        </w:rPr>
        <w:t>片（粒），按照</w:t>
      </w:r>
      <w:r w:rsidRPr="00F41376">
        <w:rPr>
          <w:rFonts w:eastAsia="仿宋_GB2312"/>
          <w:sz w:val="32"/>
          <w:szCs w:val="32"/>
        </w:rPr>
        <w:t>15</w:t>
      </w:r>
      <w:r w:rsidRPr="00F41376">
        <w:rPr>
          <w:rFonts w:eastAsia="仿宋_GB2312"/>
          <w:sz w:val="32"/>
          <w:szCs w:val="32"/>
        </w:rPr>
        <w:t>分钟或更短时间间隔取样，进行溶出曲线的比较。必要时，应进行不同溶出介质或试验条件下的溶出度试验，并根据试验数据确定最终的溶出度标准。复方制剂的国家药品标准未对所有成分进行溶出度测定时，应对所有成分进行溶出研究并确定在标准中是否对所有成分进行溶出度检查。</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国家药品标准未收载溶出度试验方法但可获得参考方法的品种</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建议采用国外药典或参比制剂的溶出度测定方法，应取受试和</w:t>
      </w:r>
      <w:proofErr w:type="gramStart"/>
      <w:r w:rsidRPr="00F41376">
        <w:rPr>
          <w:rFonts w:eastAsia="仿宋_GB2312"/>
          <w:sz w:val="32"/>
          <w:szCs w:val="32"/>
        </w:rPr>
        <w:t>参比</w:t>
      </w:r>
      <w:proofErr w:type="gramEnd"/>
      <w:r w:rsidRPr="00F41376">
        <w:rPr>
          <w:rFonts w:eastAsia="仿宋_GB2312"/>
          <w:sz w:val="32"/>
          <w:szCs w:val="32"/>
        </w:rPr>
        <w:t>制剂各</w:t>
      </w:r>
      <w:r w:rsidRPr="00F41376">
        <w:rPr>
          <w:rFonts w:eastAsia="仿宋_GB2312"/>
          <w:sz w:val="32"/>
          <w:szCs w:val="32"/>
        </w:rPr>
        <w:t>12</w:t>
      </w:r>
      <w:r w:rsidRPr="00F41376">
        <w:rPr>
          <w:rFonts w:eastAsia="仿宋_GB2312"/>
          <w:sz w:val="32"/>
          <w:szCs w:val="32"/>
        </w:rPr>
        <w:t>片（粒），按照</w:t>
      </w:r>
      <w:r w:rsidRPr="00F41376">
        <w:rPr>
          <w:rFonts w:eastAsia="仿宋_GB2312"/>
          <w:sz w:val="32"/>
          <w:szCs w:val="32"/>
        </w:rPr>
        <w:t>15</w:t>
      </w:r>
      <w:r w:rsidRPr="00F41376">
        <w:rPr>
          <w:rFonts w:eastAsia="仿宋_GB2312"/>
          <w:sz w:val="32"/>
          <w:szCs w:val="32"/>
        </w:rPr>
        <w:t>分钟或更短时间间隔取样，进行溶出曲线的比较。必要时，应进行不同溶出介质或试验条件下的溶出度试验，并根据试验数据确定最终的溶出度标准。</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缺乏可参考的溶出度试验方法的品种</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建议在不同溶出度试验条件下，进行受试制剂和</w:t>
      </w:r>
      <w:proofErr w:type="gramStart"/>
      <w:r w:rsidRPr="00F41376">
        <w:rPr>
          <w:rFonts w:eastAsia="仿宋_GB2312"/>
          <w:sz w:val="32"/>
          <w:szCs w:val="32"/>
        </w:rPr>
        <w:t>参比</w:t>
      </w:r>
      <w:proofErr w:type="gramEnd"/>
      <w:r w:rsidRPr="00F41376">
        <w:rPr>
          <w:rFonts w:eastAsia="仿宋_GB2312"/>
          <w:sz w:val="32"/>
          <w:szCs w:val="32"/>
        </w:rPr>
        <w:t>制剂溶出曲线的比较研究。试验条件可包括不同的溶出介质（</w:t>
      </w:r>
      <w:r w:rsidRPr="00F41376">
        <w:rPr>
          <w:rFonts w:eastAsia="仿宋_GB2312"/>
          <w:sz w:val="32"/>
          <w:szCs w:val="32"/>
        </w:rPr>
        <w:t>pH</w:t>
      </w:r>
      <w:r w:rsidRPr="00F41376">
        <w:rPr>
          <w:rFonts w:eastAsia="仿宋_GB2312"/>
          <w:sz w:val="32"/>
          <w:szCs w:val="32"/>
        </w:rPr>
        <w:t>值</w:t>
      </w:r>
      <w:r w:rsidRPr="00F41376">
        <w:rPr>
          <w:rFonts w:eastAsia="仿宋_GB2312"/>
          <w:sz w:val="32"/>
          <w:szCs w:val="32"/>
        </w:rPr>
        <w:t>1.0</w:t>
      </w:r>
      <w:r w:rsidRPr="00F41376">
        <w:rPr>
          <w:rFonts w:ascii="Cambria Math" w:eastAsia="Dotum" w:hAnsi="Cambria Math" w:cs="Cambria Math"/>
          <w:sz w:val="32"/>
          <w:szCs w:val="32"/>
        </w:rPr>
        <w:t>∼</w:t>
      </w:r>
      <w:r w:rsidRPr="00F41376">
        <w:rPr>
          <w:rFonts w:eastAsia="仿宋_GB2312"/>
          <w:sz w:val="32"/>
          <w:szCs w:val="32"/>
        </w:rPr>
        <w:t>6.8</w:t>
      </w:r>
      <w:r w:rsidRPr="00F41376">
        <w:rPr>
          <w:rFonts w:eastAsia="仿宋_GB2312"/>
          <w:sz w:val="32"/>
          <w:szCs w:val="32"/>
        </w:rPr>
        <w:t>）、加入或不加表面活性剂、不同的溶出装置和不同的转速。应根据生物等效性结果和其他数据制定溶出度标准。</w:t>
      </w:r>
    </w:p>
    <w:p w:rsidR="00F50C8B" w:rsidRDefault="00F50C8B" w:rsidP="00F50C8B">
      <w:pPr>
        <w:widowControl/>
        <w:spacing w:line="600" w:lineRule="exact"/>
        <w:ind w:firstLineChars="200" w:firstLine="640"/>
        <w:rPr>
          <w:rFonts w:eastAsia="楷体_GB2312"/>
          <w:sz w:val="32"/>
          <w:szCs w:val="32"/>
        </w:rPr>
      </w:pPr>
      <w:r w:rsidRPr="00F41376">
        <w:rPr>
          <w:rFonts w:eastAsia="楷体_GB2312"/>
          <w:sz w:val="32"/>
          <w:szCs w:val="32"/>
        </w:rPr>
        <w:t>（三）特例</w:t>
      </w:r>
      <w:r w:rsidRPr="00F41376">
        <w:rPr>
          <w:rFonts w:eastAsia="楷体_GB2312"/>
          <w:sz w:val="32"/>
          <w:szCs w:val="32"/>
        </w:rPr>
        <w:t>-</w:t>
      </w:r>
      <w:r w:rsidRPr="00F41376">
        <w:rPr>
          <w:rFonts w:eastAsia="楷体_GB2312"/>
          <w:sz w:val="32"/>
          <w:szCs w:val="32"/>
        </w:rPr>
        <w:t>两点溶出试验</w:t>
      </w:r>
    </w:p>
    <w:p w:rsidR="00F50C8B" w:rsidRDefault="00F50C8B" w:rsidP="00F50C8B">
      <w:pPr>
        <w:widowControl/>
        <w:spacing w:line="600" w:lineRule="exact"/>
        <w:ind w:firstLineChars="200" w:firstLine="600"/>
        <w:rPr>
          <w:rFonts w:eastAsia="楷体_GB2312"/>
          <w:sz w:val="32"/>
          <w:szCs w:val="32"/>
        </w:rPr>
      </w:pPr>
      <w:r w:rsidRPr="00A331A8">
        <w:rPr>
          <w:rFonts w:eastAsia="仿宋_GB2312"/>
          <w:spacing w:val="-10"/>
          <w:sz w:val="32"/>
          <w:szCs w:val="32"/>
        </w:rPr>
        <w:t>对于水溶性较差的药物（如卡马西平），为保证药品的体内行为，</w:t>
      </w:r>
    </w:p>
    <w:p w:rsidR="00F50C8B" w:rsidRPr="00F50C8B" w:rsidRDefault="00F50C8B" w:rsidP="00F50C8B">
      <w:pPr>
        <w:widowControl/>
        <w:spacing w:line="620" w:lineRule="exact"/>
        <w:ind w:firstLine="600"/>
        <w:rPr>
          <w:rFonts w:eastAsia="仿宋_GB2312"/>
          <w:spacing w:val="-10"/>
          <w:sz w:val="32"/>
          <w:szCs w:val="32"/>
        </w:rPr>
      </w:pPr>
      <w:r w:rsidRPr="00F50C8B">
        <w:rPr>
          <w:rFonts w:eastAsia="仿宋_GB2312"/>
          <w:spacing w:val="-10"/>
          <w:sz w:val="32"/>
          <w:szCs w:val="32"/>
        </w:rPr>
        <w:lastRenderedPageBreak/>
        <w:t>建议采用两个时间点的溶出度试验或溶出曲线法进行质量控制。</w:t>
      </w:r>
    </w:p>
    <w:p w:rsidR="00F50C8B" w:rsidRPr="00F41376" w:rsidRDefault="00F50C8B" w:rsidP="00F50C8B">
      <w:pPr>
        <w:widowControl/>
        <w:spacing w:line="620" w:lineRule="exact"/>
        <w:ind w:firstLineChars="200" w:firstLine="640"/>
        <w:rPr>
          <w:rFonts w:eastAsia="楷体_GB2312"/>
          <w:sz w:val="32"/>
          <w:szCs w:val="32"/>
        </w:rPr>
      </w:pPr>
      <w:r w:rsidRPr="00F41376">
        <w:rPr>
          <w:rFonts w:eastAsia="楷体_GB2312"/>
          <w:sz w:val="32"/>
          <w:szCs w:val="32"/>
        </w:rPr>
        <w:t>（四）绘图或效应面法</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绘图法是确定关键生产变量（</w:t>
      </w:r>
      <w:r w:rsidRPr="00F41376">
        <w:rPr>
          <w:rFonts w:eastAsia="仿宋_GB2312"/>
          <w:sz w:val="32"/>
          <w:szCs w:val="32"/>
        </w:rPr>
        <w:t>CMV</w:t>
      </w:r>
      <w:r w:rsidRPr="00F41376">
        <w:rPr>
          <w:rFonts w:eastAsia="仿宋_GB2312"/>
          <w:sz w:val="32"/>
          <w:szCs w:val="32"/>
        </w:rPr>
        <w:t>）与体外溶出曲线及体内生物利用度数据效应面之间相关性关系的过程。关键生产变量包括可显著影响制剂体外溶出度的制剂处方组成、工艺、设备、原材料和方法的改变（</w:t>
      </w:r>
      <w:proofErr w:type="spellStart"/>
      <w:r w:rsidRPr="00F41376">
        <w:rPr>
          <w:rFonts w:eastAsia="仿宋_GB2312"/>
          <w:sz w:val="32"/>
          <w:szCs w:val="32"/>
        </w:rPr>
        <w:t>Skelly</w:t>
      </w:r>
      <w:proofErr w:type="spellEnd"/>
      <w:r w:rsidRPr="00F41376">
        <w:rPr>
          <w:rFonts w:eastAsia="仿宋_GB2312"/>
          <w:sz w:val="32"/>
          <w:szCs w:val="32"/>
        </w:rPr>
        <w:t xml:space="preserve"> 1990, Shah 1992</w:t>
      </w:r>
      <w:r w:rsidRPr="00F41376">
        <w:rPr>
          <w:rFonts w:eastAsia="仿宋_GB2312"/>
          <w:sz w:val="32"/>
          <w:szCs w:val="32"/>
        </w:rPr>
        <w:t>）。该方法的目的是制定科学、合理的溶出度标准，保证符合标准的药品具有生物等效性。已有几种试验设计可用于研究</w:t>
      </w:r>
      <w:r w:rsidRPr="00F41376">
        <w:rPr>
          <w:rFonts w:eastAsia="仿宋_GB2312"/>
          <w:sz w:val="32"/>
          <w:szCs w:val="32"/>
        </w:rPr>
        <w:t>CMV</w:t>
      </w:r>
      <w:r w:rsidRPr="00F41376">
        <w:rPr>
          <w:rFonts w:eastAsia="仿宋_GB2312"/>
          <w:sz w:val="32"/>
          <w:szCs w:val="32"/>
        </w:rPr>
        <w:t>对药品性能的影响。其中一种方法如下</w:t>
      </w:r>
      <w:r w:rsidRPr="00F41376">
        <w:rPr>
          <w:rFonts w:eastAsia="仿宋_GB2312"/>
          <w:sz w:val="32"/>
          <w:szCs w:val="32"/>
        </w:rPr>
        <w:t>:</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采用不同的关键生产参数制备两个或更多的样品制剂，并研究其体外溶出特征；</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采用一定受试者（比如</w:t>
      </w:r>
      <w:r w:rsidRPr="00F41376">
        <w:rPr>
          <w:rFonts w:eastAsia="仿宋_GB2312"/>
          <w:sz w:val="32"/>
          <w:szCs w:val="32"/>
        </w:rPr>
        <w:t>n≥12</w:t>
      </w:r>
      <w:r w:rsidRPr="00F41376">
        <w:rPr>
          <w:rFonts w:eastAsia="仿宋_GB2312"/>
          <w:sz w:val="32"/>
          <w:szCs w:val="32"/>
        </w:rPr>
        <w:t>），对具有最快和最慢溶出度特征的样品与参比制剂或拟上市样品进行体内对比试验；</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测定这些受试样品的生物利用度及体内外关系。具有极端溶出度特征的样品亦称为边缘产品。如果发现具有极端溶出度特征的样品与参比制剂或拟上市样品具有生物等效性，则将来生产的溶出特征符合规定的产品可保持生物等效。通过此项研究，可以为溶出度限度的合理设定提供依据。</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采用绘图方法确定的药品溶出度标准可更好地确保稳定的药品质量和性能。根据研究的样品数，绘图研究可提供体内外相关性信息和</w:t>
      </w:r>
      <w:r w:rsidRPr="00F41376">
        <w:rPr>
          <w:rFonts w:eastAsia="仿宋_GB2312"/>
          <w:sz w:val="32"/>
          <w:szCs w:val="32"/>
        </w:rPr>
        <w:t>/</w:t>
      </w:r>
      <w:r w:rsidRPr="00F41376">
        <w:rPr>
          <w:rFonts w:eastAsia="仿宋_GB2312"/>
          <w:sz w:val="32"/>
          <w:szCs w:val="32"/>
        </w:rPr>
        <w:t>或体内数据与体外数据间的关系。</w:t>
      </w:r>
    </w:p>
    <w:p w:rsidR="00F50C8B" w:rsidRPr="00F41376" w:rsidRDefault="00F50C8B" w:rsidP="00F50C8B">
      <w:pPr>
        <w:widowControl/>
        <w:spacing w:line="600" w:lineRule="exact"/>
        <w:ind w:firstLineChars="150" w:firstLine="480"/>
        <w:rPr>
          <w:rFonts w:eastAsia="楷体_GB2312"/>
          <w:sz w:val="32"/>
          <w:szCs w:val="32"/>
        </w:rPr>
      </w:pPr>
      <w:r w:rsidRPr="00F41376">
        <w:rPr>
          <w:rFonts w:eastAsia="楷体_GB2312"/>
          <w:sz w:val="32"/>
          <w:szCs w:val="32"/>
        </w:rPr>
        <w:lastRenderedPageBreak/>
        <w:t>（五）体内</w:t>
      </w:r>
      <w:r w:rsidRPr="00F41376">
        <w:rPr>
          <w:rFonts w:eastAsia="楷体_GB2312"/>
          <w:sz w:val="32"/>
          <w:szCs w:val="32"/>
        </w:rPr>
        <w:t>-</w:t>
      </w:r>
      <w:r w:rsidRPr="00F41376">
        <w:rPr>
          <w:rFonts w:eastAsia="楷体_GB2312"/>
          <w:sz w:val="32"/>
          <w:szCs w:val="32"/>
        </w:rPr>
        <w:t>体外相关性</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对于高溶解性（</w:t>
      </w:r>
      <w:r w:rsidRPr="00F41376">
        <w:rPr>
          <w:rFonts w:eastAsia="仿宋_GB2312"/>
          <w:sz w:val="32"/>
          <w:szCs w:val="32"/>
        </w:rPr>
        <w:t>BCS 1</w:t>
      </w:r>
      <w:r w:rsidRPr="00F41376">
        <w:rPr>
          <w:rFonts w:eastAsia="仿宋_GB2312"/>
          <w:sz w:val="32"/>
          <w:szCs w:val="32"/>
        </w:rPr>
        <w:t>类和</w:t>
      </w:r>
      <w:r w:rsidRPr="00F41376">
        <w:rPr>
          <w:rFonts w:eastAsia="仿宋_GB2312"/>
          <w:sz w:val="32"/>
          <w:szCs w:val="32"/>
        </w:rPr>
        <w:t>3</w:t>
      </w:r>
      <w:r w:rsidRPr="00F41376">
        <w:rPr>
          <w:rFonts w:eastAsia="仿宋_GB2312"/>
          <w:sz w:val="32"/>
          <w:szCs w:val="32"/>
        </w:rPr>
        <w:t>类）药物，采用常规辅料和生产技术制备的普通口服固体制剂，建立体内外相关性较为困难。对于水溶性差（如</w:t>
      </w:r>
      <w:r w:rsidRPr="00F41376">
        <w:rPr>
          <w:rFonts w:eastAsia="仿宋_GB2312"/>
          <w:sz w:val="32"/>
          <w:szCs w:val="32"/>
        </w:rPr>
        <w:t>BCS 2</w:t>
      </w:r>
      <w:r w:rsidRPr="00F41376">
        <w:rPr>
          <w:rFonts w:eastAsia="仿宋_GB2312"/>
          <w:sz w:val="32"/>
          <w:szCs w:val="32"/>
        </w:rPr>
        <w:t>类）的药物，有可能建立体内外相关性。</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对于一种药物制剂，如果能够建立其体内体外相关性，则采用溶出度试验来预测药物制剂</w:t>
      </w:r>
      <w:proofErr w:type="gramStart"/>
      <w:r w:rsidRPr="00F41376">
        <w:rPr>
          <w:rFonts w:eastAsia="仿宋_GB2312"/>
          <w:sz w:val="32"/>
          <w:szCs w:val="32"/>
        </w:rPr>
        <w:t>体内行为</w:t>
      </w:r>
      <w:proofErr w:type="gramEnd"/>
      <w:r w:rsidRPr="00F41376">
        <w:rPr>
          <w:rFonts w:eastAsia="仿宋_GB2312"/>
          <w:sz w:val="32"/>
          <w:szCs w:val="32"/>
        </w:rPr>
        <w:t>的质</w:t>
      </w:r>
      <w:proofErr w:type="gramStart"/>
      <w:r w:rsidRPr="00F41376">
        <w:rPr>
          <w:rFonts w:eastAsia="仿宋_GB2312"/>
          <w:sz w:val="32"/>
          <w:szCs w:val="32"/>
        </w:rPr>
        <w:t>控意义</w:t>
      </w:r>
      <w:proofErr w:type="gramEnd"/>
      <w:r w:rsidRPr="00F41376">
        <w:rPr>
          <w:rFonts w:eastAsia="仿宋_GB2312"/>
          <w:sz w:val="32"/>
          <w:szCs w:val="32"/>
        </w:rPr>
        <w:t>就会显著提高，通过体外溶出度测定就可区分合格和不合格的产品。溶出度合格的产品应是体内生物等效的产品，而不合格的产品则不具有生物等效性。为建立药品的体内体外相关性，应该至少得到三批具有不同体内或体外</w:t>
      </w:r>
      <w:proofErr w:type="gramStart"/>
      <w:r w:rsidRPr="00F41376">
        <w:rPr>
          <w:rFonts w:eastAsia="仿宋_GB2312"/>
          <w:sz w:val="32"/>
          <w:szCs w:val="32"/>
        </w:rPr>
        <w:t>溶</w:t>
      </w:r>
      <w:proofErr w:type="gramEnd"/>
      <w:r w:rsidRPr="00F41376">
        <w:rPr>
          <w:rFonts w:eastAsia="仿宋_GB2312"/>
          <w:sz w:val="32"/>
          <w:szCs w:val="32"/>
        </w:rPr>
        <w:t>出行为的样品数据。如果这些样品的</w:t>
      </w:r>
      <w:proofErr w:type="gramStart"/>
      <w:r w:rsidRPr="00F41376">
        <w:rPr>
          <w:rFonts w:eastAsia="仿宋_GB2312"/>
          <w:sz w:val="32"/>
          <w:szCs w:val="32"/>
        </w:rPr>
        <w:t>体内行为</w:t>
      </w:r>
      <w:proofErr w:type="gramEnd"/>
      <w:r w:rsidRPr="00F41376">
        <w:rPr>
          <w:rFonts w:eastAsia="仿宋_GB2312"/>
          <w:sz w:val="32"/>
          <w:szCs w:val="32"/>
        </w:rPr>
        <w:t>不同，可以通过调整体外溶出度试验的条件，使体外的数据能够反映</w:t>
      </w:r>
      <w:proofErr w:type="gramStart"/>
      <w:r w:rsidRPr="00F41376">
        <w:rPr>
          <w:rFonts w:eastAsia="仿宋_GB2312"/>
          <w:sz w:val="32"/>
          <w:szCs w:val="32"/>
        </w:rPr>
        <w:t>体内行为</w:t>
      </w:r>
      <w:proofErr w:type="gramEnd"/>
      <w:r w:rsidRPr="00F41376">
        <w:rPr>
          <w:rFonts w:eastAsia="仿宋_GB2312"/>
          <w:sz w:val="32"/>
          <w:szCs w:val="32"/>
        </w:rPr>
        <w:t>的变化，从而建立体外</w:t>
      </w:r>
      <w:r w:rsidRPr="00F41376">
        <w:rPr>
          <w:rFonts w:eastAsia="仿宋_GB2312"/>
          <w:sz w:val="32"/>
          <w:szCs w:val="32"/>
        </w:rPr>
        <w:t>-</w:t>
      </w:r>
      <w:r w:rsidRPr="00F41376">
        <w:rPr>
          <w:rFonts w:eastAsia="仿宋_GB2312"/>
          <w:sz w:val="32"/>
          <w:szCs w:val="32"/>
        </w:rPr>
        <w:t>体内相关性。如果这些批次的</w:t>
      </w:r>
      <w:proofErr w:type="gramStart"/>
      <w:r w:rsidRPr="00F41376">
        <w:rPr>
          <w:rFonts w:eastAsia="仿宋_GB2312"/>
          <w:sz w:val="32"/>
          <w:szCs w:val="32"/>
        </w:rPr>
        <w:t>体内行为</w:t>
      </w:r>
      <w:proofErr w:type="gramEnd"/>
      <w:r w:rsidRPr="00F41376">
        <w:rPr>
          <w:rFonts w:eastAsia="仿宋_GB2312"/>
          <w:sz w:val="32"/>
          <w:szCs w:val="32"/>
        </w:rPr>
        <w:t>没有差异，但体外溶出特性有差别，则可能需要通过调整溶出度试验条件使其体外测定结果相同。大多情况下，体外溶出度试验比体内试验具有更高的灵敏性和更强的区分能力。因此，从质量保证的角度，建议采用较灵敏的体外溶出度试验方法，这样可以在药品的</w:t>
      </w:r>
      <w:proofErr w:type="gramStart"/>
      <w:r w:rsidRPr="00F41376">
        <w:rPr>
          <w:rFonts w:eastAsia="仿宋_GB2312"/>
          <w:sz w:val="32"/>
          <w:szCs w:val="32"/>
        </w:rPr>
        <w:t>体内行为</w:t>
      </w:r>
      <w:proofErr w:type="gramEnd"/>
      <w:r w:rsidRPr="00F41376">
        <w:rPr>
          <w:rFonts w:eastAsia="仿宋_GB2312"/>
          <w:sz w:val="32"/>
          <w:szCs w:val="32"/>
        </w:rPr>
        <w:t>受到影响之前及时发现药品质量的变动。</w:t>
      </w:r>
    </w:p>
    <w:p w:rsidR="00F50C8B" w:rsidRPr="00F41376" w:rsidRDefault="00F50C8B" w:rsidP="00F50C8B">
      <w:pPr>
        <w:widowControl/>
        <w:spacing w:line="600" w:lineRule="exact"/>
        <w:ind w:firstLineChars="150" w:firstLine="480"/>
        <w:rPr>
          <w:rFonts w:eastAsia="楷体_GB2312"/>
          <w:sz w:val="32"/>
          <w:szCs w:val="32"/>
        </w:rPr>
      </w:pPr>
      <w:r w:rsidRPr="00F41376">
        <w:rPr>
          <w:rFonts w:eastAsia="楷体_GB2312"/>
          <w:sz w:val="32"/>
          <w:szCs w:val="32"/>
        </w:rPr>
        <w:t>（六）溶出度标准的验证和确认</w:t>
      </w:r>
    </w:p>
    <w:p w:rsidR="00F50C8B"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一种体外检验方法的验证，可能需要通过体内研究来确认。在此情况下，应选用处方相同但关键工艺参数不同的样品开展研</w:t>
      </w:r>
      <w:r w:rsidRPr="00F41376">
        <w:rPr>
          <w:rFonts w:eastAsia="仿宋_GB2312"/>
          <w:sz w:val="32"/>
          <w:szCs w:val="32"/>
        </w:rPr>
        <w:lastRenderedPageBreak/>
        <w:t>究。制备两批体外</w:t>
      </w:r>
      <w:proofErr w:type="gramStart"/>
      <w:r w:rsidRPr="00F41376">
        <w:rPr>
          <w:rFonts w:eastAsia="仿宋_GB2312"/>
          <w:sz w:val="32"/>
          <w:szCs w:val="32"/>
        </w:rPr>
        <w:t>溶</w:t>
      </w:r>
      <w:proofErr w:type="gramEnd"/>
      <w:r w:rsidRPr="00F41376">
        <w:rPr>
          <w:rFonts w:eastAsia="仿宋_GB2312"/>
          <w:sz w:val="32"/>
          <w:szCs w:val="32"/>
        </w:rPr>
        <w:t>出行为不同的样品（绘图法），进行体内测试。如果两批样品显示了不同的体内行为，则可认为该体外溶出度试验方法得到了验证。但如果两批样品的</w:t>
      </w:r>
      <w:proofErr w:type="gramStart"/>
      <w:r w:rsidRPr="00F41376">
        <w:rPr>
          <w:rFonts w:eastAsia="仿宋_GB2312"/>
          <w:sz w:val="32"/>
          <w:szCs w:val="32"/>
        </w:rPr>
        <w:t>体内行为</w:t>
      </w:r>
      <w:proofErr w:type="gramEnd"/>
      <w:r w:rsidRPr="00F41376">
        <w:rPr>
          <w:rFonts w:eastAsia="仿宋_GB2312"/>
          <w:sz w:val="32"/>
          <w:szCs w:val="32"/>
        </w:rPr>
        <w:t>没有</w:t>
      </w:r>
    </w:p>
    <w:p w:rsidR="00F50C8B" w:rsidRDefault="00F50C8B" w:rsidP="00F50C8B">
      <w:pPr>
        <w:widowControl/>
        <w:spacing w:line="600" w:lineRule="exact"/>
        <w:rPr>
          <w:rFonts w:eastAsia="仿宋_GB2312"/>
          <w:sz w:val="32"/>
          <w:szCs w:val="32"/>
        </w:rPr>
      </w:pPr>
      <w:r w:rsidRPr="00F41376">
        <w:rPr>
          <w:rFonts w:eastAsia="仿宋_GB2312"/>
          <w:sz w:val="32"/>
          <w:szCs w:val="32"/>
        </w:rPr>
        <w:t>差异，则可认为在绘图法中得到的溶出度数据作为溶出限度的</w:t>
      </w:r>
    </w:p>
    <w:p w:rsidR="00F50C8B" w:rsidRPr="00F41376" w:rsidRDefault="00F50C8B" w:rsidP="00F50C8B">
      <w:pPr>
        <w:widowControl/>
        <w:spacing w:line="600" w:lineRule="exact"/>
        <w:rPr>
          <w:rFonts w:eastAsia="仿宋_GB2312"/>
          <w:sz w:val="32"/>
          <w:szCs w:val="32"/>
        </w:rPr>
      </w:pPr>
      <w:r w:rsidRPr="00F41376">
        <w:rPr>
          <w:rFonts w:eastAsia="仿宋_GB2312"/>
          <w:sz w:val="32"/>
          <w:szCs w:val="32"/>
        </w:rPr>
        <w:t>合理性得到确认。总之，需要对溶出度标准进行验证或者确认。</w:t>
      </w:r>
    </w:p>
    <w:p w:rsidR="00F50C8B" w:rsidRPr="00F41376" w:rsidRDefault="00F50C8B" w:rsidP="00F50C8B">
      <w:pPr>
        <w:widowControl/>
        <w:spacing w:line="600" w:lineRule="exact"/>
        <w:ind w:firstLineChars="200" w:firstLine="640"/>
        <w:rPr>
          <w:rFonts w:eastAsia="黑体"/>
          <w:sz w:val="32"/>
          <w:szCs w:val="32"/>
        </w:rPr>
      </w:pPr>
      <w:r w:rsidRPr="00F41376">
        <w:rPr>
          <w:rFonts w:eastAsia="黑体"/>
          <w:sz w:val="32"/>
          <w:szCs w:val="32"/>
        </w:rPr>
        <w:t>五、溶出曲线的比较</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药品上市后发生较小变更时，采用单点溶出度试验可能就足以确认其是否未改变药品的质量和性能。发生较大变更时，则推荐对变更前后产品在相同的溶出条件下进行溶出曲线比较。在整体溶出曲线相似以及每一采样时间点溶出度相似时，可认为两者</w:t>
      </w:r>
      <w:proofErr w:type="gramStart"/>
      <w:r w:rsidRPr="00F41376">
        <w:rPr>
          <w:rFonts w:eastAsia="仿宋_GB2312"/>
          <w:sz w:val="32"/>
          <w:szCs w:val="32"/>
        </w:rPr>
        <w:t>溶</w:t>
      </w:r>
      <w:proofErr w:type="gramEnd"/>
      <w:r w:rsidRPr="00F41376">
        <w:rPr>
          <w:rFonts w:eastAsia="仿宋_GB2312"/>
          <w:sz w:val="32"/>
          <w:szCs w:val="32"/>
        </w:rPr>
        <w:t>出行为相似。可采用非模型依赖法或模型依赖方法进行溶出曲线的比较。</w:t>
      </w:r>
    </w:p>
    <w:p w:rsidR="00F50C8B" w:rsidRPr="00F41376" w:rsidRDefault="00F50C8B" w:rsidP="00F50C8B">
      <w:pPr>
        <w:widowControl/>
        <w:spacing w:line="600" w:lineRule="exact"/>
        <w:ind w:firstLineChars="150" w:firstLine="480"/>
        <w:rPr>
          <w:rFonts w:eastAsia="楷体_GB2312"/>
          <w:sz w:val="32"/>
          <w:szCs w:val="32"/>
        </w:rPr>
      </w:pPr>
      <w:r w:rsidRPr="00F41376">
        <w:rPr>
          <w:rFonts w:eastAsia="楷体_GB2312"/>
          <w:sz w:val="32"/>
          <w:szCs w:val="32"/>
        </w:rPr>
        <w:t>（一）非模型依赖法</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 xml:space="preserve">1. </w:t>
      </w:r>
      <w:r w:rsidRPr="00F41376">
        <w:rPr>
          <w:rFonts w:eastAsia="仿宋_GB2312"/>
          <w:sz w:val="32"/>
          <w:szCs w:val="32"/>
        </w:rPr>
        <w:t>非模型依赖的相似因子法</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采用差异因子（</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）或相似因子（</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）来比较溶出曲线是一种简单的非模型依赖方法。差异因子（</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）法是计算两条溶出曲线在每一时间点的差异（</w:t>
      </w:r>
      <w:r w:rsidRPr="00F41376">
        <w:rPr>
          <w:rFonts w:eastAsia="仿宋_GB2312"/>
          <w:sz w:val="32"/>
          <w:szCs w:val="32"/>
        </w:rPr>
        <w:t>%</w:t>
      </w:r>
      <w:r w:rsidRPr="00F41376">
        <w:rPr>
          <w:rFonts w:eastAsia="仿宋_GB2312"/>
          <w:sz w:val="32"/>
          <w:szCs w:val="32"/>
        </w:rPr>
        <w:t>），是衡量两条曲线相对偏差的参数，计算公式如下：</w:t>
      </w:r>
    </w:p>
    <w:p w:rsidR="00F50C8B" w:rsidRPr="00F41376" w:rsidRDefault="00F50C8B" w:rsidP="00F50C8B">
      <w:pPr>
        <w:widowControl/>
        <w:spacing w:line="600" w:lineRule="exact"/>
        <w:ind w:firstLineChars="200" w:firstLine="640"/>
        <w:rPr>
          <w:rFonts w:eastAsia="仿宋_GB2312"/>
          <w:sz w:val="32"/>
          <w:szCs w:val="32"/>
        </w:rPr>
      </w:pPr>
      <w:r>
        <w:rPr>
          <w:rFonts w:eastAsia="仿宋_GB2312"/>
          <w:noProof/>
          <w:sz w:val="32"/>
          <w:szCs w:val="32"/>
        </w:rPr>
        <w:drawing>
          <wp:inline distT="0" distB="0" distL="0" distR="0">
            <wp:extent cx="288607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352425"/>
                    </a:xfrm>
                    <a:prstGeom prst="rect">
                      <a:avLst/>
                    </a:prstGeom>
                    <a:noFill/>
                    <a:ln>
                      <a:noFill/>
                    </a:ln>
                  </pic:spPr>
                </pic:pic>
              </a:graphicData>
            </a:graphic>
          </wp:inline>
        </w:drawing>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其中</w:t>
      </w:r>
      <w:r w:rsidRPr="00F41376">
        <w:rPr>
          <w:rFonts w:eastAsia="仿宋_GB2312"/>
          <w:sz w:val="32"/>
          <w:szCs w:val="32"/>
        </w:rPr>
        <w:t>n</w:t>
      </w:r>
      <w:r w:rsidRPr="00F41376">
        <w:rPr>
          <w:rFonts w:eastAsia="仿宋_GB2312"/>
          <w:sz w:val="32"/>
          <w:szCs w:val="32"/>
        </w:rPr>
        <w:t>为取样时间点个数，</w:t>
      </w:r>
      <w:proofErr w:type="spellStart"/>
      <w:r w:rsidRPr="00F41376">
        <w:rPr>
          <w:rFonts w:eastAsia="仿宋_GB2312"/>
          <w:sz w:val="32"/>
          <w:szCs w:val="32"/>
        </w:rPr>
        <w:t>R</w:t>
      </w:r>
      <w:r w:rsidRPr="00F41376">
        <w:rPr>
          <w:rFonts w:eastAsia="仿宋_GB2312"/>
          <w:sz w:val="20"/>
          <w:szCs w:val="32"/>
        </w:rPr>
        <w:t>t</w:t>
      </w:r>
      <w:proofErr w:type="spellEnd"/>
      <w:r w:rsidRPr="00F41376">
        <w:rPr>
          <w:rFonts w:eastAsia="仿宋_GB2312"/>
          <w:sz w:val="32"/>
          <w:szCs w:val="32"/>
        </w:rPr>
        <w:t>为参比样品（或变更前样品）在</w:t>
      </w:r>
      <w:r w:rsidRPr="00F41376">
        <w:rPr>
          <w:rFonts w:eastAsia="仿宋_GB2312"/>
          <w:sz w:val="32"/>
          <w:szCs w:val="32"/>
        </w:rPr>
        <w:t>t</w:t>
      </w:r>
      <w:r w:rsidRPr="00F41376">
        <w:rPr>
          <w:rFonts w:eastAsia="仿宋_GB2312"/>
          <w:sz w:val="32"/>
          <w:szCs w:val="32"/>
        </w:rPr>
        <w:t>时刻的溶出度值，</w:t>
      </w:r>
      <w:proofErr w:type="spellStart"/>
      <w:r w:rsidRPr="00F41376">
        <w:rPr>
          <w:rFonts w:eastAsia="仿宋_GB2312"/>
          <w:sz w:val="32"/>
          <w:szCs w:val="32"/>
        </w:rPr>
        <w:t>T</w:t>
      </w:r>
      <w:r w:rsidRPr="00F41376">
        <w:rPr>
          <w:rFonts w:eastAsia="仿宋_GB2312"/>
          <w:sz w:val="20"/>
          <w:szCs w:val="32"/>
        </w:rPr>
        <w:t>t</w:t>
      </w:r>
      <w:proofErr w:type="spellEnd"/>
      <w:r w:rsidRPr="00F41376">
        <w:rPr>
          <w:rFonts w:eastAsia="仿宋_GB2312"/>
          <w:sz w:val="32"/>
          <w:szCs w:val="32"/>
        </w:rPr>
        <w:t>为试验批次（变更后样品）在</w:t>
      </w:r>
      <w:r w:rsidRPr="00F41376">
        <w:rPr>
          <w:rFonts w:eastAsia="仿宋_GB2312"/>
          <w:sz w:val="32"/>
          <w:szCs w:val="32"/>
        </w:rPr>
        <w:t>t</w:t>
      </w:r>
      <w:r w:rsidRPr="00F41376">
        <w:rPr>
          <w:rFonts w:eastAsia="仿宋_GB2312"/>
          <w:sz w:val="32"/>
          <w:szCs w:val="32"/>
        </w:rPr>
        <w:t>时刻的溶出度值。</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lastRenderedPageBreak/>
        <w:t>相似因子（</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）是衡量两条溶出曲线相似度的参数，计算公式如下：</w:t>
      </w:r>
    </w:p>
    <w:p w:rsidR="00F50C8B" w:rsidRDefault="00F50C8B" w:rsidP="00F50C8B">
      <w:pPr>
        <w:widowControl/>
        <w:spacing w:line="600" w:lineRule="exact"/>
        <w:ind w:firstLine="645"/>
        <w:rPr>
          <w:rFonts w:eastAsia="仿宋_GB2312"/>
          <w:noProof/>
          <w:sz w:val="32"/>
          <w:szCs w:val="32"/>
        </w:rPr>
      </w:pPr>
      <w:r>
        <w:rPr>
          <w:rFonts w:eastAsia="仿宋_GB2312"/>
          <w:noProof/>
          <w:sz w:val="32"/>
          <w:szCs w:val="32"/>
        </w:rPr>
        <w:drawing>
          <wp:inline distT="0" distB="0" distL="0" distR="0">
            <wp:extent cx="3495675" cy="323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675" cy="323850"/>
                    </a:xfrm>
                    <a:prstGeom prst="rect">
                      <a:avLst/>
                    </a:prstGeom>
                    <a:noFill/>
                    <a:ln>
                      <a:noFill/>
                    </a:ln>
                  </pic:spPr>
                </pic:pic>
              </a:graphicData>
            </a:graphic>
          </wp:inline>
        </w:drawing>
      </w:r>
    </w:p>
    <w:p w:rsidR="00F50C8B" w:rsidRPr="00F50C8B" w:rsidRDefault="00F50C8B" w:rsidP="00F50C8B">
      <w:pPr>
        <w:widowControl/>
        <w:spacing w:line="600" w:lineRule="exact"/>
        <w:ind w:firstLineChars="200" w:firstLine="592"/>
        <w:rPr>
          <w:rFonts w:eastAsia="仿宋_GB2312"/>
          <w:spacing w:val="-12"/>
          <w:sz w:val="32"/>
          <w:szCs w:val="32"/>
        </w:rPr>
      </w:pPr>
      <w:r w:rsidRPr="00F50C8B">
        <w:rPr>
          <w:rFonts w:eastAsia="仿宋_GB2312"/>
          <w:spacing w:val="-12"/>
          <w:sz w:val="32"/>
          <w:szCs w:val="32"/>
        </w:rPr>
        <w:t>其中</w:t>
      </w:r>
      <w:r w:rsidRPr="00F50C8B">
        <w:rPr>
          <w:rFonts w:eastAsia="仿宋_GB2312"/>
          <w:spacing w:val="-12"/>
          <w:sz w:val="32"/>
          <w:szCs w:val="32"/>
        </w:rPr>
        <w:t>n</w:t>
      </w:r>
      <w:r w:rsidRPr="00F50C8B">
        <w:rPr>
          <w:rFonts w:eastAsia="仿宋_GB2312"/>
          <w:spacing w:val="-12"/>
          <w:sz w:val="32"/>
          <w:szCs w:val="32"/>
        </w:rPr>
        <w:t>为取样时间点个数，</w:t>
      </w:r>
      <w:proofErr w:type="spellStart"/>
      <w:r w:rsidRPr="00F50C8B">
        <w:rPr>
          <w:rFonts w:eastAsia="仿宋_GB2312"/>
          <w:spacing w:val="-12"/>
          <w:sz w:val="32"/>
          <w:szCs w:val="32"/>
        </w:rPr>
        <w:t>R</w:t>
      </w:r>
      <w:r w:rsidRPr="00F50C8B">
        <w:rPr>
          <w:rFonts w:eastAsia="仿宋_GB2312"/>
          <w:spacing w:val="-12"/>
          <w:sz w:val="20"/>
          <w:szCs w:val="32"/>
        </w:rPr>
        <w:t>t</w:t>
      </w:r>
      <w:proofErr w:type="spellEnd"/>
      <w:r w:rsidRPr="00F50C8B">
        <w:rPr>
          <w:rFonts w:eastAsia="仿宋_GB2312"/>
          <w:spacing w:val="-12"/>
          <w:sz w:val="32"/>
          <w:szCs w:val="32"/>
        </w:rPr>
        <w:t>为参比样品（或变更前样品）在</w:t>
      </w:r>
      <w:r w:rsidRPr="00F50C8B">
        <w:rPr>
          <w:rFonts w:eastAsia="仿宋_GB2312"/>
          <w:spacing w:val="-12"/>
          <w:sz w:val="32"/>
          <w:szCs w:val="32"/>
        </w:rPr>
        <w:t>t</w:t>
      </w:r>
      <w:r w:rsidRPr="00F50C8B">
        <w:rPr>
          <w:rFonts w:eastAsia="仿宋_GB2312"/>
          <w:spacing w:val="-12"/>
          <w:sz w:val="32"/>
          <w:szCs w:val="32"/>
        </w:rPr>
        <w:t>时刻的溶出度值，</w:t>
      </w:r>
      <w:proofErr w:type="spellStart"/>
      <w:r w:rsidRPr="00F50C8B">
        <w:rPr>
          <w:rFonts w:eastAsia="仿宋_GB2312"/>
          <w:spacing w:val="-12"/>
          <w:sz w:val="32"/>
          <w:szCs w:val="32"/>
        </w:rPr>
        <w:t>T</w:t>
      </w:r>
      <w:r w:rsidRPr="00F50C8B">
        <w:rPr>
          <w:rFonts w:eastAsia="仿宋_GB2312"/>
          <w:spacing w:val="-12"/>
          <w:sz w:val="20"/>
          <w:szCs w:val="32"/>
        </w:rPr>
        <w:t>t</w:t>
      </w:r>
      <w:proofErr w:type="spellEnd"/>
      <w:r w:rsidRPr="00F50C8B">
        <w:rPr>
          <w:rFonts w:eastAsia="仿宋_GB2312"/>
          <w:spacing w:val="-12"/>
          <w:sz w:val="32"/>
          <w:szCs w:val="32"/>
        </w:rPr>
        <w:t>为试验批次（变更后样品）在</w:t>
      </w:r>
      <w:r w:rsidRPr="00F50C8B">
        <w:rPr>
          <w:rFonts w:eastAsia="仿宋_GB2312"/>
          <w:spacing w:val="-12"/>
          <w:sz w:val="32"/>
          <w:szCs w:val="32"/>
        </w:rPr>
        <w:t>t</w:t>
      </w:r>
      <w:r w:rsidRPr="00F50C8B">
        <w:rPr>
          <w:rFonts w:eastAsia="仿宋_GB2312"/>
          <w:spacing w:val="-12"/>
          <w:sz w:val="32"/>
          <w:szCs w:val="32"/>
        </w:rPr>
        <w:t>时刻的溶出度值。</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差异因子和相似因子的具体测定步骤如下：</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w:t>
      </w:r>
      <w:r w:rsidRPr="00F41376">
        <w:rPr>
          <w:rFonts w:eastAsia="仿宋_GB2312"/>
          <w:sz w:val="32"/>
          <w:szCs w:val="32"/>
        </w:rPr>
        <w:t>1</w:t>
      </w:r>
      <w:r w:rsidRPr="00F41376">
        <w:rPr>
          <w:rFonts w:eastAsia="仿宋_GB2312"/>
          <w:sz w:val="32"/>
          <w:szCs w:val="32"/>
        </w:rPr>
        <w:t>）分别取受试（变更后）和</w:t>
      </w:r>
      <w:proofErr w:type="gramStart"/>
      <w:r w:rsidRPr="00F41376">
        <w:rPr>
          <w:rFonts w:eastAsia="仿宋_GB2312"/>
          <w:sz w:val="32"/>
          <w:szCs w:val="32"/>
        </w:rPr>
        <w:t>参比</w:t>
      </w:r>
      <w:proofErr w:type="gramEnd"/>
      <w:r w:rsidRPr="00F41376">
        <w:rPr>
          <w:rFonts w:eastAsia="仿宋_GB2312"/>
          <w:sz w:val="32"/>
          <w:szCs w:val="32"/>
        </w:rPr>
        <w:t>样品（变更前）各</w:t>
      </w:r>
      <w:r w:rsidRPr="00F41376">
        <w:rPr>
          <w:rFonts w:eastAsia="仿宋_GB2312"/>
          <w:sz w:val="32"/>
          <w:szCs w:val="32"/>
        </w:rPr>
        <w:t>12</w:t>
      </w:r>
      <w:r w:rsidRPr="00F41376">
        <w:rPr>
          <w:rFonts w:eastAsia="仿宋_GB2312"/>
          <w:sz w:val="32"/>
          <w:szCs w:val="32"/>
        </w:rPr>
        <w:t>片（粒），测定其溶出曲线。</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w:t>
      </w:r>
      <w:r w:rsidRPr="00F41376">
        <w:rPr>
          <w:rFonts w:eastAsia="仿宋_GB2312"/>
          <w:sz w:val="32"/>
          <w:szCs w:val="32"/>
        </w:rPr>
        <w:t>2</w:t>
      </w:r>
      <w:r w:rsidRPr="00F41376">
        <w:rPr>
          <w:rFonts w:eastAsia="仿宋_GB2312"/>
          <w:sz w:val="32"/>
          <w:szCs w:val="32"/>
        </w:rPr>
        <w:t>）取两条曲线上各时间点的平均溶出度值，根据上述公式计算差异因子（</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）或相似因子（</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w:t>
      </w:r>
      <w:r w:rsidRPr="00F41376">
        <w:rPr>
          <w:rFonts w:eastAsia="仿宋_GB2312"/>
          <w:sz w:val="32"/>
          <w:szCs w:val="32"/>
        </w:rPr>
        <w:t>3</w:t>
      </w:r>
      <w:r w:rsidRPr="00F41376">
        <w:rPr>
          <w:rFonts w:eastAsia="仿宋_GB2312"/>
          <w:sz w:val="32"/>
          <w:szCs w:val="32"/>
        </w:rPr>
        <w:t>）</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值越接近</w:t>
      </w:r>
      <w:r w:rsidRPr="00F41376">
        <w:rPr>
          <w:rFonts w:eastAsia="仿宋_GB2312"/>
          <w:sz w:val="32"/>
          <w:szCs w:val="32"/>
        </w:rPr>
        <w:t>0</w:t>
      </w:r>
      <w:r w:rsidRPr="00F41376">
        <w:rPr>
          <w:rFonts w:eastAsia="仿宋_GB2312"/>
          <w:sz w:val="32"/>
          <w:szCs w:val="32"/>
        </w:rPr>
        <w:t>，</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值越接近</w:t>
      </w:r>
      <w:r w:rsidRPr="00F41376">
        <w:rPr>
          <w:rFonts w:eastAsia="仿宋_GB2312"/>
          <w:sz w:val="32"/>
          <w:szCs w:val="32"/>
        </w:rPr>
        <w:t>100</w:t>
      </w:r>
      <w:r w:rsidRPr="00F41376">
        <w:rPr>
          <w:rFonts w:eastAsia="仿宋_GB2312"/>
          <w:sz w:val="32"/>
          <w:szCs w:val="32"/>
        </w:rPr>
        <w:t>，则认为两条曲线相似。一般情况下，</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值小于</w:t>
      </w:r>
      <w:r w:rsidRPr="00F41376">
        <w:rPr>
          <w:rFonts w:eastAsia="仿宋_GB2312"/>
          <w:sz w:val="32"/>
          <w:szCs w:val="32"/>
        </w:rPr>
        <w:t>15</w:t>
      </w:r>
      <w:r w:rsidRPr="00F41376">
        <w:rPr>
          <w:rFonts w:eastAsia="仿宋_GB2312"/>
          <w:sz w:val="32"/>
          <w:szCs w:val="32"/>
        </w:rPr>
        <w:t>或</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值高于</w:t>
      </w:r>
      <w:r w:rsidRPr="00F41376">
        <w:rPr>
          <w:rFonts w:eastAsia="仿宋_GB2312"/>
          <w:sz w:val="32"/>
          <w:szCs w:val="32"/>
        </w:rPr>
        <w:t>50</w:t>
      </w:r>
      <w:r w:rsidRPr="00F41376">
        <w:rPr>
          <w:rFonts w:eastAsia="仿宋_GB2312"/>
          <w:sz w:val="32"/>
          <w:szCs w:val="32"/>
        </w:rPr>
        <w:t>，可认为两条曲线具有相似性，受试（变更后）与参比产品（变更前）具有等效性。</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这种非模型依赖方法最适合于三至四个或更多取样点的溶出曲线比较，采用本方法时应满足下列条件：</w:t>
      </w:r>
    </w:p>
    <w:p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t>•</w:t>
      </w:r>
      <w:r w:rsidRPr="00F41376">
        <w:rPr>
          <w:rFonts w:eastAsia="仿宋_GB2312"/>
          <w:sz w:val="32"/>
          <w:szCs w:val="32"/>
        </w:rPr>
        <w:tab/>
      </w:r>
      <w:r w:rsidRPr="00F41376">
        <w:rPr>
          <w:rFonts w:eastAsia="仿宋_GB2312"/>
          <w:sz w:val="32"/>
          <w:szCs w:val="32"/>
        </w:rPr>
        <w:t>应在完全相同的条件下对受试和</w:t>
      </w:r>
      <w:proofErr w:type="gramStart"/>
      <w:r w:rsidRPr="00F41376">
        <w:rPr>
          <w:rFonts w:eastAsia="仿宋_GB2312"/>
          <w:sz w:val="32"/>
          <w:szCs w:val="32"/>
        </w:rPr>
        <w:t>参比</w:t>
      </w:r>
      <w:proofErr w:type="gramEnd"/>
      <w:r w:rsidRPr="00F41376">
        <w:rPr>
          <w:rFonts w:eastAsia="仿宋_GB2312"/>
          <w:sz w:val="32"/>
          <w:szCs w:val="32"/>
        </w:rPr>
        <w:t>样品的溶出曲线进行测定。两条曲线的取样点应相同（如</w:t>
      </w:r>
      <w:r w:rsidRPr="00F41376">
        <w:rPr>
          <w:rFonts w:eastAsia="仿宋_GB2312"/>
          <w:sz w:val="32"/>
          <w:szCs w:val="32"/>
        </w:rPr>
        <w:t>15</w:t>
      </w:r>
      <w:r w:rsidRPr="00F41376">
        <w:rPr>
          <w:rFonts w:eastAsia="仿宋_GB2312"/>
          <w:sz w:val="32"/>
          <w:szCs w:val="32"/>
        </w:rPr>
        <w:t>、</w:t>
      </w:r>
      <w:r w:rsidRPr="00F41376">
        <w:rPr>
          <w:rFonts w:eastAsia="仿宋_GB2312"/>
          <w:sz w:val="32"/>
          <w:szCs w:val="32"/>
        </w:rPr>
        <w:t>30</w:t>
      </w:r>
      <w:r w:rsidRPr="00F41376">
        <w:rPr>
          <w:rFonts w:eastAsia="仿宋_GB2312"/>
          <w:sz w:val="32"/>
          <w:szCs w:val="32"/>
        </w:rPr>
        <w:t>、</w:t>
      </w:r>
      <w:r w:rsidRPr="00F41376">
        <w:rPr>
          <w:rFonts w:eastAsia="仿宋_GB2312"/>
          <w:sz w:val="32"/>
          <w:szCs w:val="32"/>
        </w:rPr>
        <w:t>45</w:t>
      </w:r>
      <w:r w:rsidRPr="00F41376">
        <w:rPr>
          <w:rFonts w:eastAsia="仿宋_GB2312"/>
          <w:sz w:val="32"/>
          <w:szCs w:val="32"/>
        </w:rPr>
        <w:t>、</w:t>
      </w:r>
      <w:r w:rsidRPr="00F41376">
        <w:rPr>
          <w:rFonts w:eastAsia="仿宋_GB2312"/>
          <w:sz w:val="32"/>
          <w:szCs w:val="32"/>
        </w:rPr>
        <w:t>60</w:t>
      </w:r>
      <w:r w:rsidRPr="00F41376">
        <w:rPr>
          <w:rFonts w:eastAsia="仿宋_GB2312"/>
          <w:sz w:val="32"/>
          <w:szCs w:val="32"/>
        </w:rPr>
        <w:t>分钟）。应采用变更</w:t>
      </w:r>
      <w:proofErr w:type="gramStart"/>
      <w:r w:rsidRPr="00F41376">
        <w:rPr>
          <w:rFonts w:eastAsia="仿宋_GB2312"/>
          <w:sz w:val="32"/>
          <w:szCs w:val="32"/>
        </w:rPr>
        <w:t>前生产</w:t>
      </w:r>
      <w:proofErr w:type="gramEnd"/>
      <w:r w:rsidRPr="00F41376">
        <w:rPr>
          <w:rFonts w:eastAsia="仿宋_GB2312"/>
          <w:sz w:val="32"/>
          <w:szCs w:val="32"/>
        </w:rPr>
        <w:t>的最近一批产品作为参比样品。</w:t>
      </w:r>
    </w:p>
    <w:p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t>•</w:t>
      </w:r>
      <w:r w:rsidRPr="00F41376">
        <w:rPr>
          <w:rFonts w:eastAsia="仿宋_GB2312"/>
          <w:sz w:val="32"/>
          <w:szCs w:val="32"/>
        </w:rPr>
        <w:t>药物溶出量超过</w:t>
      </w:r>
      <w:r w:rsidRPr="00F41376">
        <w:rPr>
          <w:rFonts w:eastAsia="仿宋_GB2312"/>
          <w:sz w:val="32"/>
          <w:szCs w:val="32"/>
        </w:rPr>
        <w:t>85%</w:t>
      </w:r>
      <w:r w:rsidRPr="00F41376">
        <w:rPr>
          <w:rFonts w:eastAsia="仿宋_GB2312"/>
          <w:sz w:val="32"/>
          <w:szCs w:val="32"/>
        </w:rPr>
        <w:t>的取样点不超过一个。</w:t>
      </w:r>
    </w:p>
    <w:p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t>•</w:t>
      </w:r>
      <w:r w:rsidRPr="00F41376">
        <w:rPr>
          <w:rFonts w:eastAsia="仿宋_GB2312"/>
          <w:sz w:val="32"/>
          <w:szCs w:val="32"/>
        </w:rPr>
        <w:tab/>
      </w:r>
      <w:r w:rsidRPr="00F41376">
        <w:rPr>
          <w:rFonts w:eastAsia="仿宋_GB2312"/>
          <w:sz w:val="32"/>
          <w:szCs w:val="32"/>
        </w:rPr>
        <w:t>第一个取样时间点（如</w:t>
      </w:r>
      <w:r w:rsidRPr="00F41376">
        <w:rPr>
          <w:rFonts w:eastAsia="仿宋_GB2312"/>
          <w:sz w:val="32"/>
          <w:szCs w:val="32"/>
        </w:rPr>
        <w:t xml:space="preserve">15 </w:t>
      </w:r>
      <w:r w:rsidRPr="00F41376">
        <w:rPr>
          <w:rFonts w:eastAsia="仿宋_GB2312"/>
          <w:sz w:val="32"/>
          <w:szCs w:val="32"/>
        </w:rPr>
        <w:t>分钟）的溶出量相对标准偏差不得超过</w:t>
      </w:r>
      <w:r w:rsidRPr="00F41376">
        <w:rPr>
          <w:rFonts w:eastAsia="仿宋_GB2312"/>
          <w:sz w:val="32"/>
          <w:szCs w:val="32"/>
        </w:rPr>
        <w:t>20%</w:t>
      </w:r>
      <w:r w:rsidRPr="00F41376">
        <w:rPr>
          <w:rFonts w:eastAsia="仿宋_GB2312"/>
          <w:sz w:val="32"/>
          <w:szCs w:val="32"/>
        </w:rPr>
        <w:t>，其余取样时间点的溶出量相对标准偏差不得超过</w:t>
      </w:r>
      <w:r w:rsidRPr="00F41376">
        <w:rPr>
          <w:rFonts w:eastAsia="仿宋_GB2312"/>
          <w:sz w:val="32"/>
          <w:szCs w:val="32"/>
        </w:rPr>
        <w:t>10%</w:t>
      </w:r>
      <w:r w:rsidRPr="00F41376">
        <w:rPr>
          <w:rFonts w:eastAsia="仿宋_GB2312"/>
          <w:sz w:val="32"/>
          <w:szCs w:val="32"/>
        </w:rPr>
        <w:t>。</w:t>
      </w:r>
    </w:p>
    <w:p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lastRenderedPageBreak/>
        <w:t>•</w:t>
      </w:r>
      <w:r w:rsidRPr="00F41376">
        <w:rPr>
          <w:rFonts w:eastAsia="仿宋_GB2312"/>
          <w:sz w:val="32"/>
          <w:szCs w:val="32"/>
        </w:rPr>
        <w:tab/>
      </w:r>
      <w:r w:rsidRPr="00F41376">
        <w:rPr>
          <w:rFonts w:eastAsia="仿宋_GB2312"/>
          <w:sz w:val="32"/>
          <w:szCs w:val="32"/>
        </w:rPr>
        <w:t>当受试制剂和</w:t>
      </w:r>
      <w:proofErr w:type="gramStart"/>
      <w:r w:rsidRPr="00F41376">
        <w:rPr>
          <w:rFonts w:eastAsia="仿宋_GB2312"/>
          <w:sz w:val="32"/>
          <w:szCs w:val="32"/>
        </w:rPr>
        <w:t>参比</w:t>
      </w:r>
      <w:proofErr w:type="gramEnd"/>
      <w:r w:rsidRPr="00F41376">
        <w:rPr>
          <w:rFonts w:eastAsia="仿宋_GB2312"/>
          <w:sz w:val="32"/>
          <w:szCs w:val="32"/>
        </w:rPr>
        <w:t>制剂在</w:t>
      </w:r>
      <w:r w:rsidRPr="00F41376">
        <w:rPr>
          <w:rFonts w:eastAsia="仿宋_GB2312"/>
          <w:sz w:val="32"/>
          <w:szCs w:val="32"/>
        </w:rPr>
        <w:t>15</w:t>
      </w:r>
      <w:r w:rsidRPr="00F41376">
        <w:rPr>
          <w:rFonts w:eastAsia="仿宋_GB2312"/>
          <w:sz w:val="32"/>
          <w:szCs w:val="32"/>
        </w:rPr>
        <w:t>分钟内的溶出量</w:t>
      </w:r>
      <w:r w:rsidRPr="00F41376">
        <w:rPr>
          <w:rFonts w:ascii="宋体" w:hAnsi="宋体" w:cs="宋体" w:hint="eastAsia"/>
          <w:sz w:val="32"/>
          <w:szCs w:val="32"/>
        </w:rPr>
        <w:t>≧</w:t>
      </w:r>
      <w:r w:rsidRPr="00F41376">
        <w:rPr>
          <w:rFonts w:eastAsia="仿宋_GB2312"/>
          <w:sz w:val="32"/>
          <w:szCs w:val="32"/>
        </w:rPr>
        <w:t>85%</w:t>
      </w:r>
      <w:r w:rsidRPr="00F41376">
        <w:rPr>
          <w:rFonts w:eastAsia="仿宋_GB2312"/>
          <w:sz w:val="32"/>
          <w:szCs w:val="32"/>
        </w:rPr>
        <w:t>时，可以认为两者</w:t>
      </w:r>
      <w:proofErr w:type="gramStart"/>
      <w:r w:rsidRPr="00F41376">
        <w:rPr>
          <w:rFonts w:eastAsia="仿宋_GB2312"/>
          <w:sz w:val="32"/>
          <w:szCs w:val="32"/>
        </w:rPr>
        <w:t>溶</w:t>
      </w:r>
      <w:proofErr w:type="gramEnd"/>
      <w:r w:rsidRPr="00F41376">
        <w:rPr>
          <w:rFonts w:eastAsia="仿宋_GB2312"/>
          <w:sz w:val="32"/>
          <w:szCs w:val="32"/>
        </w:rPr>
        <w:t>出行为相似，无需进行</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的比较。</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非模型依赖多变量置信区间法</w:t>
      </w:r>
    </w:p>
    <w:p w:rsidR="00F50C8B" w:rsidRPr="00F41376" w:rsidRDefault="00F50C8B" w:rsidP="00F50C8B">
      <w:pPr>
        <w:widowControl/>
        <w:spacing w:line="600" w:lineRule="exact"/>
        <w:ind w:firstLineChars="200" w:firstLine="640"/>
        <w:rPr>
          <w:rFonts w:eastAsia="仿宋_GB2312"/>
          <w:sz w:val="32"/>
          <w:szCs w:val="32"/>
        </w:rPr>
      </w:pPr>
      <w:proofErr w:type="gramStart"/>
      <w:r w:rsidRPr="00F41376">
        <w:rPr>
          <w:rFonts w:eastAsia="仿宋_GB2312"/>
          <w:sz w:val="32"/>
          <w:szCs w:val="32"/>
        </w:rPr>
        <w:t>对于批内溶出</w:t>
      </w:r>
      <w:proofErr w:type="gramEnd"/>
      <w:r w:rsidRPr="00F41376">
        <w:rPr>
          <w:rFonts w:eastAsia="仿宋_GB2312"/>
          <w:sz w:val="32"/>
          <w:szCs w:val="32"/>
        </w:rPr>
        <w:t>量相对标准偏差大于</w:t>
      </w:r>
      <w:r w:rsidRPr="00F41376">
        <w:rPr>
          <w:rFonts w:eastAsia="仿宋_GB2312"/>
          <w:sz w:val="32"/>
          <w:szCs w:val="32"/>
        </w:rPr>
        <w:t>15%</w:t>
      </w:r>
      <w:r w:rsidRPr="00F41376">
        <w:rPr>
          <w:rFonts w:eastAsia="仿宋_GB2312"/>
          <w:sz w:val="32"/>
          <w:szCs w:val="32"/>
        </w:rPr>
        <w:t>的药品，可能更适于采用非模型依赖多变量置信区间方法进行溶出曲线比较。建议按照下列步骤进行：</w:t>
      </w:r>
    </w:p>
    <w:p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1</w:t>
      </w:r>
      <w:r w:rsidRPr="00F41376">
        <w:rPr>
          <w:rFonts w:eastAsia="仿宋_GB2312"/>
          <w:sz w:val="32"/>
          <w:szCs w:val="32"/>
        </w:rPr>
        <w:t>）测定参比样品溶出量</w:t>
      </w:r>
      <w:proofErr w:type="gramStart"/>
      <w:r w:rsidRPr="00F41376">
        <w:rPr>
          <w:rFonts w:eastAsia="仿宋_GB2312"/>
          <w:sz w:val="32"/>
          <w:szCs w:val="32"/>
        </w:rPr>
        <w:t>的批间差异</w:t>
      </w:r>
      <w:proofErr w:type="gramEnd"/>
      <w:r w:rsidRPr="00F41376">
        <w:rPr>
          <w:rFonts w:eastAsia="仿宋_GB2312"/>
          <w:sz w:val="32"/>
          <w:szCs w:val="32"/>
        </w:rPr>
        <w:t>，然后以此为依据确定多变量统计矩（</w:t>
      </w:r>
      <w:r w:rsidRPr="00F41376">
        <w:rPr>
          <w:rFonts w:eastAsia="仿宋_GB2312"/>
          <w:sz w:val="32"/>
          <w:szCs w:val="32"/>
        </w:rPr>
        <w:t>Multivariate statistical distance</w:t>
      </w:r>
      <w:r w:rsidRPr="00F41376">
        <w:rPr>
          <w:rFonts w:eastAsia="仿宋_GB2312"/>
          <w:sz w:val="32"/>
          <w:szCs w:val="32"/>
        </w:rPr>
        <w:t>，</w:t>
      </w:r>
      <w:r w:rsidRPr="00F41376">
        <w:rPr>
          <w:rFonts w:eastAsia="仿宋_GB2312"/>
          <w:sz w:val="32"/>
          <w:szCs w:val="32"/>
        </w:rPr>
        <w:t>MSD</w:t>
      </w:r>
      <w:r w:rsidRPr="00F41376">
        <w:rPr>
          <w:rFonts w:eastAsia="仿宋_GB2312"/>
          <w:sz w:val="32"/>
          <w:szCs w:val="32"/>
        </w:rPr>
        <w:t>）的相似性限度。</w:t>
      </w:r>
    </w:p>
    <w:p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2</w:t>
      </w:r>
      <w:r w:rsidRPr="00F41376">
        <w:rPr>
          <w:rFonts w:eastAsia="仿宋_GB2312"/>
          <w:sz w:val="32"/>
          <w:szCs w:val="32"/>
        </w:rPr>
        <w:t>）确定受试和</w:t>
      </w:r>
      <w:proofErr w:type="gramStart"/>
      <w:r w:rsidRPr="00F41376">
        <w:rPr>
          <w:rFonts w:eastAsia="仿宋_GB2312"/>
          <w:sz w:val="32"/>
          <w:szCs w:val="32"/>
        </w:rPr>
        <w:t>参比</w:t>
      </w:r>
      <w:proofErr w:type="gramEnd"/>
      <w:r w:rsidRPr="00F41376">
        <w:rPr>
          <w:rFonts w:eastAsia="仿宋_GB2312"/>
          <w:sz w:val="32"/>
          <w:szCs w:val="32"/>
        </w:rPr>
        <w:t>样品平均溶出量的多变量统计矩。</w:t>
      </w:r>
    </w:p>
    <w:p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3</w:t>
      </w:r>
      <w:r w:rsidRPr="00F41376">
        <w:rPr>
          <w:rFonts w:eastAsia="仿宋_GB2312"/>
          <w:sz w:val="32"/>
          <w:szCs w:val="32"/>
        </w:rPr>
        <w:t>）确定受试和</w:t>
      </w:r>
      <w:proofErr w:type="gramStart"/>
      <w:r w:rsidRPr="00F41376">
        <w:rPr>
          <w:rFonts w:eastAsia="仿宋_GB2312"/>
          <w:sz w:val="32"/>
          <w:szCs w:val="32"/>
        </w:rPr>
        <w:t>参比</w:t>
      </w:r>
      <w:proofErr w:type="gramEnd"/>
      <w:r w:rsidRPr="00F41376">
        <w:rPr>
          <w:rFonts w:eastAsia="仿宋_GB2312"/>
          <w:sz w:val="32"/>
          <w:szCs w:val="32"/>
        </w:rPr>
        <w:t>样品实测溶出量多变量统计矩的</w:t>
      </w:r>
      <w:r w:rsidRPr="00F41376">
        <w:rPr>
          <w:rFonts w:eastAsia="仿宋_GB2312"/>
          <w:sz w:val="32"/>
          <w:szCs w:val="32"/>
        </w:rPr>
        <w:t>90%</w:t>
      </w:r>
      <w:r w:rsidRPr="00F41376">
        <w:rPr>
          <w:rFonts w:eastAsia="仿宋_GB2312"/>
          <w:sz w:val="32"/>
          <w:szCs w:val="32"/>
        </w:rPr>
        <w:t>置信区间。</w:t>
      </w:r>
    </w:p>
    <w:p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4</w:t>
      </w:r>
      <w:r w:rsidRPr="00F41376">
        <w:rPr>
          <w:rFonts w:eastAsia="仿宋_GB2312"/>
          <w:sz w:val="32"/>
          <w:szCs w:val="32"/>
        </w:rPr>
        <w:t>）如果受试样品的置信区间上限小于或等于参比样品的相似性限度，可认为两个批次的样品具有相似性。</w:t>
      </w:r>
    </w:p>
    <w:p w:rsidR="00F50C8B" w:rsidRPr="00F41376" w:rsidRDefault="00F50C8B" w:rsidP="00F50C8B">
      <w:pPr>
        <w:widowControl/>
        <w:spacing w:line="600" w:lineRule="exact"/>
        <w:ind w:firstLineChars="150" w:firstLine="480"/>
        <w:rPr>
          <w:rFonts w:eastAsia="楷体_GB2312"/>
          <w:sz w:val="32"/>
          <w:szCs w:val="32"/>
        </w:rPr>
      </w:pPr>
      <w:r w:rsidRPr="00F41376">
        <w:rPr>
          <w:rFonts w:eastAsia="楷体_GB2312"/>
          <w:sz w:val="32"/>
          <w:szCs w:val="32"/>
        </w:rPr>
        <w:t>（二）模型依赖法</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已有一些拟合溶出度曲线的数学模型的报道。采用这些模型比较溶出度曲线，建议采取以下步骤：</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选择最适当的模型比较拟合标准批次、改变前批次和已批准受试批次的溶出曲线。建议采用不多于三个参数的模型（如线性模型、二次模型、对数模型、概率模型和</w:t>
      </w:r>
      <w:proofErr w:type="gramStart"/>
      <w:r w:rsidRPr="00F41376">
        <w:rPr>
          <w:rFonts w:eastAsia="仿宋_GB2312"/>
          <w:sz w:val="32"/>
          <w:szCs w:val="32"/>
        </w:rPr>
        <w:t>威布尔</w:t>
      </w:r>
      <w:proofErr w:type="gramEnd"/>
      <w:r w:rsidRPr="00F41376">
        <w:rPr>
          <w:rFonts w:eastAsia="仿宋_GB2312"/>
          <w:sz w:val="32"/>
          <w:szCs w:val="32"/>
        </w:rPr>
        <w:t>模型）。</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根据各样品的溶出数据绘制溶出曲线并采用最合适的模型拟合。</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lastRenderedPageBreak/>
        <w:t>3.</w:t>
      </w:r>
      <w:r w:rsidRPr="00F41376">
        <w:rPr>
          <w:rFonts w:eastAsia="仿宋_GB2312"/>
          <w:sz w:val="32"/>
          <w:szCs w:val="32"/>
        </w:rPr>
        <w:t>根据参比样品拟合模型的参数变异性，设定相似区间。</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4.</w:t>
      </w:r>
      <w:r w:rsidRPr="00F41376">
        <w:rPr>
          <w:rFonts w:eastAsia="仿宋_GB2312"/>
          <w:sz w:val="32"/>
          <w:szCs w:val="32"/>
        </w:rPr>
        <w:t>计算受试和</w:t>
      </w:r>
      <w:proofErr w:type="gramStart"/>
      <w:r w:rsidRPr="00F41376">
        <w:rPr>
          <w:rFonts w:eastAsia="仿宋_GB2312"/>
          <w:sz w:val="32"/>
          <w:szCs w:val="32"/>
        </w:rPr>
        <w:t>参比</w:t>
      </w:r>
      <w:proofErr w:type="gramEnd"/>
      <w:r w:rsidRPr="00F41376">
        <w:rPr>
          <w:rFonts w:eastAsia="仿宋_GB2312"/>
          <w:sz w:val="32"/>
          <w:szCs w:val="32"/>
        </w:rPr>
        <w:t>样品拟合模型参数的</w:t>
      </w:r>
      <w:r w:rsidRPr="00F41376">
        <w:rPr>
          <w:rFonts w:eastAsia="仿宋_GB2312"/>
          <w:sz w:val="32"/>
          <w:szCs w:val="32"/>
        </w:rPr>
        <w:t>MSD</w:t>
      </w:r>
      <w:r w:rsidRPr="00F41376">
        <w:rPr>
          <w:rFonts w:eastAsia="仿宋_GB2312"/>
          <w:sz w:val="32"/>
          <w:szCs w:val="32"/>
        </w:rPr>
        <w:t>。</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5.</w:t>
      </w:r>
      <w:r w:rsidRPr="00F41376">
        <w:rPr>
          <w:rFonts w:eastAsia="仿宋_GB2312"/>
          <w:sz w:val="32"/>
          <w:szCs w:val="32"/>
        </w:rPr>
        <w:t>确定受试与参比样品间溶出差异的</w:t>
      </w:r>
      <w:r w:rsidRPr="00F41376">
        <w:rPr>
          <w:rFonts w:eastAsia="仿宋_GB2312"/>
          <w:sz w:val="32"/>
          <w:szCs w:val="32"/>
        </w:rPr>
        <w:t>90%</w:t>
      </w:r>
      <w:r w:rsidRPr="00F41376">
        <w:rPr>
          <w:rFonts w:eastAsia="仿宋_GB2312"/>
          <w:sz w:val="32"/>
          <w:szCs w:val="32"/>
        </w:rPr>
        <w:t>置信区间。</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6.</w:t>
      </w:r>
      <w:r w:rsidRPr="00F41376">
        <w:rPr>
          <w:rFonts w:eastAsia="仿宋_GB2312"/>
          <w:sz w:val="32"/>
          <w:szCs w:val="32"/>
        </w:rPr>
        <w:t>比较置信区间与相似性限度。如果置信区间落在相似性限度内，可认为受试与参比样品具有相似的溶出曲线。</w:t>
      </w:r>
    </w:p>
    <w:p w:rsidR="00F50C8B" w:rsidRPr="00F41376" w:rsidRDefault="00F50C8B" w:rsidP="00F50C8B">
      <w:pPr>
        <w:widowControl/>
        <w:spacing w:line="600" w:lineRule="exact"/>
        <w:ind w:firstLineChars="200" w:firstLine="640"/>
        <w:rPr>
          <w:rFonts w:eastAsia="黑体"/>
          <w:sz w:val="32"/>
          <w:szCs w:val="32"/>
        </w:rPr>
      </w:pPr>
      <w:r w:rsidRPr="00F41376">
        <w:rPr>
          <w:rFonts w:eastAsia="黑体"/>
          <w:sz w:val="32"/>
          <w:szCs w:val="32"/>
        </w:rPr>
        <w:t>六、普通口服固体制剂上市后变更的溶出度研究</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在《已上市化学药品变更研究技术指导原则》中，对于普通口服固体制剂批准上市后的变更，根据变更程度，已经对研究验证内容及申报资料要求进行了阐述。根据变更程度和药物的生物药剂学特点，指导原则中提出了相应的体外溶出度试验要求以及体内生物等效性研究要求。根据药物的治疗窗、溶解性及渗透性的不同，对体外溶出度试验条件的要求也不同。对于该指导原则中未提及的处方变更，建议在多种介质中进行溶出比较试验。对于生产场所的变更、放大设备变更和较小的工艺变更，溶出度试验应足以确认产品质量和性能是否有改变。该指导原则推荐采用非模型依赖相似因子（</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）方法进行溶出度的对比研究，以确认变更前后产品质量是否一致。</w:t>
      </w:r>
    </w:p>
    <w:p w:rsidR="00F50C8B" w:rsidRPr="00F41376" w:rsidRDefault="00F50C8B" w:rsidP="00F50C8B">
      <w:pPr>
        <w:widowControl/>
        <w:spacing w:line="600" w:lineRule="exact"/>
        <w:ind w:firstLineChars="200" w:firstLine="640"/>
        <w:rPr>
          <w:rFonts w:eastAsia="黑体"/>
          <w:sz w:val="32"/>
          <w:szCs w:val="32"/>
        </w:rPr>
      </w:pPr>
      <w:r w:rsidRPr="00F41376">
        <w:rPr>
          <w:rFonts w:eastAsia="黑体"/>
          <w:sz w:val="32"/>
          <w:szCs w:val="32"/>
        </w:rPr>
        <w:t>七、体内生物等效性试验的豁免</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对于多规格药品，溶出度比较试验还可用于申请小剂量规格药品体内生物等效性试验的豁免。</w:t>
      </w:r>
    </w:p>
    <w:p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当药物具有线性动力学的特点且不同剂量规格药品处方组成比例相似时，可对最大剂量规格的药品开展生物等效性研究，</w:t>
      </w:r>
      <w:r w:rsidRPr="00F41376">
        <w:rPr>
          <w:rFonts w:eastAsia="仿宋_GB2312"/>
          <w:sz w:val="32"/>
          <w:szCs w:val="32"/>
        </w:rPr>
        <w:lastRenderedPageBreak/>
        <w:t>基于充分的溶出度比较试验，可以豁免小剂量规格药品的体内研究。处方组成比例相似性的判定可参见《已上市化学药品变更研究技术指导原则》中</w:t>
      </w:r>
      <w:r w:rsidRPr="00F41376">
        <w:rPr>
          <w:rFonts w:eastAsia="仿宋_GB2312"/>
          <w:sz w:val="32"/>
          <w:szCs w:val="32"/>
        </w:rPr>
        <w:t>“</w:t>
      </w:r>
      <w:r w:rsidRPr="00F41376">
        <w:rPr>
          <w:rFonts w:eastAsia="仿宋_GB2312"/>
          <w:sz w:val="32"/>
          <w:szCs w:val="32"/>
        </w:rPr>
        <w:t>变更药品处方中已有药用要求的辅料</w:t>
      </w:r>
      <w:r w:rsidRPr="00F41376">
        <w:rPr>
          <w:rFonts w:eastAsia="仿宋_GB2312"/>
          <w:sz w:val="32"/>
          <w:szCs w:val="32"/>
        </w:rPr>
        <w:t>”</w:t>
      </w:r>
      <w:r w:rsidRPr="00F41376">
        <w:rPr>
          <w:rFonts w:eastAsia="仿宋_GB2312"/>
          <w:sz w:val="32"/>
          <w:szCs w:val="32"/>
        </w:rPr>
        <w:t>项下的相应内容。新增规格药品生物等效豁免与否，取决于新增规格与原进行了关键生物等效性试验规格药品的溶出曲线比较结果及处方组成的相似性。溶出曲线的比较应采用本指导原则第五部分项下所述的方法进行测定和评价。</w:t>
      </w:r>
    </w:p>
    <w:p w:rsidR="00F50C8B" w:rsidRPr="00F41376" w:rsidRDefault="00F50C8B" w:rsidP="00F50C8B">
      <w:pPr>
        <w:widowControl/>
        <w:spacing w:line="360" w:lineRule="auto"/>
        <w:rPr>
          <w:rFonts w:eastAsia="仿宋_GB2312"/>
          <w:sz w:val="32"/>
          <w:szCs w:val="32"/>
        </w:rPr>
      </w:pPr>
    </w:p>
    <w:p w:rsidR="00F50C8B" w:rsidRPr="00F41376" w:rsidRDefault="00F50C8B" w:rsidP="00F50C8B">
      <w:pPr>
        <w:widowControl/>
        <w:spacing w:line="360" w:lineRule="auto"/>
        <w:rPr>
          <w:rFonts w:eastAsia="仿宋_GB2312"/>
          <w:sz w:val="32"/>
          <w:szCs w:val="32"/>
        </w:rPr>
      </w:pPr>
    </w:p>
    <w:p w:rsidR="00F50C8B" w:rsidRPr="00F41376" w:rsidRDefault="00F50C8B" w:rsidP="00F50C8B">
      <w:pPr>
        <w:widowControl/>
        <w:spacing w:line="360" w:lineRule="auto"/>
        <w:rPr>
          <w:rFonts w:eastAsia="仿宋_GB2312"/>
          <w:sz w:val="32"/>
          <w:szCs w:val="32"/>
        </w:rPr>
      </w:pPr>
    </w:p>
    <w:p w:rsidR="00F50C8B" w:rsidRPr="00F41376" w:rsidRDefault="00F50C8B" w:rsidP="00F50C8B">
      <w:pPr>
        <w:widowControl/>
        <w:spacing w:line="360" w:lineRule="auto"/>
        <w:rPr>
          <w:rFonts w:eastAsia="仿宋_GB2312"/>
          <w:sz w:val="32"/>
          <w:szCs w:val="32"/>
        </w:rPr>
      </w:pPr>
    </w:p>
    <w:p w:rsidR="00F50C8B" w:rsidRPr="00F41376" w:rsidRDefault="00F50C8B" w:rsidP="00F50C8B">
      <w:pPr>
        <w:widowControl/>
        <w:spacing w:line="360" w:lineRule="auto"/>
        <w:rPr>
          <w:rFonts w:eastAsia="仿宋_GB2312"/>
          <w:sz w:val="32"/>
          <w:szCs w:val="32"/>
        </w:rPr>
      </w:pPr>
    </w:p>
    <w:p w:rsidR="00F50C8B" w:rsidRPr="00F41376" w:rsidRDefault="00F50C8B" w:rsidP="00F50C8B">
      <w:pPr>
        <w:widowControl/>
        <w:spacing w:line="360" w:lineRule="auto"/>
        <w:rPr>
          <w:rFonts w:eastAsia="仿宋_GB2312"/>
          <w:sz w:val="32"/>
          <w:szCs w:val="32"/>
        </w:rPr>
      </w:pPr>
    </w:p>
    <w:p w:rsidR="00F50C8B" w:rsidRPr="00F41376" w:rsidRDefault="00F50C8B" w:rsidP="00F50C8B">
      <w:pPr>
        <w:widowControl/>
        <w:spacing w:line="360" w:lineRule="auto"/>
        <w:rPr>
          <w:rFonts w:eastAsia="仿宋_GB2312"/>
          <w:sz w:val="32"/>
          <w:szCs w:val="32"/>
        </w:rPr>
      </w:pPr>
    </w:p>
    <w:p w:rsidR="00F50C8B" w:rsidRPr="00F41376" w:rsidRDefault="00F50C8B" w:rsidP="00F50C8B">
      <w:pPr>
        <w:widowControl/>
        <w:spacing w:line="360" w:lineRule="auto"/>
        <w:rPr>
          <w:rFonts w:eastAsia="仿宋_GB2312"/>
          <w:sz w:val="32"/>
          <w:szCs w:val="32"/>
        </w:rPr>
      </w:pPr>
    </w:p>
    <w:p w:rsidR="00F50C8B" w:rsidRDefault="00F50C8B" w:rsidP="00F50C8B">
      <w:pPr>
        <w:widowControl/>
        <w:spacing w:line="360" w:lineRule="auto"/>
        <w:rPr>
          <w:rFonts w:eastAsia="仿宋_GB2312"/>
          <w:sz w:val="32"/>
          <w:szCs w:val="32"/>
        </w:rPr>
      </w:pPr>
    </w:p>
    <w:p w:rsidR="00F50C8B" w:rsidRDefault="00F50C8B" w:rsidP="00F50C8B">
      <w:pPr>
        <w:widowControl/>
        <w:spacing w:line="360" w:lineRule="auto"/>
        <w:rPr>
          <w:rFonts w:eastAsia="仿宋_GB2312"/>
          <w:sz w:val="32"/>
          <w:szCs w:val="32"/>
        </w:rPr>
      </w:pPr>
    </w:p>
    <w:p w:rsidR="00F50C8B" w:rsidRDefault="00F50C8B" w:rsidP="00F50C8B">
      <w:pPr>
        <w:widowControl/>
        <w:spacing w:line="360" w:lineRule="auto"/>
        <w:rPr>
          <w:rFonts w:eastAsia="仿宋_GB2312"/>
          <w:sz w:val="32"/>
          <w:szCs w:val="32"/>
        </w:rPr>
      </w:pPr>
    </w:p>
    <w:p w:rsidR="00F50C8B" w:rsidRDefault="00F50C8B" w:rsidP="00F50C8B">
      <w:pPr>
        <w:widowControl/>
        <w:spacing w:line="360" w:lineRule="auto"/>
        <w:rPr>
          <w:rFonts w:eastAsia="仿宋_GB2312"/>
          <w:sz w:val="32"/>
          <w:szCs w:val="32"/>
        </w:rPr>
      </w:pPr>
    </w:p>
    <w:p w:rsidR="00F50C8B" w:rsidRDefault="00F50C8B" w:rsidP="00F50C8B">
      <w:pPr>
        <w:widowControl/>
        <w:spacing w:line="360" w:lineRule="auto"/>
        <w:rPr>
          <w:rFonts w:eastAsia="仿宋_GB2312"/>
          <w:sz w:val="32"/>
          <w:szCs w:val="32"/>
        </w:rPr>
      </w:pPr>
    </w:p>
    <w:p w:rsidR="00F50C8B" w:rsidRDefault="00F50C8B" w:rsidP="00F50C8B">
      <w:pPr>
        <w:widowControl/>
        <w:spacing w:line="360" w:lineRule="auto"/>
        <w:rPr>
          <w:rFonts w:eastAsia="仿宋_GB2312"/>
          <w:sz w:val="32"/>
          <w:szCs w:val="32"/>
        </w:rPr>
      </w:pPr>
    </w:p>
    <w:p w:rsidR="00F50C8B" w:rsidRDefault="00F50C8B" w:rsidP="00F50C8B">
      <w:pPr>
        <w:widowControl/>
        <w:spacing w:line="360" w:lineRule="auto"/>
        <w:rPr>
          <w:rFonts w:eastAsia="仿宋_GB2312"/>
          <w:sz w:val="32"/>
          <w:szCs w:val="32"/>
        </w:rPr>
      </w:pPr>
    </w:p>
    <w:p w:rsidR="00F50C8B" w:rsidRPr="00F41376" w:rsidRDefault="00F50C8B" w:rsidP="00F50C8B">
      <w:pPr>
        <w:widowControl/>
        <w:spacing w:line="1200" w:lineRule="exact"/>
        <w:rPr>
          <w:rFonts w:eastAsia="仿宋_GB2312"/>
          <w:sz w:val="32"/>
          <w:szCs w:val="32"/>
        </w:rPr>
      </w:pPr>
    </w:p>
    <w:p w:rsidR="00F50C8B" w:rsidRPr="00F41376" w:rsidRDefault="00F50C8B" w:rsidP="00F50C8B">
      <w:pPr>
        <w:widowControl/>
        <w:spacing w:line="360" w:lineRule="auto"/>
        <w:jc w:val="center"/>
        <w:rPr>
          <w:rFonts w:eastAsia="方正小标宋简体"/>
          <w:sz w:val="44"/>
          <w:szCs w:val="44"/>
        </w:rPr>
      </w:pPr>
      <w:r w:rsidRPr="00F41376">
        <w:rPr>
          <w:rFonts w:eastAsia="方正小标宋简体"/>
          <w:sz w:val="44"/>
          <w:szCs w:val="44"/>
        </w:rPr>
        <w:t>附录溶出度试验条件</w:t>
      </w:r>
    </w:p>
    <w:p w:rsidR="00F50C8B" w:rsidRPr="00F41376" w:rsidRDefault="00F50C8B" w:rsidP="00F50C8B">
      <w:pPr>
        <w:widowControl/>
        <w:spacing w:line="360" w:lineRule="auto"/>
        <w:rPr>
          <w:rFonts w:eastAsia="黑体"/>
          <w:sz w:val="32"/>
          <w:szCs w:val="32"/>
        </w:rPr>
      </w:pPr>
    </w:p>
    <w:p w:rsidR="00F50C8B" w:rsidRPr="00F41376" w:rsidRDefault="00F50C8B" w:rsidP="00F50C8B">
      <w:pPr>
        <w:widowControl/>
        <w:spacing w:line="620" w:lineRule="exact"/>
        <w:ind w:firstLineChars="250" w:firstLine="800"/>
        <w:rPr>
          <w:rFonts w:eastAsia="黑体"/>
          <w:sz w:val="32"/>
          <w:szCs w:val="32"/>
        </w:rPr>
      </w:pPr>
      <w:r w:rsidRPr="00F41376">
        <w:rPr>
          <w:rFonts w:eastAsia="黑体"/>
          <w:sz w:val="32"/>
          <w:szCs w:val="32"/>
        </w:rPr>
        <w:t>一、仪器</w:t>
      </w:r>
    </w:p>
    <w:p w:rsidR="00F50C8B" w:rsidRPr="00F41376" w:rsidRDefault="00F50C8B" w:rsidP="00F50C8B">
      <w:pPr>
        <w:widowControl/>
        <w:spacing w:line="620" w:lineRule="exact"/>
        <w:ind w:firstLineChars="200" w:firstLine="640"/>
        <w:rPr>
          <w:rFonts w:eastAsia="仿宋_GB2312"/>
          <w:sz w:val="32"/>
          <w:szCs w:val="32"/>
        </w:rPr>
      </w:pPr>
      <w:proofErr w:type="gramStart"/>
      <w:r w:rsidRPr="00F41376">
        <w:rPr>
          <w:rFonts w:eastAsia="仿宋_GB2312"/>
          <w:sz w:val="32"/>
          <w:szCs w:val="32"/>
        </w:rPr>
        <w:t>篮法和桨法</w:t>
      </w:r>
      <w:proofErr w:type="gramEnd"/>
      <w:r w:rsidRPr="00F41376">
        <w:rPr>
          <w:rFonts w:eastAsia="仿宋_GB2312"/>
          <w:sz w:val="32"/>
          <w:szCs w:val="32"/>
        </w:rPr>
        <w:t>是目前最常用的溶出度测定方法，具有装置简单、耐用及标准化的特点，适用于大部分口服固体制剂。中国药典收载的小杯法可视为桨法，适用于低剂量规格固体制剂的溶出试验。</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通常应选用中国药典收载的方法，</w:t>
      </w:r>
      <w:proofErr w:type="gramStart"/>
      <w:r w:rsidRPr="00F41376">
        <w:rPr>
          <w:rFonts w:eastAsia="仿宋_GB2312"/>
          <w:sz w:val="32"/>
          <w:szCs w:val="32"/>
        </w:rPr>
        <w:t>如篮法</w:t>
      </w:r>
      <w:proofErr w:type="gramEnd"/>
      <w:r w:rsidRPr="00F41376">
        <w:rPr>
          <w:rFonts w:eastAsia="仿宋_GB2312"/>
          <w:sz w:val="32"/>
          <w:szCs w:val="32"/>
        </w:rPr>
        <w:t>和桨法，必要时可采用</w:t>
      </w:r>
      <w:proofErr w:type="gramStart"/>
      <w:r w:rsidRPr="00F41376">
        <w:rPr>
          <w:rFonts w:eastAsia="仿宋_GB2312"/>
          <w:sz w:val="32"/>
          <w:szCs w:val="32"/>
        </w:rPr>
        <w:t>往复筒法或流通池法进行</w:t>
      </w:r>
      <w:proofErr w:type="gramEnd"/>
      <w:r w:rsidRPr="00F41376">
        <w:rPr>
          <w:rFonts w:eastAsia="仿宋_GB2312"/>
          <w:sz w:val="32"/>
          <w:szCs w:val="32"/>
        </w:rPr>
        <w:t>体外溶出度试验。</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对于某些药品或剂型，必须采用专门的溶出装置时，应进行详细的论证，充分评价其必要性和可行性。首先应考虑对法定方法进行适当的改装，确定是否能满足质量控制的要求。随着对生命科学及药剂学的深入研究，可能需要对溶出度方法及试验条件进行改进，以保证获得更好的体内外相关性。</w:t>
      </w:r>
    </w:p>
    <w:p w:rsidR="00F50C8B" w:rsidRPr="00F41376" w:rsidRDefault="00F50C8B" w:rsidP="00F50C8B">
      <w:pPr>
        <w:widowControl/>
        <w:spacing w:line="620" w:lineRule="exact"/>
        <w:ind w:firstLineChars="200" w:firstLine="640"/>
        <w:rPr>
          <w:rFonts w:eastAsia="黑体"/>
          <w:sz w:val="32"/>
          <w:szCs w:val="32"/>
        </w:rPr>
      </w:pPr>
      <w:r w:rsidRPr="00F41376">
        <w:rPr>
          <w:rFonts w:eastAsia="黑体"/>
          <w:sz w:val="32"/>
          <w:szCs w:val="32"/>
        </w:rPr>
        <w:t>二、溶出介质</w:t>
      </w:r>
    </w:p>
    <w:p w:rsidR="00F50C8B" w:rsidRPr="00F41376" w:rsidRDefault="00F50C8B" w:rsidP="00F50C8B">
      <w:pPr>
        <w:widowControl/>
        <w:spacing w:line="620" w:lineRule="exact"/>
        <w:ind w:firstLineChars="150" w:firstLine="480"/>
        <w:rPr>
          <w:rFonts w:eastAsia="楷体_GB2312"/>
          <w:sz w:val="32"/>
          <w:szCs w:val="32"/>
        </w:rPr>
      </w:pPr>
      <w:r w:rsidRPr="00F41376">
        <w:rPr>
          <w:rFonts w:eastAsia="楷体_GB2312"/>
          <w:sz w:val="32"/>
          <w:szCs w:val="32"/>
        </w:rPr>
        <w:t>（一）溶出介质的选择</w:t>
      </w:r>
    </w:p>
    <w:p w:rsidR="00F50C8B"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溶出度试验应尽可能在生理条件下进行，这样可以从药品</w:t>
      </w:r>
      <w:proofErr w:type="gramStart"/>
      <w:r w:rsidRPr="00F41376">
        <w:rPr>
          <w:rFonts w:eastAsia="仿宋_GB2312"/>
          <w:sz w:val="32"/>
          <w:szCs w:val="32"/>
        </w:rPr>
        <w:t>体内行为</w:t>
      </w:r>
      <w:proofErr w:type="gramEnd"/>
      <w:r w:rsidRPr="00F41376">
        <w:rPr>
          <w:rFonts w:eastAsia="仿宋_GB2312"/>
          <w:sz w:val="32"/>
          <w:szCs w:val="32"/>
        </w:rPr>
        <w:t>的角度，更好地理解体外溶出数据。但常规的溶出度试验</w:t>
      </w:r>
    </w:p>
    <w:p w:rsidR="00F50C8B" w:rsidRDefault="00F50C8B" w:rsidP="00F50C8B">
      <w:pPr>
        <w:widowControl/>
        <w:spacing w:line="620" w:lineRule="exact"/>
        <w:rPr>
          <w:rFonts w:eastAsia="仿宋_GB2312"/>
          <w:sz w:val="32"/>
          <w:szCs w:val="32"/>
        </w:rPr>
      </w:pPr>
      <w:r w:rsidRPr="00F41376">
        <w:rPr>
          <w:rFonts w:eastAsia="仿宋_GB2312"/>
          <w:sz w:val="32"/>
          <w:szCs w:val="32"/>
        </w:rPr>
        <w:t>条件不需要与胃肠环境严格一致，应根据药物的理化性质和口服</w:t>
      </w:r>
    </w:p>
    <w:p w:rsidR="00F50C8B" w:rsidRPr="00F41376" w:rsidRDefault="00F50C8B" w:rsidP="00F50C8B">
      <w:pPr>
        <w:widowControl/>
        <w:spacing w:line="600" w:lineRule="exact"/>
        <w:rPr>
          <w:rFonts w:eastAsia="仿宋_GB2312"/>
          <w:sz w:val="32"/>
          <w:szCs w:val="32"/>
        </w:rPr>
      </w:pPr>
      <w:r w:rsidRPr="00F41376">
        <w:rPr>
          <w:rFonts w:eastAsia="仿宋_GB2312"/>
          <w:sz w:val="32"/>
          <w:szCs w:val="32"/>
        </w:rPr>
        <w:t>给药后可能的暴露条件确定适当的介质。</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lastRenderedPageBreak/>
        <w:t>溶出介质的体积一般为</w:t>
      </w:r>
      <w:r w:rsidRPr="00F41376">
        <w:rPr>
          <w:rFonts w:eastAsia="仿宋_GB2312"/>
          <w:sz w:val="32"/>
          <w:szCs w:val="32"/>
        </w:rPr>
        <w:t>500</w:t>
      </w:r>
      <w:r w:rsidRPr="00F41376">
        <w:rPr>
          <w:rFonts w:eastAsia="仿宋_GB2312"/>
          <w:sz w:val="32"/>
          <w:szCs w:val="32"/>
        </w:rPr>
        <w:t>、</w:t>
      </w:r>
      <w:r w:rsidRPr="00F41376">
        <w:rPr>
          <w:rFonts w:eastAsia="仿宋_GB2312"/>
          <w:sz w:val="32"/>
          <w:szCs w:val="32"/>
        </w:rPr>
        <w:t>900</w:t>
      </w:r>
      <w:r w:rsidRPr="00F41376">
        <w:rPr>
          <w:rFonts w:eastAsia="仿宋_GB2312"/>
          <w:sz w:val="32"/>
          <w:szCs w:val="32"/>
        </w:rPr>
        <w:t>或</w:t>
      </w:r>
      <w:r w:rsidRPr="00F41376">
        <w:rPr>
          <w:rFonts w:eastAsia="仿宋_GB2312"/>
          <w:sz w:val="32"/>
          <w:szCs w:val="32"/>
        </w:rPr>
        <w:t xml:space="preserve">1000 </w:t>
      </w:r>
      <w:proofErr w:type="spellStart"/>
      <w:r w:rsidRPr="00F41376">
        <w:rPr>
          <w:rFonts w:eastAsia="仿宋_GB2312"/>
          <w:sz w:val="32"/>
          <w:szCs w:val="32"/>
        </w:rPr>
        <w:t>mL</w:t>
      </w:r>
      <w:proofErr w:type="spellEnd"/>
      <w:r w:rsidRPr="00F41376">
        <w:rPr>
          <w:rFonts w:eastAsia="仿宋_GB2312"/>
          <w:sz w:val="32"/>
          <w:szCs w:val="32"/>
        </w:rPr>
        <w:t>，溶出介质的体积最好能满足漏槽条件，一般应采用</w:t>
      </w:r>
      <w:r w:rsidRPr="00F41376">
        <w:rPr>
          <w:rFonts w:eastAsia="仿宋_GB2312"/>
          <w:sz w:val="32"/>
          <w:szCs w:val="32"/>
        </w:rPr>
        <w:t>pH</w:t>
      </w:r>
      <w:r w:rsidRPr="00F41376">
        <w:rPr>
          <w:rFonts w:eastAsia="仿宋_GB2312"/>
          <w:sz w:val="32"/>
          <w:szCs w:val="32"/>
        </w:rPr>
        <w:t>值</w:t>
      </w:r>
      <w:r w:rsidRPr="00F41376">
        <w:rPr>
          <w:rFonts w:eastAsia="仿宋_GB2312"/>
          <w:sz w:val="32"/>
          <w:szCs w:val="32"/>
        </w:rPr>
        <w:t>1.2</w:t>
      </w:r>
      <w:r w:rsidRPr="00F41376">
        <w:rPr>
          <w:rFonts w:ascii="Cambria Math" w:eastAsia="Dotum" w:hAnsi="Cambria Math" w:cs="Cambria Math"/>
          <w:sz w:val="32"/>
          <w:szCs w:val="32"/>
        </w:rPr>
        <w:t>∼</w:t>
      </w:r>
      <w:r w:rsidRPr="00F41376">
        <w:rPr>
          <w:rFonts w:eastAsia="仿宋_GB2312"/>
          <w:sz w:val="32"/>
          <w:szCs w:val="32"/>
        </w:rPr>
        <w:t>6.8</w:t>
      </w:r>
      <w:r w:rsidRPr="00F41376">
        <w:rPr>
          <w:rFonts w:eastAsia="仿宋_GB2312"/>
          <w:sz w:val="32"/>
          <w:szCs w:val="32"/>
        </w:rPr>
        <w:t>的水性介质。可采用不含酶的</w:t>
      </w:r>
      <w:r w:rsidRPr="00F41376">
        <w:rPr>
          <w:rFonts w:eastAsia="仿宋_GB2312"/>
          <w:sz w:val="32"/>
          <w:szCs w:val="32"/>
        </w:rPr>
        <w:t>pH 1.2</w:t>
      </w:r>
      <w:r w:rsidRPr="00F41376">
        <w:rPr>
          <w:rFonts w:eastAsia="仿宋_GB2312"/>
          <w:sz w:val="32"/>
          <w:szCs w:val="32"/>
        </w:rPr>
        <w:t>、</w:t>
      </w:r>
      <w:r w:rsidRPr="00F41376">
        <w:rPr>
          <w:rFonts w:eastAsia="仿宋_GB2312"/>
          <w:sz w:val="32"/>
          <w:szCs w:val="32"/>
        </w:rPr>
        <w:t>6.8</w:t>
      </w:r>
      <w:r w:rsidRPr="00F41376">
        <w:rPr>
          <w:rFonts w:eastAsia="仿宋_GB2312"/>
          <w:sz w:val="32"/>
          <w:szCs w:val="32"/>
        </w:rPr>
        <w:t>的溶出介质作为人工胃液和人工肠液。特殊情况下，可采用高</w:t>
      </w:r>
      <w:r w:rsidRPr="00F41376">
        <w:rPr>
          <w:rFonts w:eastAsia="仿宋_GB2312"/>
          <w:sz w:val="32"/>
          <w:szCs w:val="32"/>
        </w:rPr>
        <w:t>pH</w:t>
      </w:r>
      <w:r w:rsidRPr="00F41376">
        <w:rPr>
          <w:rFonts w:eastAsia="仿宋_GB2312"/>
          <w:sz w:val="32"/>
          <w:szCs w:val="32"/>
        </w:rPr>
        <w:t>的溶出介质，但一般不应超过</w:t>
      </w:r>
      <w:r w:rsidRPr="00F41376">
        <w:rPr>
          <w:rFonts w:eastAsia="仿宋_GB2312"/>
          <w:sz w:val="32"/>
          <w:szCs w:val="32"/>
        </w:rPr>
        <w:t>pH 8.0</w:t>
      </w:r>
      <w:r w:rsidRPr="00F41376">
        <w:rPr>
          <w:rFonts w:eastAsia="仿宋_GB2312"/>
          <w:sz w:val="32"/>
          <w:szCs w:val="32"/>
        </w:rPr>
        <w:t>。</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有研究表明，胶囊制剂在贮存过程中，由于明胶的交联作用可能会形成膜壳，因此可能需要在介质中加入胃蛋白酶或胰酶，以促使药物的溶出。但应根据具体情况考虑是否在人工胃液或人工肠液中加入酶，并充分证明其合理性。</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另外，尽量不采用水作为溶出介质，因为其</w:t>
      </w:r>
      <w:r w:rsidRPr="00F41376">
        <w:rPr>
          <w:rFonts w:eastAsia="仿宋_GB2312"/>
          <w:sz w:val="32"/>
          <w:szCs w:val="32"/>
        </w:rPr>
        <w:t>pH</w:t>
      </w:r>
      <w:r w:rsidRPr="00F41376">
        <w:rPr>
          <w:rFonts w:eastAsia="仿宋_GB2312"/>
          <w:sz w:val="32"/>
          <w:szCs w:val="32"/>
        </w:rPr>
        <w:t>值和表面张力可能随水的来源不同而不同，且在试验过程中也可能由于药物、辅料的影响而有所改变。对于不溶于水或难溶于水的药物，可考虑在溶出介质中加入十二烷基硫酸钠或其他适当的表面活性剂，但需充分论证加入的必要性和加入量的合理性。另外，由于表面活性剂的质量可能存在明显差异，应注意不同质量的表面活性剂对试验结果带来的显著影响。使用标准化的或高纯度的表面活性剂可避免上述影响。</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不建议在溶出介质中使用有机溶剂。</w:t>
      </w:r>
    </w:p>
    <w:p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某些药物制剂和组分对溶出介质中溶解的空气较为敏感，因此需要进行脱气处理。</w:t>
      </w:r>
    </w:p>
    <w:p w:rsidR="00F50C8B" w:rsidRPr="00F41376" w:rsidRDefault="00F50C8B" w:rsidP="00F50C8B">
      <w:pPr>
        <w:widowControl/>
        <w:spacing w:line="640" w:lineRule="exact"/>
        <w:ind w:firstLineChars="150" w:firstLine="480"/>
        <w:rPr>
          <w:rFonts w:eastAsia="仿宋_GB2312"/>
          <w:sz w:val="32"/>
          <w:szCs w:val="32"/>
        </w:rPr>
      </w:pPr>
      <w:r w:rsidRPr="00F41376">
        <w:rPr>
          <w:rFonts w:eastAsia="楷体_GB2312"/>
          <w:sz w:val="32"/>
          <w:szCs w:val="32"/>
        </w:rPr>
        <w:t>（二）溶出介质的配制</w:t>
      </w:r>
    </w:p>
    <w:p w:rsidR="00F50C8B" w:rsidRPr="00F41376" w:rsidRDefault="00F50C8B" w:rsidP="00F50C8B">
      <w:pPr>
        <w:widowControl/>
        <w:spacing w:line="360" w:lineRule="auto"/>
        <w:ind w:firstLineChars="950" w:firstLine="3040"/>
        <w:rPr>
          <w:rFonts w:eastAsia="仿宋_GB2312"/>
          <w:sz w:val="32"/>
          <w:szCs w:val="32"/>
        </w:rPr>
      </w:pPr>
      <w:r w:rsidRPr="00F41376">
        <w:rPr>
          <w:rFonts w:eastAsia="仿宋_GB2312"/>
          <w:sz w:val="32"/>
          <w:szCs w:val="32"/>
        </w:rPr>
        <w:lastRenderedPageBreak/>
        <w:t>表</w:t>
      </w:r>
      <w:r w:rsidRPr="00F41376">
        <w:rPr>
          <w:rFonts w:eastAsia="仿宋_GB2312"/>
          <w:sz w:val="32"/>
          <w:szCs w:val="32"/>
        </w:rPr>
        <w:t xml:space="preserve"> 1  </w:t>
      </w:r>
      <w:r w:rsidRPr="00F41376">
        <w:rPr>
          <w:rFonts w:eastAsia="仿宋_GB2312"/>
          <w:sz w:val="32"/>
          <w:szCs w:val="32"/>
        </w:rPr>
        <w:t>溶出介质</w:t>
      </w:r>
    </w:p>
    <w:tbl>
      <w:tblPr>
        <w:tblW w:w="0" w:type="auto"/>
        <w:jc w:val="center"/>
        <w:tblInd w:w="-781" w:type="dxa"/>
        <w:tblBorders>
          <w:top w:val="single" w:sz="12" w:space="0" w:color="008000"/>
          <w:bottom w:val="single" w:sz="12" w:space="0" w:color="008000"/>
        </w:tblBorders>
        <w:tblLook w:val="01E0"/>
      </w:tblPr>
      <w:tblGrid>
        <w:gridCol w:w="1954"/>
        <w:gridCol w:w="3576"/>
      </w:tblGrid>
      <w:tr w:rsidR="00F50C8B" w:rsidRPr="00F41376" w:rsidTr="001F4D71">
        <w:trPr>
          <w:trHeight w:val="442"/>
          <w:jc w:val="center"/>
        </w:trPr>
        <w:tc>
          <w:tcPr>
            <w:tcW w:w="1954" w:type="dxa"/>
            <w:tcBorders>
              <w:bottom w:val="single" w:sz="6" w:space="0" w:color="008000"/>
            </w:tcBorders>
            <w:shd w:val="clear" w:color="auto" w:fill="auto"/>
            <w:vAlign w:val="center"/>
          </w:tcPr>
          <w:p w:rsidR="00F50C8B" w:rsidRPr="00F41376" w:rsidRDefault="00F50C8B" w:rsidP="001F4D71">
            <w:pPr>
              <w:snapToGrid w:val="0"/>
              <w:spacing w:line="360" w:lineRule="auto"/>
              <w:ind w:firstLineChars="100" w:firstLine="278"/>
              <w:rPr>
                <w:rFonts w:eastAsia="仿宋_GB2312"/>
                <w:spacing w:val="-1"/>
                <w:sz w:val="28"/>
                <w:szCs w:val="28"/>
              </w:rPr>
            </w:pPr>
            <w:r w:rsidRPr="00F41376">
              <w:rPr>
                <w:rFonts w:eastAsia="仿宋_GB2312"/>
                <w:spacing w:val="-1"/>
                <w:sz w:val="28"/>
                <w:szCs w:val="28"/>
              </w:rPr>
              <w:t>pH</w:t>
            </w:r>
            <w:r w:rsidRPr="00F41376">
              <w:rPr>
                <w:rFonts w:eastAsia="仿宋_GB2312"/>
                <w:spacing w:val="-1"/>
                <w:sz w:val="28"/>
                <w:szCs w:val="28"/>
              </w:rPr>
              <w:t>值</w:t>
            </w:r>
          </w:p>
        </w:tc>
        <w:tc>
          <w:tcPr>
            <w:tcW w:w="3576" w:type="dxa"/>
            <w:tcBorders>
              <w:bottom w:val="single" w:sz="6" w:space="0" w:color="008000"/>
            </w:tcBorders>
            <w:shd w:val="clear" w:color="auto" w:fill="auto"/>
            <w:vAlign w:val="center"/>
          </w:tcPr>
          <w:p w:rsidR="00F50C8B" w:rsidRPr="00F41376" w:rsidRDefault="00F50C8B" w:rsidP="001F4D71">
            <w:pPr>
              <w:snapToGrid w:val="0"/>
              <w:spacing w:line="360" w:lineRule="auto"/>
              <w:ind w:firstLineChars="300" w:firstLine="834"/>
              <w:rPr>
                <w:rFonts w:eastAsia="仿宋_GB2312"/>
                <w:spacing w:val="-1"/>
                <w:sz w:val="28"/>
                <w:szCs w:val="28"/>
              </w:rPr>
            </w:pPr>
            <w:r w:rsidRPr="00F41376">
              <w:rPr>
                <w:rFonts w:eastAsia="仿宋_GB2312"/>
                <w:spacing w:val="-1"/>
                <w:sz w:val="28"/>
                <w:szCs w:val="28"/>
              </w:rPr>
              <w:t>溶出介质</w:t>
            </w:r>
          </w:p>
        </w:tc>
      </w:tr>
      <w:tr w:rsidR="00F50C8B" w:rsidRPr="00F41376" w:rsidTr="001F4D71">
        <w:trPr>
          <w:trHeight w:val="442"/>
          <w:jc w:val="center"/>
        </w:trPr>
        <w:tc>
          <w:tcPr>
            <w:tcW w:w="1954" w:type="dxa"/>
            <w:shd w:val="clear" w:color="auto" w:fill="auto"/>
            <w:vAlign w:val="center"/>
          </w:tcPr>
          <w:p w:rsidR="00F50C8B" w:rsidRPr="00F41376" w:rsidRDefault="00F50C8B" w:rsidP="001F4D71">
            <w:pPr>
              <w:snapToGrid w:val="0"/>
              <w:spacing w:line="360" w:lineRule="auto"/>
              <w:rPr>
                <w:rFonts w:eastAsia="仿宋_GB2312"/>
                <w:spacing w:val="-1"/>
                <w:sz w:val="28"/>
                <w:szCs w:val="28"/>
              </w:rPr>
            </w:pPr>
            <w:r w:rsidRPr="00F41376">
              <w:rPr>
                <w:rFonts w:eastAsia="仿宋_GB2312"/>
                <w:spacing w:val="-1"/>
                <w:sz w:val="28"/>
                <w:szCs w:val="28"/>
              </w:rPr>
              <w:t>1.0</w:t>
            </w:r>
            <w:r w:rsidRPr="00F41376">
              <w:rPr>
                <w:rFonts w:eastAsia="仿宋_GB2312"/>
                <w:spacing w:val="-1"/>
                <w:sz w:val="28"/>
                <w:szCs w:val="28"/>
              </w:rPr>
              <w:sym w:font="Symbol" w:char="F07E"/>
            </w:r>
            <w:r w:rsidRPr="00F41376">
              <w:rPr>
                <w:rFonts w:eastAsia="仿宋_GB2312"/>
                <w:spacing w:val="-1"/>
                <w:sz w:val="28"/>
                <w:szCs w:val="28"/>
              </w:rPr>
              <w:t>2.2</w:t>
            </w:r>
          </w:p>
        </w:tc>
        <w:tc>
          <w:tcPr>
            <w:tcW w:w="3576" w:type="dxa"/>
            <w:shd w:val="clear" w:color="auto" w:fill="auto"/>
            <w:vAlign w:val="center"/>
          </w:tcPr>
          <w:p w:rsidR="00F50C8B" w:rsidRPr="00F41376" w:rsidRDefault="00F50C8B" w:rsidP="001F4D71">
            <w:pPr>
              <w:snapToGrid w:val="0"/>
              <w:spacing w:line="360" w:lineRule="auto"/>
              <w:ind w:leftChars="50" w:left="105" w:firstLineChars="250" w:firstLine="695"/>
              <w:rPr>
                <w:rFonts w:eastAsia="仿宋_GB2312"/>
                <w:spacing w:val="-1"/>
                <w:sz w:val="28"/>
                <w:szCs w:val="28"/>
              </w:rPr>
            </w:pPr>
            <w:r w:rsidRPr="00F41376">
              <w:rPr>
                <w:rFonts w:eastAsia="仿宋_GB2312"/>
                <w:spacing w:val="-1"/>
                <w:sz w:val="28"/>
                <w:szCs w:val="28"/>
              </w:rPr>
              <w:t>盐酸溶液</w:t>
            </w:r>
          </w:p>
        </w:tc>
      </w:tr>
      <w:tr w:rsidR="00F50C8B" w:rsidRPr="00F41376" w:rsidTr="001F4D71">
        <w:trPr>
          <w:trHeight w:val="442"/>
          <w:jc w:val="center"/>
        </w:trPr>
        <w:tc>
          <w:tcPr>
            <w:tcW w:w="1954" w:type="dxa"/>
            <w:shd w:val="clear" w:color="auto" w:fill="auto"/>
            <w:vAlign w:val="center"/>
          </w:tcPr>
          <w:p w:rsidR="00F50C8B" w:rsidRPr="00F41376" w:rsidRDefault="00F50C8B" w:rsidP="001F4D71">
            <w:pPr>
              <w:snapToGrid w:val="0"/>
              <w:spacing w:line="360" w:lineRule="auto"/>
              <w:rPr>
                <w:rFonts w:eastAsia="仿宋_GB2312"/>
                <w:spacing w:val="-1"/>
                <w:sz w:val="28"/>
                <w:szCs w:val="28"/>
              </w:rPr>
            </w:pPr>
            <w:r w:rsidRPr="00F41376">
              <w:rPr>
                <w:rFonts w:eastAsia="仿宋_GB2312"/>
                <w:spacing w:val="-1"/>
                <w:sz w:val="28"/>
                <w:szCs w:val="28"/>
              </w:rPr>
              <w:t xml:space="preserve">3.8 </w:t>
            </w:r>
            <w:r w:rsidRPr="00F41376">
              <w:rPr>
                <w:rFonts w:eastAsia="仿宋_GB2312"/>
                <w:spacing w:val="-1"/>
                <w:sz w:val="28"/>
                <w:szCs w:val="28"/>
              </w:rPr>
              <w:t>、</w:t>
            </w:r>
            <w:r w:rsidRPr="00F41376">
              <w:rPr>
                <w:rFonts w:eastAsia="仿宋_GB2312"/>
                <w:spacing w:val="-1"/>
                <w:sz w:val="28"/>
                <w:szCs w:val="28"/>
              </w:rPr>
              <w:t>4.0</w:t>
            </w:r>
          </w:p>
        </w:tc>
        <w:tc>
          <w:tcPr>
            <w:tcW w:w="3576" w:type="dxa"/>
            <w:shd w:val="clear" w:color="auto" w:fill="auto"/>
            <w:vAlign w:val="center"/>
          </w:tcPr>
          <w:p w:rsidR="00F50C8B" w:rsidRPr="00F41376" w:rsidRDefault="00F50C8B" w:rsidP="001F4D71">
            <w:pPr>
              <w:snapToGrid w:val="0"/>
              <w:spacing w:line="360" w:lineRule="auto"/>
              <w:ind w:leftChars="50" w:left="105" w:firstLineChars="150" w:firstLine="417"/>
              <w:rPr>
                <w:rFonts w:eastAsia="仿宋_GB2312"/>
                <w:spacing w:val="-1"/>
                <w:sz w:val="28"/>
                <w:szCs w:val="28"/>
              </w:rPr>
            </w:pPr>
            <w:r w:rsidRPr="00F41376">
              <w:rPr>
                <w:rFonts w:eastAsia="仿宋_GB2312"/>
                <w:spacing w:val="-1"/>
                <w:sz w:val="28"/>
                <w:szCs w:val="28"/>
              </w:rPr>
              <w:t>醋酸盐缓冲液</w:t>
            </w:r>
          </w:p>
        </w:tc>
      </w:tr>
      <w:tr w:rsidR="00F50C8B" w:rsidRPr="00F41376" w:rsidTr="001F4D71">
        <w:trPr>
          <w:trHeight w:val="442"/>
          <w:jc w:val="center"/>
        </w:trPr>
        <w:tc>
          <w:tcPr>
            <w:tcW w:w="1954" w:type="dxa"/>
            <w:shd w:val="clear" w:color="auto" w:fill="auto"/>
            <w:vAlign w:val="center"/>
          </w:tcPr>
          <w:p w:rsidR="00F50C8B" w:rsidRPr="00F41376" w:rsidRDefault="00F50C8B" w:rsidP="001F4D71">
            <w:pPr>
              <w:snapToGrid w:val="0"/>
              <w:spacing w:line="360" w:lineRule="auto"/>
              <w:rPr>
                <w:rFonts w:eastAsia="仿宋_GB2312"/>
                <w:spacing w:val="-1"/>
                <w:sz w:val="28"/>
                <w:szCs w:val="28"/>
              </w:rPr>
            </w:pPr>
            <w:r w:rsidRPr="00F41376">
              <w:rPr>
                <w:rFonts w:eastAsia="仿宋_GB2312"/>
                <w:spacing w:val="-1"/>
                <w:sz w:val="28"/>
                <w:szCs w:val="28"/>
              </w:rPr>
              <w:t>4.5</w:t>
            </w:r>
            <w:r w:rsidRPr="00F41376">
              <w:rPr>
                <w:rFonts w:eastAsia="仿宋_GB2312"/>
                <w:spacing w:val="-1"/>
                <w:sz w:val="28"/>
                <w:szCs w:val="28"/>
              </w:rPr>
              <w:sym w:font="Symbol" w:char="F07E"/>
            </w:r>
            <w:r w:rsidRPr="00F41376">
              <w:rPr>
                <w:rFonts w:eastAsia="仿宋_GB2312"/>
                <w:spacing w:val="-1"/>
                <w:sz w:val="28"/>
                <w:szCs w:val="28"/>
              </w:rPr>
              <w:t>5.8</w:t>
            </w:r>
          </w:p>
        </w:tc>
        <w:tc>
          <w:tcPr>
            <w:tcW w:w="3576" w:type="dxa"/>
            <w:shd w:val="clear" w:color="auto" w:fill="auto"/>
            <w:vAlign w:val="center"/>
          </w:tcPr>
          <w:p w:rsidR="00F50C8B" w:rsidRPr="00F41376" w:rsidRDefault="00F50C8B" w:rsidP="001F4D71">
            <w:pPr>
              <w:snapToGrid w:val="0"/>
              <w:spacing w:line="360" w:lineRule="auto"/>
              <w:ind w:leftChars="50" w:left="105"/>
              <w:rPr>
                <w:rFonts w:eastAsia="仿宋_GB2312"/>
                <w:spacing w:val="-1"/>
                <w:sz w:val="28"/>
                <w:szCs w:val="28"/>
              </w:rPr>
            </w:pPr>
            <w:r w:rsidRPr="00F41376">
              <w:rPr>
                <w:rFonts w:eastAsia="仿宋_GB2312"/>
                <w:spacing w:val="-1"/>
                <w:sz w:val="28"/>
                <w:szCs w:val="28"/>
              </w:rPr>
              <w:t>醋酸盐或磷酸盐缓冲液</w:t>
            </w:r>
          </w:p>
        </w:tc>
      </w:tr>
      <w:tr w:rsidR="00F50C8B" w:rsidRPr="00F41376" w:rsidTr="001F4D71">
        <w:trPr>
          <w:trHeight w:val="442"/>
          <w:jc w:val="center"/>
        </w:trPr>
        <w:tc>
          <w:tcPr>
            <w:tcW w:w="1954" w:type="dxa"/>
            <w:tcBorders>
              <w:top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 w:val="28"/>
                <w:szCs w:val="28"/>
              </w:rPr>
            </w:pPr>
            <w:r w:rsidRPr="00F41376">
              <w:rPr>
                <w:rFonts w:eastAsia="仿宋_GB2312"/>
                <w:spacing w:val="-1"/>
                <w:sz w:val="28"/>
                <w:szCs w:val="28"/>
              </w:rPr>
              <w:t>6.8</w:t>
            </w:r>
            <w:r w:rsidRPr="00F41376">
              <w:rPr>
                <w:rFonts w:eastAsia="仿宋_GB2312"/>
                <w:spacing w:val="-1"/>
                <w:sz w:val="28"/>
                <w:szCs w:val="28"/>
              </w:rPr>
              <w:sym w:font="Symbol" w:char="F07E"/>
            </w:r>
            <w:r w:rsidRPr="00F41376">
              <w:rPr>
                <w:rFonts w:eastAsia="仿宋_GB2312"/>
                <w:spacing w:val="-1"/>
                <w:sz w:val="28"/>
                <w:szCs w:val="28"/>
              </w:rPr>
              <w:t>8.0</w:t>
            </w:r>
          </w:p>
        </w:tc>
        <w:tc>
          <w:tcPr>
            <w:tcW w:w="3576" w:type="dxa"/>
            <w:tcBorders>
              <w:top w:val="single" w:sz="6" w:space="0" w:color="008000"/>
            </w:tcBorders>
            <w:shd w:val="clear" w:color="auto" w:fill="auto"/>
            <w:vAlign w:val="center"/>
          </w:tcPr>
          <w:p w:rsidR="00F50C8B" w:rsidRPr="00F41376" w:rsidRDefault="00F50C8B" w:rsidP="001F4D71">
            <w:pPr>
              <w:snapToGrid w:val="0"/>
              <w:spacing w:line="360" w:lineRule="auto"/>
              <w:ind w:leftChars="50" w:left="105" w:firstLineChars="150" w:firstLine="417"/>
              <w:rPr>
                <w:rFonts w:eastAsia="仿宋_GB2312"/>
                <w:spacing w:val="-1"/>
                <w:sz w:val="28"/>
                <w:szCs w:val="28"/>
              </w:rPr>
            </w:pPr>
            <w:r w:rsidRPr="00F41376">
              <w:rPr>
                <w:rFonts w:eastAsia="仿宋_GB2312"/>
                <w:spacing w:val="-1"/>
                <w:sz w:val="28"/>
                <w:szCs w:val="28"/>
              </w:rPr>
              <w:t>磷酸盐缓冲液</w:t>
            </w:r>
          </w:p>
        </w:tc>
      </w:tr>
    </w:tbl>
    <w:p w:rsidR="00F50C8B" w:rsidRPr="00F41376" w:rsidRDefault="00F50C8B" w:rsidP="00F50C8B">
      <w:pPr>
        <w:widowControl/>
        <w:spacing w:line="280" w:lineRule="exact"/>
        <w:rPr>
          <w:rFonts w:eastAsia="仿宋_GB2312"/>
          <w:sz w:val="24"/>
        </w:rPr>
      </w:pPr>
    </w:p>
    <w:p w:rsidR="00F50C8B" w:rsidRPr="00F41376" w:rsidRDefault="00F50C8B" w:rsidP="00F50C8B">
      <w:pPr>
        <w:widowControl/>
        <w:spacing w:line="360" w:lineRule="auto"/>
        <w:ind w:firstLineChars="150" w:firstLine="480"/>
        <w:rPr>
          <w:rFonts w:eastAsia="仿宋_GB2312"/>
          <w:sz w:val="32"/>
          <w:szCs w:val="32"/>
        </w:rPr>
      </w:pPr>
      <w:r w:rsidRPr="00F41376">
        <w:rPr>
          <w:rFonts w:eastAsia="仿宋_GB2312"/>
          <w:sz w:val="32"/>
          <w:szCs w:val="32"/>
        </w:rPr>
        <w:t>上述各溶出介质的组成和配制详述如下：</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．盐酸溶液</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取下表中规定量的盐酸，加水稀释至</w:t>
      </w:r>
      <w:r w:rsidRPr="00F41376">
        <w:rPr>
          <w:rFonts w:eastAsia="仿宋_GB2312"/>
          <w:sz w:val="32"/>
          <w:szCs w:val="32"/>
        </w:rPr>
        <w:t>1000mL</w:t>
      </w:r>
      <w:r w:rsidRPr="00F41376">
        <w:rPr>
          <w:rFonts w:eastAsia="仿宋_GB2312"/>
          <w:sz w:val="32"/>
          <w:szCs w:val="32"/>
        </w:rPr>
        <w:t>，摇匀，即得。</w:t>
      </w:r>
    </w:p>
    <w:p w:rsidR="00F50C8B" w:rsidRPr="00F41376" w:rsidRDefault="00F50C8B" w:rsidP="00F50C8B">
      <w:pPr>
        <w:widowControl/>
        <w:spacing w:line="360" w:lineRule="auto"/>
        <w:jc w:val="center"/>
        <w:rPr>
          <w:rFonts w:eastAsia="仿宋_GB2312"/>
          <w:sz w:val="32"/>
          <w:szCs w:val="32"/>
        </w:rPr>
      </w:pPr>
      <w:r w:rsidRPr="00F41376">
        <w:rPr>
          <w:rFonts w:eastAsia="仿宋_GB2312"/>
          <w:sz w:val="32"/>
          <w:szCs w:val="32"/>
        </w:rPr>
        <w:t>表</w:t>
      </w:r>
      <w:r w:rsidRPr="00F41376">
        <w:rPr>
          <w:rFonts w:eastAsia="仿宋_GB2312"/>
          <w:sz w:val="32"/>
          <w:szCs w:val="32"/>
        </w:rPr>
        <w:t xml:space="preserve">2  </w:t>
      </w:r>
      <w:r w:rsidRPr="00F41376">
        <w:rPr>
          <w:rFonts w:eastAsia="仿宋_GB2312"/>
          <w:sz w:val="32"/>
          <w:szCs w:val="32"/>
        </w:rPr>
        <w:t>盐酸溶液的配制</w:t>
      </w:r>
    </w:p>
    <w:tbl>
      <w:tblPr>
        <w:tblW w:w="0" w:type="auto"/>
        <w:jc w:val="center"/>
        <w:tblBorders>
          <w:top w:val="single" w:sz="12" w:space="0" w:color="008000"/>
          <w:bottom w:val="single" w:sz="12" w:space="0" w:color="008000"/>
        </w:tblBorders>
        <w:tblLayout w:type="fixed"/>
        <w:tblLook w:val="01E0"/>
      </w:tblPr>
      <w:tblGrid>
        <w:gridCol w:w="817"/>
        <w:gridCol w:w="677"/>
        <w:gridCol w:w="677"/>
        <w:gridCol w:w="678"/>
        <w:gridCol w:w="677"/>
        <w:gridCol w:w="678"/>
        <w:gridCol w:w="677"/>
        <w:gridCol w:w="677"/>
        <w:gridCol w:w="678"/>
        <w:gridCol w:w="677"/>
        <w:gridCol w:w="678"/>
        <w:gridCol w:w="677"/>
        <w:gridCol w:w="678"/>
      </w:tblGrid>
      <w:tr w:rsidR="00F50C8B" w:rsidRPr="00F41376" w:rsidTr="001F4D71">
        <w:trPr>
          <w:trHeight w:val="340"/>
          <w:jc w:val="center"/>
        </w:trPr>
        <w:tc>
          <w:tcPr>
            <w:tcW w:w="81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pH</w:t>
            </w:r>
            <w:r w:rsidRPr="00F41376">
              <w:rPr>
                <w:rFonts w:eastAsia="仿宋_GB2312"/>
                <w:spacing w:val="-1"/>
                <w:szCs w:val="21"/>
              </w:rPr>
              <w:t>值</w:t>
            </w:r>
          </w:p>
        </w:tc>
        <w:tc>
          <w:tcPr>
            <w:tcW w:w="67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1.0</w:t>
            </w:r>
          </w:p>
        </w:tc>
        <w:tc>
          <w:tcPr>
            <w:tcW w:w="67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1.2</w:t>
            </w:r>
          </w:p>
        </w:tc>
        <w:tc>
          <w:tcPr>
            <w:tcW w:w="678"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1.3</w:t>
            </w:r>
          </w:p>
        </w:tc>
        <w:tc>
          <w:tcPr>
            <w:tcW w:w="67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1.4</w:t>
            </w:r>
          </w:p>
        </w:tc>
        <w:tc>
          <w:tcPr>
            <w:tcW w:w="678"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1.5</w:t>
            </w:r>
          </w:p>
        </w:tc>
        <w:tc>
          <w:tcPr>
            <w:tcW w:w="67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1.6</w:t>
            </w:r>
          </w:p>
        </w:tc>
        <w:tc>
          <w:tcPr>
            <w:tcW w:w="67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1.7</w:t>
            </w:r>
          </w:p>
        </w:tc>
        <w:tc>
          <w:tcPr>
            <w:tcW w:w="678"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1.8</w:t>
            </w:r>
          </w:p>
        </w:tc>
        <w:tc>
          <w:tcPr>
            <w:tcW w:w="67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1.9</w:t>
            </w:r>
          </w:p>
        </w:tc>
        <w:tc>
          <w:tcPr>
            <w:tcW w:w="678"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2.0</w:t>
            </w:r>
          </w:p>
        </w:tc>
        <w:tc>
          <w:tcPr>
            <w:tcW w:w="677"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2.1</w:t>
            </w:r>
          </w:p>
        </w:tc>
        <w:tc>
          <w:tcPr>
            <w:tcW w:w="678" w:type="dxa"/>
            <w:tcBorders>
              <w:bottom w:val="single" w:sz="6" w:space="0" w:color="008000"/>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2.2</w:t>
            </w:r>
          </w:p>
        </w:tc>
      </w:tr>
      <w:tr w:rsidR="00F50C8B" w:rsidRPr="00F41376" w:rsidTr="001F4D71">
        <w:trPr>
          <w:trHeight w:val="340"/>
          <w:jc w:val="center"/>
        </w:trPr>
        <w:tc>
          <w:tcPr>
            <w:tcW w:w="817" w:type="dxa"/>
            <w:tcBorders>
              <w:top w:val="single" w:sz="6" w:space="0" w:color="008000"/>
            </w:tcBorders>
            <w:shd w:val="clear" w:color="auto" w:fill="auto"/>
            <w:vAlign w:val="center"/>
          </w:tcPr>
          <w:p w:rsidR="00F50C8B" w:rsidRPr="00F41376" w:rsidRDefault="00F50C8B" w:rsidP="001F4D71">
            <w:pPr>
              <w:snapToGrid w:val="0"/>
              <w:spacing w:line="300" w:lineRule="exact"/>
              <w:jc w:val="center"/>
              <w:rPr>
                <w:rFonts w:eastAsia="仿宋_GB2312"/>
                <w:spacing w:val="-1"/>
                <w:szCs w:val="21"/>
              </w:rPr>
            </w:pPr>
            <w:r w:rsidRPr="00F41376">
              <w:rPr>
                <w:rFonts w:eastAsia="仿宋_GB2312"/>
                <w:spacing w:val="-1"/>
                <w:szCs w:val="21"/>
              </w:rPr>
              <w:t>盐酸</w:t>
            </w:r>
          </w:p>
          <w:p w:rsidR="00F50C8B" w:rsidRPr="00F41376" w:rsidRDefault="00F50C8B" w:rsidP="001F4D71">
            <w:pPr>
              <w:snapToGrid w:val="0"/>
              <w:spacing w:line="300" w:lineRule="exact"/>
              <w:jc w:val="center"/>
              <w:rPr>
                <w:rFonts w:eastAsia="仿宋_GB2312"/>
                <w:spacing w:val="-1"/>
                <w:szCs w:val="21"/>
              </w:rPr>
            </w:pPr>
            <w:r w:rsidRPr="00F41376">
              <w:rPr>
                <w:rFonts w:eastAsia="仿宋_GB2312"/>
                <w:spacing w:val="-1"/>
                <w:szCs w:val="21"/>
              </w:rPr>
              <w:t>(</w:t>
            </w:r>
            <w:proofErr w:type="spellStart"/>
            <w:r w:rsidRPr="00F41376">
              <w:rPr>
                <w:rFonts w:eastAsia="仿宋_GB2312"/>
                <w:spacing w:val="-1"/>
                <w:szCs w:val="21"/>
              </w:rPr>
              <w:t>mL</w:t>
            </w:r>
            <w:proofErr w:type="spellEnd"/>
            <w:r w:rsidRPr="00F41376">
              <w:rPr>
                <w:rFonts w:eastAsia="仿宋_GB2312"/>
                <w:spacing w:val="-1"/>
                <w:szCs w:val="21"/>
              </w:rPr>
              <w:t>)</w:t>
            </w:r>
          </w:p>
        </w:tc>
        <w:tc>
          <w:tcPr>
            <w:tcW w:w="677"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9.00</w:t>
            </w:r>
          </w:p>
        </w:tc>
        <w:tc>
          <w:tcPr>
            <w:tcW w:w="677"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7.65</w:t>
            </w:r>
          </w:p>
        </w:tc>
        <w:tc>
          <w:tcPr>
            <w:tcW w:w="678"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6.05</w:t>
            </w:r>
          </w:p>
        </w:tc>
        <w:tc>
          <w:tcPr>
            <w:tcW w:w="677"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4.79</w:t>
            </w:r>
          </w:p>
        </w:tc>
        <w:tc>
          <w:tcPr>
            <w:tcW w:w="678"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3.73</w:t>
            </w:r>
          </w:p>
        </w:tc>
        <w:tc>
          <w:tcPr>
            <w:tcW w:w="677"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2.92</w:t>
            </w:r>
          </w:p>
        </w:tc>
        <w:tc>
          <w:tcPr>
            <w:tcW w:w="677"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2.34</w:t>
            </w:r>
          </w:p>
        </w:tc>
        <w:tc>
          <w:tcPr>
            <w:tcW w:w="678"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1.84</w:t>
            </w:r>
          </w:p>
        </w:tc>
        <w:tc>
          <w:tcPr>
            <w:tcW w:w="677"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1.46</w:t>
            </w:r>
          </w:p>
        </w:tc>
        <w:tc>
          <w:tcPr>
            <w:tcW w:w="678"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1.17</w:t>
            </w:r>
          </w:p>
        </w:tc>
        <w:tc>
          <w:tcPr>
            <w:tcW w:w="677"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0.92</w:t>
            </w:r>
          </w:p>
        </w:tc>
        <w:tc>
          <w:tcPr>
            <w:tcW w:w="678" w:type="dxa"/>
            <w:tcBorders>
              <w:top w:val="single" w:sz="6" w:space="0" w:color="008000"/>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0.70</w:t>
            </w:r>
          </w:p>
        </w:tc>
      </w:tr>
    </w:tbl>
    <w:p w:rsidR="00F50C8B" w:rsidRDefault="00F50C8B" w:rsidP="00F50C8B">
      <w:pPr>
        <w:widowControl/>
        <w:spacing w:line="360" w:lineRule="auto"/>
        <w:ind w:firstLineChars="200" w:firstLine="640"/>
        <w:rPr>
          <w:rFonts w:eastAsia="仿宋_GB2312"/>
          <w:sz w:val="32"/>
          <w:szCs w:val="32"/>
        </w:rPr>
      </w:pP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．醋酸盐缓冲液</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2mol/L</w:t>
      </w:r>
      <w:r w:rsidRPr="00F41376">
        <w:rPr>
          <w:rFonts w:eastAsia="仿宋_GB2312"/>
          <w:sz w:val="32"/>
          <w:szCs w:val="32"/>
        </w:rPr>
        <w:t>醋酸溶液：取</w:t>
      </w:r>
      <w:r w:rsidRPr="00F41376">
        <w:rPr>
          <w:rFonts w:eastAsia="仿宋_GB2312"/>
          <w:sz w:val="32"/>
          <w:szCs w:val="32"/>
        </w:rPr>
        <w:t>120.0g</w:t>
      </w:r>
      <w:r w:rsidRPr="00F41376">
        <w:rPr>
          <w:rFonts w:eastAsia="仿宋_GB2312"/>
          <w:sz w:val="32"/>
          <w:szCs w:val="32"/>
        </w:rPr>
        <w:t>（</w:t>
      </w:r>
      <w:r w:rsidRPr="00F41376">
        <w:rPr>
          <w:rFonts w:eastAsia="仿宋_GB2312"/>
          <w:sz w:val="32"/>
          <w:szCs w:val="32"/>
        </w:rPr>
        <w:t>114mL</w:t>
      </w:r>
      <w:r w:rsidRPr="00F41376">
        <w:rPr>
          <w:rFonts w:eastAsia="仿宋_GB2312"/>
          <w:sz w:val="32"/>
          <w:szCs w:val="32"/>
        </w:rPr>
        <w:t>）冰醋酸用水稀释至</w:t>
      </w:r>
      <w:r w:rsidRPr="00F41376">
        <w:rPr>
          <w:rFonts w:eastAsia="仿宋_GB2312"/>
          <w:sz w:val="32"/>
          <w:szCs w:val="32"/>
        </w:rPr>
        <w:t>1000mL</w:t>
      </w:r>
      <w:r w:rsidRPr="00F41376">
        <w:rPr>
          <w:rFonts w:eastAsia="仿宋_GB2312"/>
          <w:sz w:val="32"/>
          <w:szCs w:val="32"/>
        </w:rPr>
        <w:t>，即得。</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取下表中规定物质的取样量，加水溶解并稀释至</w:t>
      </w:r>
      <w:r w:rsidRPr="00F41376">
        <w:rPr>
          <w:rFonts w:eastAsia="仿宋_GB2312"/>
          <w:sz w:val="32"/>
          <w:szCs w:val="32"/>
        </w:rPr>
        <w:t>1000mL</w:t>
      </w:r>
      <w:r w:rsidRPr="00F41376">
        <w:rPr>
          <w:rFonts w:eastAsia="仿宋_GB2312"/>
          <w:sz w:val="32"/>
          <w:szCs w:val="32"/>
        </w:rPr>
        <w:t>，摇匀，即得。</w:t>
      </w:r>
    </w:p>
    <w:p w:rsidR="00F50C8B" w:rsidRPr="00F41376" w:rsidRDefault="00F50C8B" w:rsidP="00F50C8B">
      <w:pPr>
        <w:widowControl/>
        <w:spacing w:line="360" w:lineRule="auto"/>
        <w:jc w:val="center"/>
        <w:rPr>
          <w:rFonts w:eastAsia="仿宋_GB2312"/>
          <w:sz w:val="32"/>
          <w:szCs w:val="32"/>
        </w:rPr>
      </w:pPr>
      <w:r w:rsidRPr="00F41376">
        <w:rPr>
          <w:rFonts w:eastAsia="仿宋_GB2312"/>
          <w:sz w:val="32"/>
          <w:szCs w:val="32"/>
        </w:rPr>
        <w:t>表</w:t>
      </w:r>
      <w:r w:rsidRPr="00F41376">
        <w:rPr>
          <w:rFonts w:eastAsia="仿宋_GB2312"/>
          <w:sz w:val="32"/>
          <w:szCs w:val="32"/>
        </w:rPr>
        <w:t xml:space="preserve">3  </w:t>
      </w:r>
      <w:r w:rsidRPr="00F41376">
        <w:rPr>
          <w:rFonts w:eastAsia="仿宋_GB2312"/>
          <w:sz w:val="32"/>
          <w:szCs w:val="32"/>
        </w:rPr>
        <w:t>醋酸盐缓冲溶液的配制</w:t>
      </w:r>
    </w:p>
    <w:tbl>
      <w:tblPr>
        <w:tblW w:w="0" w:type="auto"/>
        <w:jc w:val="center"/>
        <w:tblBorders>
          <w:top w:val="single" w:sz="12" w:space="0" w:color="008000"/>
          <w:bottom w:val="single" w:sz="12" w:space="0" w:color="008000"/>
        </w:tblBorders>
        <w:tblLook w:val="01E0"/>
      </w:tblPr>
      <w:tblGrid>
        <w:gridCol w:w="2527"/>
        <w:gridCol w:w="1036"/>
        <w:gridCol w:w="987"/>
        <w:gridCol w:w="1341"/>
        <w:gridCol w:w="1341"/>
        <w:gridCol w:w="1828"/>
      </w:tblGrid>
      <w:tr w:rsidR="00B4089C" w:rsidRPr="00CB28BC" w:rsidTr="001B2923">
        <w:trPr>
          <w:trHeight w:val="369"/>
          <w:jc w:val="center"/>
        </w:trPr>
        <w:tc>
          <w:tcPr>
            <w:tcW w:w="2527" w:type="dxa"/>
            <w:tcBorders>
              <w:bottom w:val="single" w:sz="6" w:space="0" w:color="008000"/>
            </w:tcBorders>
            <w:shd w:val="clear" w:color="auto" w:fill="auto"/>
            <w:vAlign w:val="center"/>
          </w:tcPr>
          <w:p w:rsidR="00B4089C" w:rsidRPr="00CB28BC" w:rsidRDefault="00B4089C" w:rsidP="00404228">
            <w:pPr>
              <w:snapToGrid w:val="0"/>
              <w:jc w:val="center"/>
              <w:rPr>
                <w:rFonts w:ascii="仿宋_GB2312" w:eastAsia="仿宋_GB2312" w:hAnsi="宋体" w:cs="Angsana New"/>
                <w:color w:val="FF0000"/>
                <w:spacing w:val="-1"/>
                <w:szCs w:val="21"/>
              </w:rPr>
            </w:pPr>
            <w:r w:rsidRPr="00CB28BC">
              <w:rPr>
                <w:rFonts w:ascii="仿宋_GB2312" w:eastAsia="仿宋_GB2312" w:hAnsi="宋体" w:cs="Angsana New" w:hint="eastAsia"/>
                <w:color w:val="FF0000"/>
                <w:spacing w:val="-1"/>
                <w:szCs w:val="21"/>
              </w:rPr>
              <w:t>pH值</w:t>
            </w:r>
          </w:p>
        </w:tc>
        <w:tc>
          <w:tcPr>
            <w:tcW w:w="1036" w:type="dxa"/>
            <w:tcBorders>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3.8</w:t>
            </w:r>
          </w:p>
        </w:tc>
        <w:tc>
          <w:tcPr>
            <w:tcW w:w="987" w:type="dxa"/>
            <w:tcBorders>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4.0</w:t>
            </w:r>
          </w:p>
        </w:tc>
        <w:tc>
          <w:tcPr>
            <w:tcW w:w="1341" w:type="dxa"/>
            <w:tcBorders>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4.5</w:t>
            </w:r>
          </w:p>
        </w:tc>
        <w:tc>
          <w:tcPr>
            <w:tcW w:w="1341" w:type="dxa"/>
            <w:tcBorders>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5.5</w:t>
            </w:r>
          </w:p>
        </w:tc>
        <w:tc>
          <w:tcPr>
            <w:tcW w:w="1828" w:type="dxa"/>
            <w:tcBorders>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5.8</w:t>
            </w:r>
          </w:p>
        </w:tc>
      </w:tr>
      <w:tr w:rsidR="00B4089C" w:rsidRPr="00CB28BC" w:rsidTr="001B2923">
        <w:trPr>
          <w:trHeight w:val="369"/>
          <w:jc w:val="center"/>
        </w:trPr>
        <w:tc>
          <w:tcPr>
            <w:tcW w:w="2527" w:type="dxa"/>
            <w:shd w:val="clear" w:color="auto" w:fill="auto"/>
            <w:vAlign w:val="center"/>
          </w:tcPr>
          <w:p w:rsidR="00B4089C" w:rsidRPr="00CB28BC" w:rsidRDefault="00B4089C" w:rsidP="00404228">
            <w:pPr>
              <w:snapToGrid w:val="0"/>
              <w:jc w:val="center"/>
              <w:rPr>
                <w:rFonts w:ascii="仿宋_GB2312" w:eastAsia="仿宋_GB2312" w:hAnsi="宋体" w:cs="Angsana New"/>
                <w:color w:val="FF0000"/>
                <w:spacing w:val="-1"/>
                <w:szCs w:val="21"/>
              </w:rPr>
            </w:pPr>
            <w:r w:rsidRPr="00CB28BC">
              <w:rPr>
                <w:rFonts w:ascii="仿宋_GB2312" w:eastAsia="仿宋_GB2312" w:hAnsi="宋体" w:cs="Angsana New" w:hint="eastAsia"/>
                <w:color w:val="FF0000"/>
                <w:spacing w:val="-1"/>
                <w:szCs w:val="21"/>
              </w:rPr>
              <w:t>醋酸钠取样量(g)</w:t>
            </w:r>
          </w:p>
        </w:tc>
        <w:tc>
          <w:tcPr>
            <w:tcW w:w="1036" w:type="dxa"/>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0.67</w:t>
            </w:r>
          </w:p>
        </w:tc>
        <w:tc>
          <w:tcPr>
            <w:tcW w:w="987" w:type="dxa"/>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1.22</w:t>
            </w:r>
          </w:p>
        </w:tc>
        <w:tc>
          <w:tcPr>
            <w:tcW w:w="1341" w:type="dxa"/>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2.99</w:t>
            </w:r>
          </w:p>
        </w:tc>
        <w:tc>
          <w:tcPr>
            <w:tcW w:w="1341" w:type="dxa"/>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5.98</w:t>
            </w:r>
          </w:p>
        </w:tc>
        <w:tc>
          <w:tcPr>
            <w:tcW w:w="1828" w:type="dxa"/>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6.23</w:t>
            </w:r>
          </w:p>
        </w:tc>
      </w:tr>
      <w:tr w:rsidR="00CB28BC" w:rsidRPr="00CB28BC" w:rsidTr="001B2923">
        <w:trPr>
          <w:trHeight w:val="369"/>
          <w:jc w:val="center"/>
        </w:trPr>
        <w:tc>
          <w:tcPr>
            <w:tcW w:w="2527" w:type="dxa"/>
            <w:tcBorders>
              <w:top w:val="single" w:sz="6" w:space="0" w:color="008000"/>
              <w:bottom w:val="single" w:sz="6" w:space="0" w:color="008000"/>
            </w:tcBorders>
            <w:shd w:val="clear" w:color="auto" w:fill="auto"/>
            <w:vAlign w:val="center"/>
          </w:tcPr>
          <w:p w:rsidR="00B4089C" w:rsidRPr="00CB28BC" w:rsidRDefault="00B4089C" w:rsidP="00404228">
            <w:pPr>
              <w:snapToGrid w:val="0"/>
              <w:jc w:val="center"/>
              <w:rPr>
                <w:rFonts w:ascii="仿宋_GB2312" w:eastAsia="仿宋_GB2312" w:hAnsi="宋体" w:cs="Angsana New"/>
                <w:color w:val="FF0000"/>
                <w:spacing w:val="-1"/>
                <w:szCs w:val="21"/>
              </w:rPr>
            </w:pPr>
            <w:r w:rsidRPr="00CB28BC">
              <w:rPr>
                <w:rFonts w:ascii="仿宋_GB2312" w:eastAsia="仿宋_GB2312" w:hAnsi="宋体" w:cs="Angsana New" w:hint="eastAsia"/>
                <w:color w:val="FF0000"/>
                <w:spacing w:val="-1"/>
                <w:szCs w:val="21"/>
              </w:rPr>
              <w:t>2mol/L醋酸溶液取样量(ml)</w:t>
            </w:r>
          </w:p>
        </w:tc>
        <w:tc>
          <w:tcPr>
            <w:tcW w:w="1036" w:type="dxa"/>
            <w:tcBorders>
              <w:top w:val="single" w:sz="6" w:space="0" w:color="008000"/>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22.6</w:t>
            </w:r>
          </w:p>
        </w:tc>
        <w:tc>
          <w:tcPr>
            <w:tcW w:w="987" w:type="dxa"/>
            <w:tcBorders>
              <w:top w:val="single" w:sz="6" w:space="0" w:color="008000"/>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20.5</w:t>
            </w:r>
          </w:p>
        </w:tc>
        <w:tc>
          <w:tcPr>
            <w:tcW w:w="1341" w:type="dxa"/>
            <w:tcBorders>
              <w:top w:val="single" w:sz="6" w:space="0" w:color="008000"/>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14.0</w:t>
            </w:r>
          </w:p>
        </w:tc>
        <w:tc>
          <w:tcPr>
            <w:tcW w:w="1341" w:type="dxa"/>
            <w:tcBorders>
              <w:top w:val="single" w:sz="6" w:space="0" w:color="008000"/>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3.0</w:t>
            </w:r>
          </w:p>
        </w:tc>
        <w:tc>
          <w:tcPr>
            <w:tcW w:w="1828" w:type="dxa"/>
            <w:tcBorders>
              <w:top w:val="single" w:sz="6" w:space="0" w:color="008000"/>
              <w:bottom w:val="single" w:sz="6" w:space="0" w:color="008000"/>
            </w:tcBorders>
            <w:shd w:val="clear" w:color="auto" w:fill="auto"/>
            <w:vAlign w:val="center"/>
          </w:tcPr>
          <w:p w:rsidR="00B4089C" w:rsidRPr="00CB28BC" w:rsidRDefault="00B4089C" w:rsidP="001B2923">
            <w:pPr>
              <w:snapToGrid w:val="0"/>
              <w:jc w:val="center"/>
              <w:rPr>
                <w:rFonts w:eastAsia="仿宋_GB2312"/>
                <w:color w:val="FF0000"/>
                <w:spacing w:val="-1"/>
                <w:szCs w:val="21"/>
              </w:rPr>
            </w:pPr>
            <w:r w:rsidRPr="00CB28BC">
              <w:rPr>
                <w:rFonts w:eastAsia="仿宋_GB2312"/>
                <w:color w:val="FF0000"/>
                <w:spacing w:val="-1"/>
                <w:szCs w:val="21"/>
              </w:rPr>
              <w:t>2.1</w:t>
            </w:r>
          </w:p>
        </w:tc>
      </w:tr>
    </w:tbl>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lastRenderedPageBreak/>
        <w:t>3</w:t>
      </w:r>
      <w:r w:rsidRPr="00F41376">
        <w:rPr>
          <w:rFonts w:eastAsia="仿宋_GB2312"/>
          <w:sz w:val="32"/>
          <w:szCs w:val="32"/>
        </w:rPr>
        <w:t>．磷酸盐缓冲液</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0.2mol/L</w:t>
      </w:r>
      <w:r w:rsidRPr="00F41376">
        <w:rPr>
          <w:rFonts w:eastAsia="仿宋_GB2312"/>
          <w:sz w:val="32"/>
          <w:szCs w:val="32"/>
        </w:rPr>
        <w:t>磷酸二氢钾溶液：取</w:t>
      </w:r>
      <w:r w:rsidRPr="00F41376">
        <w:rPr>
          <w:rFonts w:eastAsia="仿宋_GB2312"/>
          <w:sz w:val="32"/>
          <w:szCs w:val="32"/>
        </w:rPr>
        <w:t>27.22g</w:t>
      </w:r>
      <w:r w:rsidRPr="00F41376">
        <w:rPr>
          <w:rFonts w:eastAsia="仿宋_GB2312"/>
          <w:sz w:val="32"/>
          <w:szCs w:val="32"/>
        </w:rPr>
        <w:t>磷酸二氢钾，用水溶解并稀释至</w:t>
      </w:r>
      <w:r w:rsidRPr="00F41376">
        <w:rPr>
          <w:rFonts w:eastAsia="仿宋_GB2312"/>
          <w:sz w:val="32"/>
          <w:szCs w:val="32"/>
        </w:rPr>
        <w:t>1000mL</w:t>
      </w:r>
      <w:r w:rsidRPr="00F41376">
        <w:rPr>
          <w:rFonts w:eastAsia="仿宋_GB2312"/>
          <w:sz w:val="32"/>
          <w:szCs w:val="32"/>
        </w:rPr>
        <w:t>。</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0.2mol/L</w:t>
      </w:r>
      <w:r w:rsidRPr="00F41376">
        <w:rPr>
          <w:rFonts w:eastAsia="仿宋_GB2312"/>
          <w:sz w:val="32"/>
          <w:szCs w:val="32"/>
        </w:rPr>
        <w:t>氢氧化钠溶液：取</w:t>
      </w:r>
      <w:r w:rsidRPr="00F41376">
        <w:rPr>
          <w:rFonts w:eastAsia="仿宋_GB2312"/>
          <w:sz w:val="32"/>
          <w:szCs w:val="32"/>
        </w:rPr>
        <w:t>8.00g</w:t>
      </w:r>
      <w:r w:rsidRPr="00F41376">
        <w:rPr>
          <w:rFonts w:eastAsia="仿宋_GB2312"/>
          <w:sz w:val="32"/>
          <w:szCs w:val="32"/>
        </w:rPr>
        <w:t>氢氧化钠，用水溶解并稀释至</w:t>
      </w:r>
      <w:r w:rsidRPr="00F41376">
        <w:rPr>
          <w:rFonts w:eastAsia="仿宋_GB2312"/>
          <w:sz w:val="32"/>
          <w:szCs w:val="32"/>
        </w:rPr>
        <w:t>1000mL</w:t>
      </w:r>
      <w:r w:rsidRPr="00F41376">
        <w:rPr>
          <w:rFonts w:eastAsia="仿宋_GB2312"/>
          <w:sz w:val="32"/>
          <w:szCs w:val="32"/>
        </w:rPr>
        <w:t>。</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取</w:t>
      </w:r>
      <w:r w:rsidRPr="00F41376">
        <w:rPr>
          <w:rFonts w:eastAsia="仿宋_GB2312"/>
          <w:sz w:val="32"/>
          <w:szCs w:val="32"/>
        </w:rPr>
        <w:t>250mL 0.2mol/L</w:t>
      </w:r>
      <w:r w:rsidRPr="00F41376">
        <w:rPr>
          <w:rFonts w:eastAsia="仿宋_GB2312"/>
          <w:sz w:val="32"/>
          <w:szCs w:val="32"/>
        </w:rPr>
        <w:t>磷酸二氢钾溶液与下表中规定量的</w:t>
      </w:r>
      <w:r w:rsidRPr="00F41376">
        <w:rPr>
          <w:rFonts w:eastAsia="仿宋_GB2312"/>
          <w:sz w:val="32"/>
          <w:szCs w:val="32"/>
        </w:rPr>
        <w:t>0.2mol/L</w:t>
      </w:r>
      <w:r w:rsidRPr="00F41376">
        <w:rPr>
          <w:rFonts w:eastAsia="仿宋_GB2312"/>
          <w:sz w:val="32"/>
          <w:szCs w:val="32"/>
        </w:rPr>
        <w:t>氢氧化钠溶液混合后，再加水稀释至</w:t>
      </w:r>
      <w:r w:rsidRPr="00F41376">
        <w:rPr>
          <w:rFonts w:eastAsia="仿宋_GB2312"/>
          <w:sz w:val="32"/>
          <w:szCs w:val="32"/>
        </w:rPr>
        <w:t>1000mL</w:t>
      </w:r>
      <w:r w:rsidRPr="00F41376">
        <w:rPr>
          <w:rFonts w:eastAsia="仿宋_GB2312"/>
          <w:sz w:val="32"/>
          <w:szCs w:val="32"/>
        </w:rPr>
        <w:t>，摇匀，即得。</w:t>
      </w:r>
    </w:p>
    <w:p w:rsidR="00F50C8B" w:rsidRPr="00F41376" w:rsidRDefault="00F50C8B" w:rsidP="00F50C8B">
      <w:pPr>
        <w:widowControl/>
        <w:spacing w:line="360" w:lineRule="auto"/>
        <w:jc w:val="center"/>
        <w:rPr>
          <w:rFonts w:eastAsia="仿宋_GB2312"/>
          <w:sz w:val="32"/>
          <w:szCs w:val="32"/>
        </w:rPr>
      </w:pPr>
      <w:r w:rsidRPr="00F41376">
        <w:rPr>
          <w:rFonts w:eastAsia="仿宋_GB2312"/>
          <w:sz w:val="32"/>
          <w:szCs w:val="32"/>
        </w:rPr>
        <w:t>表</w:t>
      </w:r>
      <w:r w:rsidRPr="00F41376">
        <w:rPr>
          <w:rFonts w:eastAsia="仿宋_GB2312"/>
          <w:sz w:val="32"/>
          <w:szCs w:val="32"/>
        </w:rPr>
        <w:t xml:space="preserve">4  </w:t>
      </w:r>
      <w:r w:rsidRPr="00F41376">
        <w:rPr>
          <w:rFonts w:eastAsia="仿宋_GB2312"/>
          <w:sz w:val="32"/>
          <w:szCs w:val="32"/>
        </w:rPr>
        <w:t>磷酸盐缓冲液</w:t>
      </w:r>
    </w:p>
    <w:tbl>
      <w:tblPr>
        <w:tblW w:w="0" w:type="auto"/>
        <w:jc w:val="center"/>
        <w:tblBorders>
          <w:top w:val="single" w:sz="12" w:space="0" w:color="008000"/>
          <w:bottom w:val="single" w:sz="12" w:space="0" w:color="008000"/>
        </w:tblBorders>
        <w:tblLook w:val="01E0"/>
      </w:tblPr>
      <w:tblGrid>
        <w:gridCol w:w="2990"/>
        <w:gridCol w:w="676"/>
        <w:gridCol w:w="684"/>
        <w:gridCol w:w="684"/>
        <w:gridCol w:w="684"/>
        <w:gridCol w:w="684"/>
        <w:gridCol w:w="684"/>
        <w:gridCol w:w="684"/>
      </w:tblGrid>
      <w:tr w:rsidR="00F50C8B" w:rsidRPr="00F41376" w:rsidTr="001F4D71">
        <w:trPr>
          <w:trHeight w:val="397"/>
          <w:jc w:val="center"/>
        </w:trPr>
        <w:tc>
          <w:tcPr>
            <w:tcW w:w="0" w:type="auto"/>
            <w:tcBorders>
              <w:top w:val="single" w:sz="12" w:space="0" w:color="008000"/>
              <w:bottom w:val="dashed" w:sz="4" w:space="0" w:color="auto"/>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pH</w:t>
            </w:r>
            <w:r w:rsidRPr="00F41376">
              <w:rPr>
                <w:rFonts w:eastAsia="仿宋_GB2312"/>
                <w:spacing w:val="-1"/>
                <w:szCs w:val="21"/>
              </w:rPr>
              <w:t>值</w:t>
            </w:r>
          </w:p>
        </w:tc>
        <w:tc>
          <w:tcPr>
            <w:tcW w:w="0" w:type="auto"/>
            <w:tcBorders>
              <w:top w:val="single" w:sz="12" w:space="0" w:color="008000"/>
              <w:bottom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4.5</w:t>
            </w:r>
          </w:p>
        </w:tc>
        <w:tc>
          <w:tcPr>
            <w:tcW w:w="0" w:type="auto"/>
            <w:tcBorders>
              <w:top w:val="single" w:sz="12" w:space="0" w:color="008000"/>
              <w:bottom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5.5</w:t>
            </w:r>
          </w:p>
        </w:tc>
        <w:tc>
          <w:tcPr>
            <w:tcW w:w="0" w:type="auto"/>
            <w:tcBorders>
              <w:top w:val="single" w:sz="12" w:space="0" w:color="008000"/>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5.8</w:t>
            </w:r>
          </w:p>
        </w:tc>
        <w:tc>
          <w:tcPr>
            <w:tcW w:w="0" w:type="auto"/>
            <w:tcBorders>
              <w:top w:val="single" w:sz="12" w:space="0" w:color="008000"/>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6.0</w:t>
            </w:r>
          </w:p>
        </w:tc>
        <w:tc>
          <w:tcPr>
            <w:tcW w:w="0" w:type="auto"/>
            <w:tcBorders>
              <w:top w:val="single" w:sz="12" w:space="0" w:color="008000"/>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6.2</w:t>
            </w:r>
          </w:p>
        </w:tc>
        <w:tc>
          <w:tcPr>
            <w:tcW w:w="0" w:type="auto"/>
            <w:tcBorders>
              <w:top w:val="single" w:sz="12" w:space="0" w:color="008000"/>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6.4</w:t>
            </w:r>
          </w:p>
        </w:tc>
        <w:tc>
          <w:tcPr>
            <w:tcW w:w="0" w:type="auto"/>
            <w:tcBorders>
              <w:top w:val="single" w:sz="12" w:space="0" w:color="008000"/>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6.6</w:t>
            </w:r>
          </w:p>
        </w:tc>
      </w:tr>
      <w:tr w:rsidR="00F50C8B" w:rsidRPr="00F41376" w:rsidTr="001F4D71">
        <w:trPr>
          <w:trHeight w:val="397"/>
          <w:jc w:val="center"/>
        </w:trPr>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0.2mol/L</w:t>
            </w:r>
            <w:r w:rsidRPr="00F41376">
              <w:rPr>
                <w:rFonts w:eastAsia="仿宋_GB2312"/>
                <w:spacing w:val="-1"/>
                <w:szCs w:val="21"/>
              </w:rPr>
              <w:t>氢氧化钠溶液（</w:t>
            </w:r>
            <w:proofErr w:type="spellStart"/>
            <w:r w:rsidRPr="00F41376">
              <w:rPr>
                <w:rFonts w:eastAsia="仿宋_GB2312"/>
                <w:spacing w:val="-1"/>
                <w:szCs w:val="21"/>
              </w:rPr>
              <w:t>mL</w:t>
            </w:r>
            <w:proofErr w:type="spellEnd"/>
            <w:r w:rsidRPr="00F41376">
              <w:rPr>
                <w:rFonts w:eastAsia="仿宋_GB2312"/>
                <w:spacing w:val="-1"/>
                <w:szCs w:val="21"/>
              </w:rPr>
              <w:t>）</w:t>
            </w:r>
          </w:p>
        </w:tc>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0</w:t>
            </w:r>
          </w:p>
        </w:tc>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9.0</w:t>
            </w:r>
          </w:p>
        </w:tc>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18.0</w:t>
            </w:r>
          </w:p>
        </w:tc>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28.0</w:t>
            </w:r>
          </w:p>
        </w:tc>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40.5</w:t>
            </w:r>
          </w:p>
        </w:tc>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58.0</w:t>
            </w:r>
          </w:p>
        </w:tc>
        <w:tc>
          <w:tcPr>
            <w:tcW w:w="0" w:type="auto"/>
            <w:tcBorders>
              <w:top w:val="dashed" w:sz="4" w:space="0" w:color="auto"/>
              <w:bottom w:val="single"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82.0</w:t>
            </w:r>
          </w:p>
        </w:tc>
      </w:tr>
      <w:tr w:rsidR="00F50C8B" w:rsidRPr="00F41376" w:rsidTr="001F4D71">
        <w:trPr>
          <w:trHeight w:val="397"/>
          <w:jc w:val="center"/>
        </w:trPr>
        <w:tc>
          <w:tcPr>
            <w:tcW w:w="0" w:type="auto"/>
            <w:tcBorders>
              <w:top w:val="single" w:sz="4" w:space="0" w:color="auto"/>
              <w:bottom w:val="dashed" w:sz="4" w:space="0" w:color="auto"/>
            </w:tcBorders>
            <w:shd w:val="clear" w:color="auto" w:fill="auto"/>
            <w:vAlign w:val="center"/>
          </w:tcPr>
          <w:p w:rsidR="00F50C8B" w:rsidRPr="00F41376" w:rsidRDefault="00F50C8B" w:rsidP="001F4D71">
            <w:pPr>
              <w:snapToGrid w:val="0"/>
              <w:spacing w:line="360" w:lineRule="auto"/>
              <w:jc w:val="center"/>
              <w:rPr>
                <w:rFonts w:eastAsia="仿宋_GB2312"/>
                <w:spacing w:val="-1"/>
                <w:szCs w:val="21"/>
              </w:rPr>
            </w:pPr>
            <w:r w:rsidRPr="00F41376">
              <w:rPr>
                <w:rFonts w:eastAsia="仿宋_GB2312"/>
                <w:spacing w:val="-1"/>
                <w:szCs w:val="21"/>
              </w:rPr>
              <w:t>pH</w:t>
            </w:r>
            <w:r w:rsidRPr="00F41376">
              <w:rPr>
                <w:rFonts w:eastAsia="仿宋_GB2312"/>
                <w:spacing w:val="-1"/>
                <w:szCs w:val="21"/>
              </w:rPr>
              <w:t>值</w:t>
            </w:r>
          </w:p>
        </w:tc>
        <w:tc>
          <w:tcPr>
            <w:tcW w:w="0" w:type="auto"/>
            <w:tcBorders>
              <w:top w:val="single" w:sz="4" w:space="0" w:color="auto"/>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6.8</w:t>
            </w:r>
          </w:p>
        </w:tc>
        <w:tc>
          <w:tcPr>
            <w:tcW w:w="0" w:type="auto"/>
            <w:tcBorders>
              <w:top w:val="single" w:sz="4" w:space="0" w:color="auto"/>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7.0</w:t>
            </w:r>
          </w:p>
        </w:tc>
        <w:tc>
          <w:tcPr>
            <w:tcW w:w="0" w:type="auto"/>
            <w:tcBorders>
              <w:top w:val="single" w:sz="4" w:space="0" w:color="auto"/>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7.2</w:t>
            </w:r>
          </w:p>
        </w:tc>
        <w:tc>
          <w:tcPr>
            <w:tcW w:w="0" w:type="auto"/>
            <w:tcBorders>
              <w:top w:val="single" w:sz="4" w:space="0" w:color="auto"/>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7.4</w:t>
            </w:r>
          </w:p>
        </w:tc>
        <w:tc>
          <w:tcPr>
            <w:tcW w:w="0" w:type="auto"/>
            <w:tcBorders>
              <w:top w:val="single" w:sz="4" w:space="0" w:color="auto"/>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7.6</w:t>
            </w:r>
          </w:p>
        </w:tc>
        <w:tc>
          <w:tcPr>
            <w:tcW w:w="0" w:type="auto"/>
            <w:tcBorders>
              <w:top w:val="single" w:sz="4" w:space="0" w:color="auto"/>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7.8</w:t>
            </w:r>
          </w:p>
        </w:tc>
        <w:tc>
          <w:tcPr>
            <w:tcW w:w="0" w:type="auto"/>
            <w:tcBorders>
              <w:top w:val="single" w:sz="4" w:space="0" w:color="auto"/>
              <w:bottom w:val="dashed" w:sz="4" w:space="0" w:color="auto"/>
            </w:tcBorders>
            <w:shd w:val="clear" w:color="auto" w:fill="auto"/>
            <w:vAlign w:val="center"/>
          </w:tcPr>
          <w:p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8.0</w:t>
            </w:r>
          </w:p>
        </w:tc>
      </w:tr>
      <w:tr w:rsidR="00F50C8B" w:rsidRPr="00F41376" w:rsidTr="001F4D71">
        <w:trPr>
          <w:trHeight w:val="397"/>
          <w:jc w:val="center"/>
        </w:trPr>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0.2mol/L</w:t>
            </w:r>
            <w:r w:rsidRPr="00F41376">
              <w:rPr>
                <w:rFonts w:eastAsia="仿宋_GB2312"/>
                <w:spacing w:val="-1"/>
                <w:szCs w:val="21"/>
              </w:rPr>
              <w:t>氢氧化钠溶液（</w:t>
            </w:r>
            <w:proofErr w:type="spellStart"/>
            <w:r w:rsidRPr="00F41376">
              <w:rPr>
                <w:rFonts w:eastAsia="仿宋_GB2312"/>
                <w:spacing w:val="-1"/>
                <w:szCs w:val="21"/>
              </w:rPr>
              <w:t>mL</w:t>
            </w:r>
            <w:proofErr w:type="spellEnd"/>
            <w:r w:rsidRPr="00F41376">
              <w:rPr>
                <w:rFonts w:eastAsia="仿宋_GB2312"/>
                <w:spacing w:val="-1"/>
                <w:szCs w:val="21"/>
              </w:rPr>
              <w:t>）</w:t>
            </w:r>
          </w:p>
        </w:tc>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112.0</w:t>
            </w:r>
          </w:p>
        </w:tc>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145.5</w:t>
            </w:r>
          </w:p>
        </w:tc>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173.5</w:t>
            </w:r>
          </w:p>
        </w:tc>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195.5</w:t>
            </w:r>
          </w:p>
        </w:tc>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212.0</w:t>
            </w:r>
          </w:p>
        </w:tc>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222.5</w:t>
            </w:r>
          </w:p>
        </w:tc>
        <w:tc>
          <w:tcPr>
            <w:tcW w:w="0" w:type="auto"/>
            <w:tcBorders>
              <w:top w:val="dashed" w:sz="4" w:space="0" w:color="auto"/>
            </w:tcBorders>
            <w:shd w:val="clear" w:color="auto" w:fill="auto"/>
            <w:vAlign w:val="center"/>
          </w:tcPr>
          <w:p w:rsidR="00F50C8B" w:rsidRPr="00F41376" w:rsidRDefault="00F50C8B" w:rsidP="001F4D71">
            <w:pPr>
              <w:snapToGrid w:val="0"/>
              <w:spacing w:line="360" w:lineRule="auto"/>
              <w:rPr>
                <w:rFonts w:eastAsia="仿宋_GB2312"/>
                <w:spacing w:val="-1"/>
                <w:szCs w:val="21"/>
              </w:rPr>
            </w:pPr>
            <w:r w:rsidRPr="00F41376">
              <w:rPr>
                <w:rFonts w:eastAsia="仿宋_GB2312"/>
                <w:spacing w:val="-1"/>
                <w:szCs w:val="21"/>
              </w:rPr>
              <w:t>230.5</w:t>
            </w:r>
          </w:p>
        </w:tc>
      </w:tr>
    </w:tbl>
    <w:p w:rsidR="00F50C8B" w:rsidRPr="00F41376" w:rsidRDefault="00F50C8B" w:rsidP="00B57E3E">
      <w:pPr>
        <w:widowControl/>
        <w:spacing w:beforeLines="50" w:line="360" w:lineRule="auto"/>
        <w:ind w:firstLineChars="200" w:firstLine="640"/>
        <w:rPr>
          <w:rFonts w:eastAsia="仿宋_GB2312"/>
          <w:sz w:val="32"/>
          <w:szCs w:val="32"/>
        </w:rPr>
      </w:pPr>
      <w:r w:rsidRPr="00F41376">
        <w:rPr>
          <w:rFonts w:eastAsia="仿宋_GB2312"/>
          <w:sz w:val="32"/>
          <w:szCs w:val="32"/>
        </w:rPr>
        <w:t>以上为推荐采用的溶出介质配制方法，如有特殊情况，研究者也可根据研究结果采用其他的溶出介质以及相应的配制方法。</w:t>
      </w:r>
    </w:p>
    <w:p w:rsidR="00F50C8B" w:rsidRPr="00F41376" w:rsidRDefault="00F50C8B" w:rsidP="00F50C8B">
      <w:pPr>
        <w:widowControl/>
        <w:spacing w:line="360" w:lineRule="auto"/>
        <w:ind w:firstLineChars="200" w:firstLine="640"/>
        <w:rPr>
          <w:rFonts w:eastAsia="黑体"/>
          <w:sz w:val="32"/>
          <w:szCs w:val="32"/>
        </w:rPr>
      </w:pPr>
      <w:r w:rsidRPr="00F41376">
        <w:rPr>
          <w:rFonts w:eastAsia="黑体"/>
          <w:sz w:val="32"/>
          <w:szCs w:val="32"/>
        </w:rPr>
        <w:t>三、温度、转速及其他</w:t>
      </w:r>
    </w:p>
    <w:p w:rsidR="00F50C8B"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所有普通口服制剂的溶出试验均应在</w:t>
      </w:r>
      <w:r w:rsidRPr="00F41376">
        <w:rPr>
          <w:rFonts w:eastAsia="仿宋_GB2312"/>
          <w:sz w:val="32"/>
          <w:szCs w:val="32"/>
        </w:rPr>
        <w:t>37±0.5</w:t>
      </w:r>
      <w:r w:rsidRPr="00F41376">
        <w:rPr>
          <w:rFonts w:ascii="宋体" w:hAnsi="宋体" w:cs="宋体" w:hint="eastAsia"/>
          <w:sz w:val="32"/>
          <w:szCs w:val="32"/>
        </w:rPr>
        <w:t>℃</w:t>
      </w:r>
      <w:r w:rsidRPr="00F41376">
        <w:rPr>
          <w:rFonts w:eastAsia="仿宋_GB2312"/>
          <w:sz w:val="32"/>
          <w:szCs w:val="32"/>
        </w:rPr>
        <w:t>的条件下进行。</w:t>
      </w:r>
    </w:p>
    <w:p w:rsidR="00F50C8B"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溶出度试验过程中应采用较缓和的转速，使溶出方法具有更</w:t>
      </w:r>
    </w:p>
    <w:p w:rsidR="00F50C8B" w:rsidRPr="00F41376" w:rsidRDefault="00F50C8B" w:rsidP="00F50C8B">
      <w:pPr>
        <w:widowControl/>
        <w:spacing w:line="360" w:lineRule="auto"/>
        <w:rPr>
          <w:rFonts w:eastAsia="仿宋_GB2312"/>
          <w:sz w:val="32"/>
          <w:szCs w:val="32"/>
        </w:rPr>
      </w:pPr>
      <w:r w:rsidRPr="00F41376">
        <w:rPr>
          <w:rFonts w:eastAsia="仿宋_GB2312"/>
          <w:sz w:val="32"/>
          <w:szCs w:val="32"/>
        </w:rPr>
        <w:t>好的区分能力。一般情况</w:t>
      </w:r>
      <w:proofErr w:type="gramStart"/>
      <w:r w:rsidRPr="00F41376">
        <w:rPr>
          <w:rFonts w:eastAsia="仿宋_GB2312"/>
          <w:sz w:val="32"/>
          <w:szCs w:val="32"/>
        </w:rPr>
        <w:t>下篮法</w:t>
      </w:r>
      <w:proofErr w:type="gramEnd"/>
      <w:r w:rsidRPr="00F41376">
        <w:rPr>
          <w:rFonts w:eastAsia="仿宋_GB2312"/>
          <w:sz w:val="32"/>
          <w:szCs w:val="32"/>
        </w:rPr>
        <w:t>的转速为</w:t>
      </w:r>
      <w:r w:rsidRPr="00F41376">
        <w:rPr>
          <w:rFonts w:eastAsia="仿宋_GB2312"/>
          <w:sz w:val="32"/>
          <w:szCs w:val="32"/>
        </w:rPr>
        <w:t>50</w:t>
      </w:r>
      <w:r w:rsidRPr="00F41376">
        <w:rPr>
          <w:rFonts w:ascii="Cambria Math" w:eastAsia="Dotum" w:hAnsi="Cambria Math" w:cs="Cambria Math"/>
          <w:sz w:val="32"/>
          <w:szCs w:val="32"/>
        </w:rPr>
        <w:t>∼</w:t>
      </w:r>
      <w:r w:rsidRPr="00F41376">
        <w:rPr>
          <w:rFonts w:eastAsia="仿宋_GB2312"/>
          <w:sz w:val="32"/>
          <w:szCs w:val="32"/>
        </w:rPr>
        <w:t xml:space="preserve">100 </w:t>
      </w:r>
      <w:r w:rsidRPr="00F41376">
        <w:rPr>
          <w:rFonts w:eastAsia="仿宋_GB2312"/>
          <w:sz w:val="32"/>
          <w:szCs w:val="32"/>
        </w:rPr>
        <w:t>转</w:t>
      </w:r>
      <w:r w:rsidRPr="00F41376">
        <w:rPr>
          <w:rFonts w:eastAsia="仿宋_GB2312"/>
          <w:sz w:val="32"/>
          <w:szCs w:val="32"/>
        </w:rPr>
        <w:t>/</w:t>
      </w:r>
      <w:r w:rsidRPr="00F41376">
        <w:rPr>
          <w:rFonts w:eastAsia="仿宋_GB2312"/>
          <w:sz w:val="32"/>
          <w:szCs w:val="32"/>
        </w:rPr>
        <w:t>分钟；</w:t>
      </w:r>
      <w:proofErr w:type="gramStart"/>
      <w:r w:rsidRPr="00F41376">
        <w:rPr>
          <w:rFonts w:eastAsia="仿宋_GB2312"/>
          <w:sz w:val="32"/>
          <w:szCs w:val="32"/>
        </w:rPr>
        <w:t>桨</w:t>
      </w:r>
      <w:proofErr w:type="gramEnd"/>
    </w:p>
    <w:p w:rsidR="00F50C8B" w:rsidRDefault="00F50C8B" w:rsidP="00F50C8B">
      <w:pPr>
        <w:widowControl/>
        <w:spacing w:line="360" w:lineRule="auto"/>
        <w:rPr>
          <w:rFonts w:eastAsia="仿宋_GB2312"/>
          <w:sz w:val="32"/>
          <w:szCs w:val="32"/>
        </w:rPr>
      </w:pPr>
      <w:r w:rsidRPr="00F41376">
        <w:rPr>
          <w:rFonts w:eastAsia="仿宋_GB2312"/>
          <w:sz w:val="32"/>
          <w:szCs w:val="32"/>
        </w:rPr>
        <w:t>法的转速为</w:t>
      </w:r>
      <w:r w:rsidRPr="00F41376">
        <w:rPr>
          <w:rFonts w:eastAsia="仿宋_GB2312"/>
          <w:sz w:val="32"/>
          <w:szCs w:val="32"/>
        </w:rPr>
        <w:t>50</w:t>
      </w:r>
      <w:r w:rsidRPr="00F41376">
        <w:rPr>
          <w:rFonts w:ascii="Cambria Math" w:eastAsia="Dotum" w:hAnsi="Cambria Math" w:cs="Cambria Math"/>
          <w:sz w:val="32"/>
          <w:szCs w:val="32"/>
        </w:rPr>
        <w:t>∼</w:t>
      </w:r>
      <w:r w:rsidRPr="00F41376">
        <w:rPr>
          <w:rFonts w:eastAsia="仿宋_GB2312"/>
          <w:sz w:val="32"/>
          <w:szCs w:val="32"/>
        </w:rPr>
        <w:t>75</w:t>
      </w:r>
      <w:r w:rsidRPr="00F41376">
        <w:rPr>
          <w:rFonts w:eastAsia="仿宋_GB2312"/>
          <w:sz w:val="32"/>
          <w:szCs w:val="32"/>
        </w:rPr>
        <w:t>转</w:t>
      </w:r>
      <w:r w:rsidRPr="00F41376">
        <w:rPr>
          <w:rFonts w:eastAsia="仿宋_GB2312"/>
          <w:sz w:val="32"/>
          <w:szCs w:val="32"/>
        </w:rPr>
        <w:t>/</w:t>
      </w:r>
      <w:r w:rsidRPr="00F41376">
        <w:rPr>
          <w:rFonts w:eastAsia="仿宋_GB2312"/>
          <w:sz w:val="32"/>
          <w:szCs w:val="32"/>
        </w:rPr>
        <w:t>分钟。</w:t>
      </w:r>
    </w:p>
    <w:p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对于容易产生漂浮的片剂或胶囊，在建立溶出度测定方法时</w:t>
      </w:r>
    </w:p>
    <w:p w:rsidR="00F50C8B" w:rsidRPr="00F41376" w:rsidRDefault="00F50C8B" w:rsidP="00F50C8B">
      <w:pPr>
        <w:widowControl/>
        <w:spacing w:line="360" w:lineRule="auto"/>
        <w:rPr>
          <w:rFonts w:eastAsia="仿宋_GB2312"/>
          <w:sz w:val="32"/>
          <w:szCs w:val="32"/>
        </w:rPr>
      </w:pPr>
      <w:r w:rsidRPr="00F41376">
        <w:rPr>
          <w:rFonts w:eastAsia="仿宋_GB2312"/>
          <w:sz w:val="32"/>
          <w:szCs w:val="32"/>
        </w:rPr>
        <w:lastRenderedPageBreak/>
        <w:t>建议采用篮法。</w:t>
      </w:r>
      <w:proofErr w:type="gramStart"/>
      <w:r w:rsidRPr="00F41376">
        <w:rPr>
          <w:rFonts w:eastAsia="仿宋_GB2312"/>
          <w:sz w:val="32"/>
          <w:szCs w:val="32"/>
        </w:rPr>
        <w:t>当必须采用桨法</w:t>
      </w:r>
      <w:proofErr w:type="gramEnd"/>
      <w:r w:rsidRPr="00F41376">
        <w:rPr>
          <w:rFonts w:eastAsia="仿宋_GB2312"/>
          <w:sz w:val="32"/>
          <w:szCs w:val="32"/>
        </w:rPr>
        <w:t>时，可使用沉降篮或其他适当的沉降装置。</w:t>
      </w:r>
    </w:p>
    <w:p w:rsidR="00F50C8B" w:rsidRPr="00F41376" w:rsidRDefault="00F50C8B" w:rsidP="00F50C8B">
      <w:pPr>
        <w:widowControl/>
        <w:spacing w:line="570" w:lineRule="exact"/>
        <w:ind w:firstLineChars="150" w:firstLine="480"/>
        <w:rPr>
          <w:rFonts w:eastAsia="黑体"/>
          <w:sz w:val="32"/>
          <w:szCs w:val="32"/>
        </w:rPr>
      </w:pPr>
      <w:r w:rsidRPr="00F41376">
        <w:rPr>
          <w:rFonts w:eastAsia="黑体"/>
          <w:sz w:val="32"/>
          <w:szCs w:val="32"/>
        </w:rPr>
        <w:t>参考文献</w:t>
      </w:r>
    </w:p>
    <w:p w:rsidR="00F50C8B" w:rsidRPr="00F41376" w:rsidRDefault="00F50C8B" w:rsidP="00F50C8B">
      <w:pPr>
        <w:widowControl/>
        <w:spacing w:line="570" w:lineRule="exact"/>
        <w:ind w:firstLineChars="150" w:firstLine="480"/>
        <w:rPr>
          <w:rFonts w:eastAsia="仿宋_GB2312"/>
          <w:sz w:val="32"/>
          <w:szCs w:val="32"/>
        </w:rPr>
      </w:pPr>
      <w:r w:rsidRPr="00F41376">
        <w:rPr>
          <w:rFonts w:eastAsia="仿宋_GB2312"/>
          <w:sz w:val="32"/>
          <w:szCs w:val="32"/>
        </w:rPr>
        <w:t xml:space="preserve">1.Amidon, G. L., H. </w:t>
      </w:r>
      <w:proofErr w:type="spellStart"/>
      <w:r w:rsidRPr="00F41376">
        <w:rPr>
          <w:rFonts w:eastAsia="仿宋_GB2312"/>
          <w:sz w:val="32"/>
          <w:szCs w:val="32"/>
        </w:rPr>
        <w:t>Lennernas</w:t>
      </w:r>
      <w:proofErr w:type="spellEnd"/>
      <w:r w:rsidRPr="00F41376">
        <w:rPr>
          <w:rFonts w:eastAsia="仿宋_GB2312"/>
          <w:sz w:val="32"/>
          <w:szCs w:val="32"/>
        </w:rPr>
        <w:t xml:space="preserve">, V. P. Shah, and J. R. </w:t>
      </w:r>
      <w:proofErr w:type="spellStart"/>
      <w:r w:rsidRPr="00F41376">
        <w:rPr>
          <w:rFonts w:eastAsia="仿宋_GB2312"/>
          <w:sz w:val="32"/>
          <w:szCs w:val="32"/>
        </w:rPr>
        <w:t>Crison</w:t>
      </w:r>
      <w:proofErr w:type="spellEnd"/>
      <w:r w:rsidRPr="00F41376">
        <w:rPr>
          <w:rFonts w:eastAsia="仿宋_GB2312"/>
          <w:sz w:val="32"/>
          <w:szCs w:val="32"/>
        </w:rPr>
        <w:t xml:space="preserve">, 1995, “A Theoretical Basis For a </w:t>
      </w:r>
      <w:proofErr w:type="spellStart"/>
      <w:r w:rsidRPr="00F41376">
        <w:rPr>
          <w:rFonts w:eastAsia="仿宋_GB2312"/>
          <w:sz w:val="32"/>
          <w:szCs w:val="32"/>
        </w:rPr>
        <w:t>Biopharmaceutic</w:t>
      </w:r>
      <w:proofErr w:type="spellEnd"/>
      <w:r w:rsidRPr="00F41376">
        <w:rPr>
          <w:rFonts w:eastAsia="仿宋_GB2312"/>
          <w:sz w:val="32"/>
          <w:szCs w:val="32"/>
        </w:rPr>
        <w:t xml:space="preserve"> Drug Classification: The Correlation of In Vitro Drug </w:t>
      </w:r>
      <w:proofErr w:type="spellStart"/>
      <w:r w:rsidRPr="00F41376">
        <w:rPr>
          <w:rFonts w:eastAsia="仿宋_GB2312"/>
          <w:sz w:val="32"/>
          <w:szCs w:val="32"/>
        </w:rPr>
        <w:t>ProductDissolution</w:t>
      </w:r>
      <w:proofErr w:type="spellEnd"/>
      <w:r w:rsidRPr="00F41376">
        <w:rPr>
          <w:rFonts w:eastAsia="仿宋_GB2312"/>
          <w:sz w:val="32"/>
          <w:szCs w:val="32"/>
        </w:rPr>
        <w:t xml:space="preserve"> and In Vivo Bioavailability,” Pharmaceutical Research, 2:413-420.</w:t>
      </w:r>
    </w:p>
    <w:p w:rsidR="00F50C8B" w:rsidRPr="00F41376" w:rsidRDefault="00F50C8B" w:rsidP="00F50C8B">
      <w:pPr>
        <w:widowControl/>
        <w:spacing w:line="570" w:lineRule="exact"/>
        <w:ind w:firstLineChars="150" w:firstLine="480"/>
        <w:rPr>
          <w:rFonts w:eastAsia="仿宋_GB2312"/>
          <w:sz w:val="32"/>
          <w:szCs w:val="32"/>
        </w:rPr>
      </w:pPr>
      <w:proofErr w:type="gramStart"/>
      <w:r w:rsidRPr="00F41376">
        <w:rPr>
          <w:rFonts w:eastAsia="仿宋_GB2312"/>
          <w:sz w:val="32"/>
          <w:szCs w:val="32"/>
        </w:rPr>
        <w:t>2.FDA</w:t>
      </w:r>
      <w:proofErr w:type="gramEnd"/>
      <w:r w:rsidRPr="00F41376">
        <w:rPr>
          <w:rFonts w:eastAsia="仿宋_GB2312"/>
          <w:sz w:val="32"/>
          <w:szCs w:val="32"/>
        </w:rPr>
        <w:t xml:space="preserve">, 1995, Center for Drug Evaluation and Research, Guidance for Industry: </w:t>
      </w:r>
      <w:proofErr w:type="spellStart"/>
      <w:r w:rsidRPr="00F41376">
        <w:rPr>
          <w:rFonts w:eastAsia="仿宋_GB2312"/>
          <w:sz w:val="32"/>
          <w:szCs w:val="32"/>
        </w:rPr>
        <w:t>ImmediateRelease</w:t>
      </w:r>
      <w:proofErr w:type="spellEnd"/>
      <w:r w:rsidRPr="00F41376">
        <w:rPr>
          <w:rFonts w:eastAsia="仿宋_GB2312"/>
          <w:sz w:val="32"/>
          <w:szCs w:val="32"/>
        </w:rPr>
        <w:t xml:space="preserve"> Solid Oral Dosage Forms. Scale-up and Post-Approval Changes: </w:t>
      </w:r>
      <w:proofErr w:type="spellStart"/>
      <w:r w:rsidRPr="00F41376">
        <w:rPr>
          <w:rFonts w:eastAsia="仿宋_GB2312"/>
          <w:sz w:val="32"/>
          <w:szCs w:val="32"/>
        </w:rPr>
        <w:t>Chemistry</w:t>
      </w:r>
      <w:proofErr w:type="gramStart"/>
      <w:r w:rsidRPr="00F41376">
        <w:rPr>
          <w:rFonts w:eastAsia="仿宋_GB2312"/>
          <w:sz w:val="32"/>
          <w:szCs w:val="32"/>
        </w:rPr>
        <w:t>,Manufacturing</w:t>
      </w:r>
      <w:proofErr w:type="spellEnd"/>
      <w:proofErr w:type="gramEnd"/>
      <w:r w:rsidRPr="00F41376">
        <w:rPr>
          <w:rFonts w:eastAsia="仿宋_GB2312"/>
          <w:sz w:val="32"/>
          <w:szCs w:val="32"/>
        </w:rPr>
        <w:t xml:space="preserve"> and Controls, In Vitro Dissolution Testing, and In Vivo Bioequivalence</w:t>
      </w:r>
    </w:p>
    <w:p w:rsidR="00F50C8B" w:rsidRPr="00F41376" w:rsidRDefault="00F50C8B" w:rsidP="00F50C8B">
      <w:pPr>
        <w:widowControl/>
        <w:spacing w:line="570" w:lineRule="exact"/>
        <w:rPr>
          <w:rFonts w:eastAsia="仿宋_GB2312"/>
          <w:sz w:val="32"/>
          <w:szCs w:val="32"/>
        </w:rPr>
      </w:pPr>
      <w:r w:rsidRPr="00F41376">
        <w:rPr>
          <w:rFonts w:eastAsia="仿宋_GB2312"/>
          <w:sz w:val="32"/>
          <w:szCs w:val="32"/>
        </w:rPr>
        <w:t>Documentation [SUPAC-IR], November 1995.</w:t>
      </w:r>
    </w:p>
    <w:p w:rsidR="00F50C8B" w:rsidRPr="00F41376" w:rsidRDefault="00F50C8B" w:rsidP="00F50C8B">
      <w:pPr>
        <w:widowControl/>
        <w:spacing w:line="570" w:lineRule="exact"/>
        <w:ind w:firstLineChars="150" w:firstLine="480"/>
        <w:rPr>
          <w:rFonts w:eastAsia="仿宋_GB2312"/>
          <w:sz w:val="32"/>
          <w:szCs w:val="32"/>
        </w:rPr>
      </w:pPr>
      <w:r w:rsidRPr="00F41376">
        <w:rPr>
          <w:rFonts w:eastAsia="仿宋_GB2312"/>
          <w:sz w:val="32"/>
          <w:szCs w:val="32"/>
        </w:rPr>
        <w:t xml:space="preserve">3.Meyer, M. C., A. B. </w:t>
      </w:r>
      <w:proofErr w:type="spellStart"/>
      <w:r w:rsidRPr="00F41376">
        <w:rPr>
          <w:rFonts w:eastAsia="仿宋_GB2312"/>
          <w:sz w:val="32"/>
          <w:szCs w:val="32"/>
        </w:rPr>
        <w:t>Straughn</w:t>
      </w:r>
      <w:proofErr w:type="spellEnd"/>
      <w:r w:rsidRPr="00F41376">
        <w:rPr>
          <w:rFonts w:eastAsia="仿宋_GB2312"/>
          <w:sz w:val="32"/>
          <w:szCs w:val="32"/>
        </w:rPr>
        <w:t xml:space="preserve">, E. J. </w:t>
      </w:r>
      <w:proofErr w:type="spellStart"/>
      <w:r w:rsidRPr="00F41376">
        <w:rPr>
          <w:rFonts w:eastAsia="仿宋_GB2312"/>
          <w:sz w:val="32"/>
          <w:szCs w:val="32"/>
        </w:rPr>
        <w:t>Jarvi</w:t>
      </w:r>
      <w:proofErr w:type="spellEnd"/>
      <w:r w:rsidRPr="00F41376">
        <w:rPr>
          <w:rFonts w:eastAsia="仿宋_GB2312"/>
          <w:sz w:val="32"/>
          <w:szCs w:val="32"/>
        </w:rPr>
        <w:t xml:space="preserve">, G. C. Wood, F. R. </w:t>
      </w:r>
      <w:proofErr w:type="spellStart"/>
      <w:r w:rsidRPr="00F41376">
        <w:rPr>
          <w:rFonts w:eastAsia="仿宋_GB2312"/>
          <w:sz w:val="32"/>
          <w:szCs w:val="32"/>
        </w:rPr>
        <w:t>Pelsor</w:t>
      </w:r>
      <w:proofErr w:type="spellEnd"/>
      <w:r w:rsidRPr="00F41376">
        <w:rPr>
          <w:rFonts w:eastAsia="仿宋_GB2312"/>
          <w:sz w:val="32"/>
          <w:szCs w:val="32"/>
        </w:rPr>
        <w:t xml:space="preserve">, and V. P. Shah, 1992,“The Bioequivalence of </w:t>
      </w:r>
      <w:proofErr w:type="spellStart"/>
      <w:r w:rsidRPr="00F41376">
        <w:rPr>
          <w:rFonts w:eastAsia="仿宋_GB2312"/>
          <w:sz w:val="32"/>
          <w:szCs w:val="32"/>
        </w:rPr>
        <w:t>Carbamazepine</w:t>
      </w:r>
      <w:proofErr w:type="spellEnd"/>
      <w:r w:rsidRPr="00F41376">
        <w:rPr>
          <w:rFonts w:eastAsia="仿宋_GB2312"/>
          <w:sz w:val="32"/>
          <w:szCs w:val="32"/>
        </w:rPr>
        <w:t xml:space="preserve"> Tablets with a History of Clinical </w:t>
      </w:r>
      <w:proofErr w:type="spellStart"/>
      <w:r w:rsidRPr="00F41376">
        <w:rPr>
          <w:rFonts w:eastAsia="仿宋_GB2312"/>
          <w:sz w:val="32"/>
          <w:szCs w:val="32"/>
        </w:rPr>
        <w:t>Failures,”Pharmaceutical</w:t>
      </w:r>
      <w:proofErr w:type="spellEnd"/>
      <w:r w:rsidRPr="00F41376">
        <w:rPr>
          <w:rFonts w:eastAsia="仿宋_GB2312"/>
          <w:sz w:val="32"/>
          <w:szCs w:val="32"/>
        </w:rPr>
        <w:t xml:space="preserve"> Research, 9:1612-1616.</w:t>
      </w:r>
    </w:p>
    <w:p w:rsidR="00F50C8B" w:rsidRPr="00F41376" w:rsidRDefault="00F50C8B" w:rsidP="00F50C8B">
      <w:pPr>
        <w:widowControl/>
        <w:spacing w:line="570" w:lineRule="exact"/>
        <w:ind w:firstLineChars="200" w:firstLine="656"/>
        <w:rPr>
          <w:rFonts w:eastAsia="仿宋_GB2312"/>
          <w:sz w:val="32"/>
          <w:szCs w:val="32"/>
        </w:rPr>
      </w:pPr>
      <w:proofErr w:type="gramStart"/>
      <w:r w:rsidRPr="00F50C8B">
        <w:rPr>
          <w:rFonts w:eastAsia="仿宋_GB2312"/>
          <w:spacing w:val="4"/>
          <w:sz w:val="32"/>
          <w:szCs w:val="32"/>
        </w:rPr>
        <w:t>4.Moore</w:t>
      </w:r>
      <w:proofErr w:type="gramEnd"/>
      <w:r w:rsidRPr="00F50C8B">
        <w:rPr>
          <w:rFonts w:eastAsia="仿宋_GB2312"/>
          <w:spacing w:val="4"/>
          <w:sz w:val="32"/>
          <w:szCs w:val="32"/>
        </w:rPr>
        <w:t xml:space="preserve">, J. W. and H. H. Flanner, 1996,“Mathematical Comparison of Dissolution </w:t>
      </w:r>
      <w:proofErr w:type="spellStart"/>
      <w:r w:rsidRPr="00F50C8B">
        <w:rPr>
          <w:rFonts w:eastAsia="仿宋_GB2312"/>
          <w:spacing w:val="4"/>
          <w:sz w:val="32"/>
          <w:szCs w:val="32"/>
        </w:rPr>
        <w:t>Profiles,”Pharmaceutical</w:t>
      </w:r>
      <w:proofErr w:type="spellEnd"/>
      <w:r w:rsidRPr="00F50C8B">
        <w:rPr>
          <w:rFonts w:eastAsia="仿宋_GB2312"/>
          <w:spacing w:val="4"/>
          <w:sz w:val="32"/>
          <w:szCs w:val="32"/>
        </w:rPr>
        <w:t xml:space="preserve"> Technology, 20 (6):64-74.</w:t>
      </w:r>
    </w:p>
    <w:p w:rsidR="00F50C8B" w:rsidRDefault="00F50C8B" w:rsidP="00F50C8B">
      <w:pPr>
        <w:widowControl/>
        <w:spacing w:line="570" w:lineRule="exact"/>
        <w:ind w:firstLineChars="200" w:firstLine="640"/>
        <w:rPr>
          <w:rFonts w:eastAsia="仿宋_GB2312"/>
          <w:spacing w:val="-16"/>
          <w:sz w:val="32"/>
          <w:szCs w:val="32"/>
        </w:rPr>
      </w:pPr>
      <w:r w:rsidRPr="008B0B93">
        <w:rPr>
          <w:rFonts w:eastAsia="仿宋_GB2312"/>
          <w:sz w:val="32"/>
          <w:szCs w:val="32"/>
        </w:rPr>
        <w:t>5.</w:t>
      </w:r>
      <w:r w:rsidRPr="00F50C8B">
        <w:rPr>
          <w:rFonts w:eastAsia="仿宋_GB2312"/>
          <w:spacing w:val="-16"/>
          <w:sz w:val="32"/>
          <w:szCs w:val="32"/>
        </w:rPr>
        <w:t xml:space="preserve">Shah, V. P., et al., 1989, “In Vitro Dissolution Profile of Water Insoluble Drug Dosage Forms </w:t>
      </w:r>
      <w:proofErr w:type="spellStart"/>
      <w:r w:rsidRPr="00F50C8B">
        <w:rPr>
          <w:rFonts w:eastAsia="仿宋_GB2312"/>
          <w:spacing w:val="-16"/>
          <w:sz w:val="32"/>
          <w:szCs w:val="32"/>
        </w:rPr>
        <w:t>inthe</w:t>
      </w:r>
      <w:proofErr w:type="spellEnd"/>
      <w:r w:rsidRPr="00F50C8B">
        <w:rPr>
          <w:rFonts w:eastAsia="仿宋_GB2312"/>
          <w:spacing w:val="-16"/>
          <w:sz w:val="32"/>
          <w:szCs w:val="32"/>
        </w:rPr>
        <w:t xml:space="preserve"> Presence of </w:t>
      </w:r>
      <w:proofErr w:type="spellStart"/>
      <w:r w:rsidRPr="00F50C8B">
        <w:rPr>
          <w:rFonts w:eastAsia="仿宋_GB2312"/>
          <w:spacing w:val="-16"/>
          <w:sz w:val="32"/>
          <w:szCs w:val="32"/>
        </w:rPr>
        <w:t>Surfactants,”Pharmaceutical</w:t>
      </w:r>
      <w:proofErr w:type="spellEnd"/>
      <w:r w:rsidRPr="00F50C8B">
        <w:rPr>
          <w:rFonts w:eastAsia="仿宋_GB2312"/>
          <w:spacing w:val="-16"/>
          <w:sz w:val="32"/>
          <w:szCs w:val="32"/>
        </w:rPr>
        <w:t xml:space="preserve"> Research,</w:t>
      </w:r>
      <w:r w:rsidRPr="00F50C8B">
        <w:rPr>
          <w:rFonts w:eastAsia="仿宋_GB2312" w:hint="eastAsia"/>
          <w:spacing w:val="-16"/>
          <w:sz w:val="32"/>
          <w:szCs w:val="32"/>
        </w:rPr>
        <w:t xml:space="preserve"> 6:612-618.</w:t>
      </w:r>
    </w:p>
    <w:p w:rsidR="00F50C8B" w:rsidRDefault="00F50C8B" w:rsidP="00F50C8B">
      <w:pPr>
        <w:widowControl/>
        <w:spacing w:line="570" w:lineRule="exact"/>
        <w:ind w:firstLineChars="200" w:firstLine="640"/>
        <w:rPr>
          <w:rFonts w:eastAsia="仿宋_GB2312"/>
          <w:spacing w:val="-6"/>
          <w:sz w:val="32"/>
          <w:szCs w:val="32"/>
        </w:rPr>
      </w:pPr>
      <w:proofErr w:type="gramStart"/>
      <w:r w:rsidRPr="00F41376">
        <w:rPr>
          <w:rFonts w:eastAsia="仿宋_GB2312"/>
          <w:sz w:val="32"/>
          <w:szCs w:val="32"/>
        </w:rPr>
        <w:t>6.</w:t>
      </w:r>
      <w:r w:rsidRPr="00F50C8B">
        <w:rPr>
          <w:rFonts w:eastAsia="仿宋_GB2312"/>
          <w:spacing w:val="-2"/>
          <w:sz w:val="32"/>
          <w:szCs w:val="32"/>
        </w:rPr>
        <w:t>Shah</w:t>
      </w:r>
      <w:proofErr w:type="gramEnd"/>
      <w:r w:rsidRPr="00F50C8B">
        <w:rPr>
          <w:rFonts w:eastAsia="仿宋_GB2312"/>
          <w:spacing w:val="-2"/>
          <w:sz w:val="32"/>
          <w:szCs w:val="32"/>
        </w:rPr>
        <w:t xml:space="preserve">, V. P., et al., 1992,“Influence of Higher Rate </w:t>
      </w:r>
      <w:proofErr w:type="spellStart"/>
      <w:r w:rsidRPr="00F50C8B">
        <w:rPr>
          <w:rFonts w:eastAsia="仿宋_GB2312"/>
          <w:spacing w:val="-2"/>
          <w:sz w:val="32"/>
          <w:szCs w:val="32"/>
        </w:rPr>
        <w:t>ofAgitation</w:t>
      </w:r>
      <w:proofErr w:type="spellEnd"/>
    </w:p>
    <w:p w:rsidR="00F50C8B" w:rsidRPr="00F50C8B" w:rsidRDefault="00F50C8B" w:rsidP="00F50C8B">
      <w:pPr>
        <w:widowControl/>
        <w:spacing w:line="570" w:lineRule="exact"/>
        <w:ind w:firstLine="616"/>
        <w:rPr>
          <w:rFonts w:eastAsia="仿宋_GB2312"/>
          <w:spacing w:val="-6"/>
          <w:sz w:val="32"/>
          <w:szCs w:val="32"/>
        </w:rPr>
      </w:pPr>
      <w:proofErr w:type="gramStart"/>
      <w:r w:rsidRPr="00F50C8B">
        <w:rPr>
          <w:rFonts w:eastAsia="仿宋_GB2312"/>
          <w:spacing w:val="-6"/>
          <w:sz w:val="32"/>
          <w:szCs w:val="32"/>
        </w:rPr>
        <w:lastRenderedPageBreak/>
        <w:t>on</w:t>
      </w:r>
      <w:proofErr w:type="gramEnd"/>
      <w:r w:rsidRPr="00F50C8B">
        <w:rPr>
          <w:rFonts w:eastAsia="仿宋_GB2312"/>
          <w:spacing w:val="-6"/>
          <w:sz w:val="32"/>
          <w:szCs w:val="32"/>
        </w:rPr>
        <w:t xml:space="preserve"> Release Patterns of Immediate Release Drug </w:t>
      </w:r>
      <w:proofErr w:type="spellStart"/>
      <w:r w:rsidRPr="00F50C8B">
        <w:rPr>
          <w:rFonts w:eastAsia="仿宋_GB2312"/>
          <w:spacing w:val="-6"/>
          <w:sz w:val="32"/>
          <w:szCs w:val="32"/>
        </w:rPr>
        <w:t>Products,”Journal</w:t>
      </w:r>
      <w:proofErr w:type="spellEnd"/>
      <w:r w:rsidRPr="00F50C8B">
        <w:rPr>
          <w:rFonts w:eastAsia="仿宋_GB2312"/>
          <w:spacing w:val="-6"/>
          <w:sz w:val="32"/>
          <w:szCs w:val="32"/>
        </w:rPr>
        <w:t xml:space="preserve"> of Pharmaceutical Science, 81:500-503.</w:t>
      </w:r>
    </w:p>
    <w:p w:rsidR="00F50C8B" w:rsidRPr="00F41376" w:rsidRDefault="00F50C8B" w:rsidP="00F50C8B">
      <w:pPr>
        <w:widowControl/>
        <w:spacing w:line="570" w:lineRule="exact"/>
        <w:ind w:firstLineChars="200" w:firstLine="616"/>
        <w:jc w:val="left"/>
        <w:rPr>
          <w:rFonts w:eastAsia="仿宋_GB2312"/>
          <w:sz w:val="32"/>
          <w:szCs w:val="32"/>
        </w:rPr>
      </w:pPr>
      <w:r w:rsidRPr="00F50C8B">
        <w:rPr>
          <w:rFonts w:eastAsia="仿宋_GB2312"/>
          <w:spacing w:val="-6"/>
          <w:sz w:val="32"/>
          <w:szCs w:val="32"/>
        </w:rPr>
        <w:t xml:space="preserve">7.Shah, V. P., J. P. </w:t>
      </w:r>
      <w:proofErr w:type="spellStart"/>
      <w:r w:rsidRPr="00F50C8B">
        <w:rPr>
          <w:rFonts w:eastAsia="仿宋_GB2312"/>
          <w:spacing w:val="-6"/>
          <w:sz w:val="32"/>
          <w:szCs w:val="32"/>
        </w:rPr>
        <w:t>Skelly</w:t>
      </w:r>
      <w:proofErr w:type="spellEnd"/>
      <w:r w:rsidRPr="00F50C8B">
        <w:rPr>
          <w:rFonts w:eastAsia="仿宋_GB2312"/>
          <w:spacing w:val="-6"/>
          <w:sz w:val="32"/>
          <w:szCs w:val="32"/>
        </w:rPr>
        <w:t xml:space="preserve">, W. H. Barr, H. Malinowski, and G. L. </w:t>
      </w:r>
      <w:proofErr w:type="spellStart"/>
      <w:r w:rsidRPr="00F50C8B">
        <w:rPr>
          <w:rFonts w:eastAsia="仿宋_GB2312"/>
          <w:spacing w:val="-6"/>
          <w:sz w:val="32"/>
          <w:szCs w:val="32"/>
        </w:rPr>
        <w:t>Amidon</w:t>
      </w:r>
      <w:proofErr w:type="spellEnd"/>
      <w:r w:rsidRPr="00F50C8B">
        <w:rPr>
          <w:rFonts w:eastAsia="仿宋_GB2312"/>
          <w:spacing w:val="-6"/>
          <w:sz w:val="32"/>
          <w:szCs w:val="32"/>
        </w:rPr>
        <w:t>, 1992,“Scale-up of Controlled Release Products –</w:t>
      </w:r>
      <w:proofErr w:type="spellStart"/>
      <w:r w:rsidRPr="00F50C8B">
        <w:rPr>
          <w:rFonts w:eastAsia="仿宋_GB2312"/>
          <w:spacing w:val="-6"/>
          <w:sz w:val="32"/>
          <w:szCs w:val="32"/>
        </w:rPr>
        <w:t>Preliminary</w:t>
      </w:r>
      <w:r w:rsidRPr="00F41376">
        <w:rPr>
          <w:rFonts w:eastAsia="仿宋_GB2312"/>
          <w:sz w:val="32"/>
          <w:szCs w:val="32"/>
        </w:rPr>
        <w:t>Considerations,”Pharmaceutical</w:t>
      </w:r>
      <w:proofErr w:type="spellEnd"/>
      <w:r w:rsidRPr="00F41376">
        <w:rPr>
          <w:rFonts w:eastAsia="仿宋_GB2312"/>
          <w:sz w:val="32"/>
          <w:szCs w:val="32"/>
        </w:rPr>
        <w:t xml:space="preserve"> Technology, 16(5):35-40.</w:t>
      </w:r>
    </w:p>
    <w:p w:rsidR="00F50C8B" w:rsidRPr="00F50C8B" w:rsidRDefault="00F50C8B" w:rsidP="00F50C8B">
      <w:pPr>
        <w:widowControl/>
        <w:spacing w:line="570" w:lineRule="exact"/>
        <w:ind w:firstLineChars="200" w:firstLine="640"/>
        <w:rPr>
          <w:rFonts w:eastAsia="仿宋_GB2312"/>
          <w:spacing w:val="-4"/>
          <w:sz w:val="32"/>
          <w:szCs w:val="32"/>
        </w:rPr>
      </w:pPr>
      <w:r w:rsidRPr="00F41376">
        <w:rPr>
          <w:rFonts w:eastAsia="仿宋_GB2312"/>
          <w:sz w:val="32"/>
          <w:szCs w:val="32"/>
        </w:rPr>
        <w:t>8.</w:t>
      </w:r>
      <w:r w:rsidRPr="00F50C8B">
        <w:rPr>
          <w:rFonts w:eastAsia="仿宋_GB2312"/>
          <w:spacing w:val="-4"/>
          <w:sz w:val="32"/>
          <w:szCs w:val="32"/>
        </w:rPr>
        <w:t>Shah, V. P., et al., 1995,“In Vivo Dissolution of Sparingly Water Soluble Drug Dosage Forms,” International Journal of Pharmaceutics, 125:99-106.</w:t>
      </w:r>
    </w:p>
    <w:p w:rsidR="00F50C8B" w:rsidRPr="00F41376" w:rsidRDefault="00F50C8B" w:rsidP="00F50C8B">
      <w:pPr>
        <w:widowControl/>
        <w:spacing w:line="570" w:lineRule="exact"/>
        <w:ind w:firstLineChars="200" w:firstLine="640"/>
        <w:rPr>
          <w:rFonts w:eastAsia="仿宋_GB2312"/>
          <w:sz w:val="32"/>
          <w:szCs w:val="32"/>
        </w:rPr>
      </w:pPr>
      <w:proofErr w:type="gramStart"/>
      <w:r w:rsidRPr="00F41376">
        <w:rPr>
          <w:rFonts w:eastAsia="仿宋_GB2312"/>
          <w:sz w:val="32"/>
          <w:szCs w:val="32"/>
        </w:rPr>
        <w:t>9.Siewert</w:t>
      </w:r>
      <w:proofErr w:type="gramEnd"/>
      <w:r w:rsidRPr="00F41376">
        <w:rPr>
          <w:rFonts w:eastAsia="仿宋_GB2312"/>
          <w:sz w:val="32"/>
          <w:szCs w:val="32"/>
        </w:rPr>
        <w:t xml:space="preserve">, M., 1995,“FIP Guidelines for Dissolution Testing of Solid Oral </w:t>
      </w:r>
      <w:proofErr w:type="spellStart"/>
      <w:r w:rsidRPr="00F41376">
        <w:rPr>
          <w:rFonts w:eastAsia="仿宋_GB2312"/>
          <w:sz w:val="32"/>
          <w:szCs w:val="32"/>
        </w:rPr>
        <w:t>Products,”Pharm.Ind</w:t>
      </w:r>
      <w:proofErr w:type="spellEnd"/>
      <w:r w:rsidRPr="00F41376">
        <w:rPr>
          <w:rFonts w:eastAsia="仿宋_GB2312"/>
          <w:sz w:val="32"/>
          <w:szCs w:val="32"/>
        </w:rPr>
        <w:t>. 57:362-369.</w:t>
      </w:r>
    </w:p>
    <w:p w:rsidR="00F50C8B" w:rsidRPr="00F50C8B" w:rsidRDefault="00F50C8B" w:rsidP="00F50C8B">
      <w:pPr>
        <w:widowControl/>
        <w:spacing w:line="570" w:lineRule="exact"/>
        <w:ind w:firstLineChars="200" w:firstLine="616"/>
        <w:rPr>
          <w:rFonts w:eastAsia="仿宋_GB2312"/>
          <w:spacing w:val="-6"/>
          <w:sz w:val="32"/>
          <w:szCs w:val="32"/>
        </w:rPr>
      </w:pPr>
      <w:r w:rsidRPr="00F50C8B">
        <w:rPr>
          <w:rFonts w:eastAsia="仿宋_GB2312"/>
          <w:spacing w:val="-6"/>
          <w:sz w:val="32"/>
          <w:szCs w:val="32"/>
        </w:rPr>
        <w:t xml:space="preserve">10. </w:t>
      </w:r>
      <w:proofErr w:type="spellStart"/>
      <w:r w:rsidRPr="00F50C8B">
        <w:rPr>
          <w:rFonts w:eastAsia="仿宋_GB2312"/>
          <w:spacing w:val="-6"/>
          <w:sz w:val="32"/>
          <w:szCs w:val="32"/>
        </w:rPr>
        <w:t>Skelly</w:t>
      </w:r>
      <w:proofErr w:type="spellEnd"/>
      <w:r w:rsidRPr="00F50C8B">
        <w:rPr>
          <w:rFonts w:eastAsia="仿宋_GB2312"/>
          <w:spacing w:val="-6"/>
          <w:sz w:val="32"/>
          <w:szCs w:val="32"/>
        </w:rPr>
        <w:t xml:space="preserve">, J. P., G. L. </w:t>
      </w:r>
      <w:proofErr w:type="spellStart"/>
      <w:r w:rsidRPr="00F50C8B">
        <w:rPr>
          <w:rFonts w:eastAsia="仿宋_GB2312"/>
          <w:spacing w:val="-6"/>
          <w:sz w:val="32"/>
          <w:szCs w:val="32"/>
        </w:rPr>
        <w:t>Amidon</w:t>
      </w:r>
      <w:proofErr w:type="spellEnd"/>
      <w:r w:rsidRPr="00F50C8B">
        <w:rPr>
          <w:rFonts w:eastAsia="仿宋_GB2312"/>
          <w:spacing w:val="-6"/>
          <w:sz w:val="32"/>
          <w:szCs w:val="32"/>
        </w:rPr>
        <w:t xml:space="preserve">, W. H. Barr, L. Z. Benet, J. E. Carter, J. R. Robinson, V. P. Shah, and A. </w:t>
      </w:r>
      <w:proofErr w:type="spellStart"/>
      <w:r w:rsidRPr="00F50C8B">
        <w:rPr>
          <w:rFonts w:eastAsia="仿宋_GB2312"/>
          <w:spacing w:val="-6"/>
          <w:sz w:val="32"/>
          <w:szCs w:val="32"/>
        </w:rPr>
        <w:t>Yacobi</w:t>
      </w:r>
      <w:proofErr w:type="spellEnd"/>
      <w:r w:rsidRPr="00F50C8B">
        <w:rPr>
          <w:rFonts w:eastAsia="仿宋_GB2312"/>
          <w:spacing w:val="-6"/>
          <w:sz w:val="32"/>
          <w:szCs w:val="32"/>
        </w:rPr>
        <w:t xml:space="preserve">, 1990,“In Vitro and In Vivo Testing and Correlation for Oral Controlled/Modified-Release Dosage </w:t>
      </w:r>
      <w:proofErr w:type="spellStart"/>
      <w:r w:rsidRPr="00F50C8B">
        <w:rPr>
          <w:rFonts w:eastAsia="仿宋_GB2312"/>
          <w:spacing w:val="-6"/>
          <w:sz w:val="32"/>
          <w:szCs w:val="32"/>
        </w:rPr>
        <w:t>Forms,”Pharmaceutical</w:t>
      </w:r>
      <w:proofErr w:type="spellEnd"/>
      <w:r w:rsidRPr="00F50C8B">
        <w:rPr>
          <w:rFonts w:eastAsia="仿宋_GB2312"/>
          <w:spacing w:val="-6"/>
          <w:sz w:val="32"/>
          <w:szCs w:val="32"/>
        </w:rPr>
        <w:t xml:space="preserve"> Research, 7:975-982.</w:t>
      </w:r>
    </w:p>
    <w:p w:rsidR="00F50C8B" w:rsidRPr="00F41376" w:rsidRDefault="00F50C8B" w:rsidP="00F50C8B">
      <w:pPr>
        <w:widowControl/>
        <w:spacing w:line="570" w:lineRule="exact"/>
        <w:ind w:firstLineChars="200" w:firstLine="640"/>
        <w:rPr>
          <w:rFonts w:eastAsia="仿宋_GB2312"/>
          <w:sz w:val="32"/>
          <w:szCs w:val="32"/>
        </w:rPr>
      </w:pPr>
      <w:r w:rsidRPr="00F41376">
        <w:rPr>
          <w:rFonts w:eastAsia="仿宋_GB2312"/>
          <w:sz w:val="32"/>
          <w:szCs w:val="32"/>
        </w:rPr>
        <w:t xml:space="preserve">11. </w:t>
      </w:r>
      <w:r w:rsidRPr="00F41376">
        <w:rPr>
          <w:rFonts w:eastAsia="仿宋_GB2312"/>
          <w:sz w:val="32"/>
          <w:szCs w:val="32"/>
        </w:rPr>
        <w:t>国家食品药品监督管理局，已上市化学药品变更研究的技术指导原则（</w:t>
      </w:r>
      <w:proofErr w:type="gramStart"/>
      <w:r w:rsidRPr="00F41376">
        <w:rPr>
          <w:rFonts w:eastAsia="仿宋_GB2312"/>
          <w:sz w:val="32"/>
          <w:szCs w:val="32"/>
        </w:rPr>
        <w:t>一</w:t>
      </w:r>
      <w:proofErr w:type="gramEnd"/>
      <w:r w:rsidRPr="00F41376">
        <w:rPr>
          <w:rFonts w:eastAsia="仿宋_GB2312"/>
          <w:sz w:val="32"/>
          <w:szCs w:val="32"/>
        </w:rPr>
        <w:t>），</w:t>
      </w:r>
      <w:r w:rsidRPr="00F41376">
        <w:rPr>
          <w:rFonts w:eastAsia="仿宋_GB2312"/>
          <w:sz w:val="32"/>
          <w:szCs w:val="32"/>
        </w:rPr>
        <w:t>2008.</w:t>
      </w:r>
    </w:p>
    <w:p w:rsidR="00F50C8B" w:rsidRPr="00F41376" w:rsidRDefault="00F50C8B" w:rsidP="00F50C8B">
      <w:pPr>
        <w:widowControl/>
        <w:spacing w:line="570" w:lineRule="exact"/>
        <w:ind w:firstLineChars="200" w:firstLine="640"/>
        <w:rPr>
          <w:rFonts w:eastAsia="仿宋_GB2312"/>
          <w:sz w:val="32"/>
          <w:szCs w:val="32"/>
        </w:rPr>
      </w:pPr>
      <w:r w:rsidRPr="00F41376">
        <w:rPr>
          <w:rFonts w:eastAsia="仿宋_GB2312"/>
          <w:sz w:val="32"/>
          <w:szCs w:val="32"/>
        </w:rPr>
        <w:t>12.</w:t>
      </w:r>
      <w:r w:rsidRPr="00F41376">
        <w:rPr>
          <w:rFonts w:eastAsia="仿宋_GB2312"/>
          <w:sz w:val="32"/>
          <w:szCs w:val="32"/>
        </w:rPr>
        <w:t>中国药典</w:t>
      </w:r>
      <w:r w:rsidRPr="00F41376">
        <w:rPr>
          <w:rFonts w:eastAsia="仿宋_GB2312"/>
          <w:sz w:val="32"/>
          <w:szCs w:val="32"/>
        </w:rPr>
        <w:t>2010</w:t>
      </w:r>
      <w:r w:rsidRPr="00F41376">
        <w:rPr>
          <w:rFonts w:eastAsia="仿宋_GB2312"/>
          <w:sz w:val="32"/>
          <w:szCs w:val="32"/>
        </w:rPr>
        <w:t>版二部附录，溶出度测定法</w:t>
      </w:r>
      <w:r>
        <w:rPr>
          <w:rFonts w:eastAsia="仿宋_GB2312" w:hint="eastAsia"/>
          <w:sz w:val="32"/>
          <w:szCs w:val="32"/>
        </w:rPr>
        <w:t>。</w:t>
      </w:r>
    </w:p>
    <w:p w:rsidR="00F50C8B" w:rsidRPr="00F41376" w:rsidRDefault="00F50C8B" w:rsidP="00F50C8B">
      <w:pPr>
        <w:widowControl/>
        <w:spacing w:line="570" w:lineRule="exact"/>
        <w:ind w:firstLineChars="200" w:firstLine="640"/>
        <w:rPr>
          <w:rFonts w:eastAsia="仿宋_GB2312"/>
          <w:sz w:val="32"/>
          <w:szCs w:val="32"/>
        </w:rPr>
      </w:pPr>
      <w:r w:rsidRPr="00F41376">
        <w:rPr>
          <w:rFonts w:eastAsia="仿宋_GB2312"/>
          <w:sz w:val="32"/>
          <w:szCs w:val="32"/>
        </w:rPr>
        <w:t>13. British Pharmacopeia 2012</w:t>
      </w:r>
      <w:r w:rsidRPr="00F41376">
        <w:rPr>
          <w:rFonts w:eastAsia="仿宋_GB2312"/>
          <w:sz w:val="32"/>
          <w:szCs w:val="32"/>
        </w:rPr>
        <w:t>，</w:t>
      </w:r>
      <w:r w:rsidRPr="00F41376">
        <w:rPr>
          <w:rFonts w:eastAsia="仿宋_GB2312"/>
          <w:sz w:val="32"/>
          <w:szCs w:val="32"/>
        </w:rPr>
        <w:t>Dissolution test for tablets and capsules.</w:t>
      </w:r>
    </w:p>
    <w:p w:rsidR="00F50C8B" w:rsidRPr="00F41376" w:rsidRDefault="00F50C8B" w:rsidP="0092029F">
      <w:r w:rsidRPr="00F41376">
        <w:rPr>
          <w:szCs w:val="21"/>
        </w:rPr>
        <w:br w:type="page"/>
      </w:r>
      <w:bookmarkStart w:id="0" w:name="_GoBack"/>
      <w:bookmarkEnd w:id="0"/>
    </w:p>
    <w:p w:rsidR="002D4046" w:rsidRPr="00F50C8B" w:rsidRDefault="002D4046"/>
    <w:sectPr w:rsidR="002D4046" w:rsidRPr="00F50C8B" w:rsidSect="00F50C8B">
      <w:footerReference w:type="even" r:id="rId8"/>
      <w:footerReference w:type="default" r:id="rId9"/>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05F" w:rsidRDefault="0090105F" w:rsidP="00F50C8B">
      <w:r>
        <w:separator/>
      </w:r>
    </w:p>
  </w:endnote>
  <w:endnote w:type="continuationSeparator" w:id="0">
    <w:p w:rsidR="0090105F" w:rsidRDefault="0090105F" w:rsidP="00F50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33" w:rsidRPr="00F50C8B" w:rsidRDefault="00890B31">
    <w:pPr>
      <w:pStyle w:val="a4"/>
      <w:rPr>
        <w:sz w:val="28"/>
        <w:szCs w:val="28"/>
      </w:rPr>
    </w:pPr>
    <w:r w:rsidRPr="00F50C8B">
      <w:rPr>
        <w:rFonts w:hint="eastAsia"/>
        <w:color w:val="FFFFFF"/>
        <w:sz w:val="28"/>
        <w:szCs w:val="28"/>
      </w:rPr>
      <w:t>啊</w:t>
    </w:r>
    <w:r w:rsidRPr="00F50C8B">
      <w:rPr>
        <w:rFonts w:hint="eastAsia"/>
        <w:sz w:val="28"/>
        <w:szCs w:val="28"/>
      </w:rPr>
      <w:t>—</w:t>
    </w:r>
    <w:r w:rsidR="00FB3837" w:rsidRPr="00F50C8B">
      <w:rPr>
        <w:sz w:val="28"/>
        <w:szCs w:val="28"/>
      </w:rPr>
      <w:fldChar w:fldCharType="begin"/>
    </w:r>
    <w:r w:rsidRPr="00F50C8B">
      <w:rPr>
        <w:sz w:val="28"/>
        <w:szCs w:val="28"/>
      </w:rPr>
      <w:instrText>PAGE   \* MERGEFORMAT</w:instrText>
    </w:r>
    <w:r w:rsidR="00FB3837" w:rsidRPr="00F50C8B">
      <w:rPr>
        <w:sz w:val="28"/>
        <w:szCs w:val="28"/>
      </w:rPr>
      <w:fldChar w:fldCharType="separate"/>
    </w:r>
    <w:r w:rsidRPr="00DA3706">
      <w:rPr>
        <w:noProof/>
        <w:sz w:val="28"/>
        <w:szCs w:val="28"/>
        <w:lang w:val="zh-CN"/>
      </w:rPr>
      <w:t>2</w:t>
    </w:r>
    <w:r w:rsidR="00FB3837" w:rsidRPr="00F50C8B">
      <w:rPr>
        <w:sz w:val="28"/>
        <w:szCs w:val="28"/>
      </w:rPr>
      <w:fldChar w:fldCharType="end"/>
    </w:r>
    <w:r w:rsidRPr="00F50C8B">
      <w:rPr>
        <w:rFonts w:hint="eastAsia"/>
        <w:sz w:val="28"/>
        <w:szCs w:val="28"/>
      </w:rPr>
      <w:t>—</w:t>
    </w:r>
  </w:p>
  <w:p w:rsidR="005D3E33" w:rsidRDefault="0090105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33" w:rsidRPr="00F50C8B" w:rsidRDefault="00890B31" w:rsidP="00F50C8B">
    <w:pPr>
      <w:pStyle w:val="a4"/>
      <w:wordWrap w:val="0"/>
      <w:jc w:val="right"/>
      <w:rPr>
        <w:sz w:val="28"/>
        <w:szCs w:val="28"/>
      </w:rPr>
    </w:pPr>
    <w:r w:rsidRPr="00F50C8B">
      <w:rPr>
        <w:rFonts w:hint="eastAsia"/>
        <w:sz w:val="28"/>
        <w:szCs w:val="28"/>
      </w:rPr>
      <w:t>—</w:t>
    </w:r>
    <w:r w:rsidR="00FB3837" w:rsidRPr="00F50C8B">
      <w:rPr>
        <w:sz w:val="28"/>
        <w:szCs w:val="28"/>
      </w:rPr>
      <w:fldChar w:fldCharType="begin"/>
    </w:r>
    <w:r w:rsidRPr="00F50C8B">
      <w:rPr>
        <w:sz w:val="28"/>
        <w:szCs w:val="28"/>
      </w:rPr>
      <w:instrText>PAGE   \* MERGEFORMAT</w:instrText>
    </w:r>
    <w:r w:rsidR="00FB3837" w:rsidRPr="00F50C8B">
      <w:rPr>
        <w:sz w:val="28"/>
        <w:szCs w:val="28"/>
      </w:rPr>
      <w:fldChar w:fldCharType="separate"/>
    </w:r>
    <w:r w:rsidR="00B57E3E" w:rsidRPr="00B57E3E">
      <w:rPr>
        <w:noProof/>
        <w:sz w:val="28"/>
        <w:szCs w:val="28"/>
        <w:lang w:val="zh-CN"/>
      </w:rPr>
      <w:t>1</w:t>
    </w:r>
    <w:r w:rsidR="00FB3837" w:rsidRPr="00F50C8B">
      <w:rPr>
        <w:sz w:val="28"/>
        <w:szCs w:val="28"/>
      </w:rPr>
      <w:fldChar w:fldCharType="end"/>
    </w:r>
    <w:r w:rsidRPr="00F50C8B">
      <w:rPr>
        <w:rFonts w:hint="eastAsia"/>
        <w:sz w:val="28"/>
        <w:szCs w:val="28"/>
      </w:rPr>
      <w:t>—</w:t>
    </w:r>
  </w:p>
  <w:p w:rsidR="005D3E33" w:rsidRDefault="009010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05F" w:rsidRDefault="0090105F" w:rsidP="00F50C8B">
      <w:r>
        <w:separator/>
      </w:r>
    </w:p>
  </w:footnote>
  <w:footnote w:type="continuationSeparator" w:id="0">
    <w:p w:rsidR="0090105F" w:rsidRDefault="0090105F" w:rsidP="00F50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6566"/>
    <w:rsid w:val="0006279D"/>
    <w:rsid w:val="001B2923"/>
    <w:rsid w:val="002D4046"/>
    <w:rsid w:val="00316566"/>
    <w:rsid w:val="00695562"/>
    <w:rsid w:val="007F1B65"/>
    <w:rsid w:val="00890B31"/>
    <w:rsid w:val="008B1C60"/>
    <w:rsid w:val="0090105F"/>
    <w:rsid w:val="0092029F"/>
    <w:rsid w:val="00B4089C"/>
    <w:rsid w:val="00B57E3E"/>
    <w:rsid w:val="00BB268F"/>
    <w:rsid w:val="00CB28BC"/>
    <w:rsid w:val="00D04936"/>
    <w:rsid w:val="00D658BB"/>
    <w:rsid w:val="00F23A29"/>
    <w:rsid w:val="00F50C8B"/>
    <w:rsid w:val="00FA0BAE"/>
    <w:rsid w:val="00FB38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C8B"/>
    <w:rPr>
      <w:sz w:val="18"/>
      <w:szCs w:val="18"/>
    </w:rPr>
  </w:style>
  <w:style w:type="paragraph" w:styleId="a4">
    <w:name w:val="footer"/>
    <w:basedOn w:val="a"/>
    <w:link w:val="Char0"/>
    <w:uiPriority w:val="99"/>
    <w:unhideWhenUsed/>
    <w:rsid w:val="00F50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C8B"/>
    <w:rPr>
      <w:sz w:val="18"/>
      <w:szCs w:val="18"/>
    </w:rPr>
  </w:style>
  <w:style w:type="paragraph" w:styleId="a5">
    <w:name w:val="Balloon Text"/>
    <w:basedOn w:val="a"/>
    <w:link w:val="Char1"/>
    <w:uiPriority w:val="99"/>
    <w:semiHidden/>
    <w:unhideWhenUsed/>
    <w:rsid w:val="00F50C8B"/>
    <w:rPr>
      <w:sz w:val="18"/>
      <w:szCs w:val="18"/>
    </w:rPr>
  </w:style>
  <w:style w:type="character" w:customStyle="1" w:styleId="Char1">
    <w:name w:val="批注框文本 Char"/>
    <w:basedOn w:val="a0"/>
    <w:link w:val="a5"/>
    <w:uiPriority w:val="99"/>
    <w:semiHidden/>
    <w:rsid w:val="00F50C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C8B"/>
    <w:rPr>
      <w:sz w:val="18"/>
      <w:szCs w:val="18"/>
    </w:rPr>
  </w:style>
  <w:style w:type="paragraph" w:styleId="a4">
    <w:name w:val="footer"/>
    <w:basedOn w:val="a"/>
    <w:link w:val="Char0"/>
    <w:uiPriority w:val="99"/>
    <w:unhideWhenUsed/>
    <w:rsid w:val="00F50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C8B"/>
    <w:rPr>
      <w:sz w:val="18"/>
      <w:szCs w:val="18"/>
    </w:rPr>
  </w:style>
  <w:style w:type="paragraph" w:styleId="a5">
    <w:name w:val="Balloon Text"/>
    <w:basedOn w:val="a"/>
    <w:link w:val="Char1"/>
    <w:uiPriority w:val="99"/>
    <w:semiHidden/>
    <w:unhideWhenUsed/>
    <w:rsid w:val="00F50C8B"/>
    <w:rPr>
      <w:sz w:val="18"/>
      <w:szCs w:val="18"/>
    </w:rPr>
  </w:style>
  <w:style w:type="character" w:customStyle="1" w:styleId="Char1">
    <w:name w:val="批注框文本 Char"/>
    <w:basedOn w:val="a0"/>
    <w:link w:val="a5"/>
    <w:uiPriority w:val="99"/>
    <w:semiHidden/>
    <w:rsid w:val="00F50C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1549</Words>
  <Characters>8833</Characters>
  <Application>Microsoft Office Word</Application>
  <DocSecurity>0</DocSecurity>
  <Lines>73</Lines>
  <Paragraphs>20</Paragraphs>
  <ScaleCrop>false</ScaleCrop>
  <Company>CFDA</Company>
  <LinksUpToDate>false</LinksUpToDate>
  <CharactersWithSpaces>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支持人员</dc:creator>
  <cp:lastModifiedBy>董江萍</cp:lastModifiedBy>
  <cp:revision>2</cp:revision>
  <dcterms:created xsi:type="dcterms:W3CDTF">2015-02-13T08:14:00Z</dcterms:created>
  <dcterms:modified xsi:type="dcterms:W3CDTF">2015-02-13T08:14:00Z</dcterms:modified>
</cp:coreProperties>
</file>