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1607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00000" w:rsidRDefault="00A16079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000000" w:rsidRDefault="00A1607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间苯三酚注射剂说明书修订</w:t>
      </w:r>
      <w:bookmarkStart w:id="0" w:name="6730918-6945218-3"/>
      <w:bookmarkStart w:id="1" w:name="6730918-6945218-4"/>
      <w:bookmarkEnd w:id="0"/>
      <w:bookmarkEnd w:id="1"/>
      <w:r>
        <w:rPr>
          <w:rFonts w:ascii="方正小标宋简体" w:eastAsia="方正小标宋简体" w:hint="eastAsia"/>
          <w:color w:val="000000"/>
          <w:sz w:val="44"/>
          <w:szCs w:val="44"/>
        </w:rPr>
        <w:t>要求</w:t>
      </w:r>
    </w:p>
    <w:p w:rsidR="00000000" w:rsidRDefault="00A1607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000000" w:rsidRDefault="00A16079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一、【不良反应】应包含以下内容</w:t>
      </w:r>
    </w:p>
    <w:p w:rsidR="00000000" w:rsidRDefault="00A16079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上市后监测到间苯三酚注射剂可见以下不良反应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事件（这些不良反应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事件来自于无法确定样本量的自发报告，</w:t>
      </w:r>
      <w:r>
        <w:rPr>
          <w:rFonts w:eastAsia="仿宋_GB2312"/>
          <w:sz w:val="32"/>
          <w:szCs w:val="32"/>
        </w:rPr>
        <w:t>难以准确估计其发生频率）：</w:t>
      </w:r>
      <w:r>
        <w:rPr>
          <w:rFonts w:eastAsia="仿宋_GB2312"/>
          <w:sz w:val="32"/>
          <w:szCs w:val="32"/>
        </w:rPr>
        <w:t xml:space="preserve"> </w:t>
      </w:r>
    </w:p>
    <w:p w:rsidR="00000000" w:rsidRDefault="00A16079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皮肤及其附件损害：皮疹（如荨麻疹、红斑疹、斑丘疹等）、瘙痒、多汗；</w:t>
      </w:r>
    </w:p>
    <w:p w:rsidR="00000000" w:rsidRDefault="00A16079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全身性损害：寒战、发热、畏寒、乏力、面色苍白；</w:t>
      </w:r>
    </w:p>
    <w:p w:rsidR="00000000" w:rsidRDefault="00A16079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胃肠系统损害：恶心、呕吐、口干、腹痛、腹胀、腹泻；</w:t>
      </w:r>
    </w:p>
    <w:p w:rsidR="00000000" w:rsidRDefault="00A16079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呼吸系统损害：胸闷、呼吸困难、气促、咳嗽；</w:t>
      </w:r>
    </w:p>
    <w:p w:rsidR="00000000" w:rsidRDefault="00A16079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神经系统损害：头晕、头痛、麻木、颤抖、抽搐；</w:t>
      </w:r>
    </w:p>
    <w:p w:rsidR="00000000" w:rsidRDefault="00A16079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心血管系统损害：心悸、血压升高、紫绀；</w:t>
      </w:r>
    </w:p>
    <w:p w:rsidR="00000000" w:rsidRDefault="00A16079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免疫功能紊乱和感染：过敏反应、过敏样反应、过敏性休克；</w:t>
      </w:r>
    </w:p>
    <w:p w:rsidR="00000000" w:rsidRDefault="00A16079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其他：静脉炎、注射部位疼痛、注射部位瘙痒、视物模糊、排尿困难、尿潴留。</w:t>
      </w:r>
    </w:p>
    <w:p w:rsidR="00000000" w:rsidRDefault="00A16079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/>
          <w:sz w:val="32"/>
          <w:szCs w:val="32"/>
        </w:rPr>
        <w:t>【注意事项】应包含以下内容</w:t>
      </w:r>
    </w:p>
    <w:p w:rsidR="00000000" w:rsidRDefault="00A16079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上市后监测到本品有过敏性</w:t>
      </w:r>
      <w:r>
        <w:rPr>
          <w:rFonts w:eastAsia="仿宋_GB2312" w:hint="eastAsia"/>
          <w:sz w:val="32"/>
          <w:szCs w:val="32"/>
        </w:rPr>
        <w:t>休克的病例报告，建议在有抢救条件的医疗机构使用，用药前应仔细询问患者用药史和过敏史，用药过程中注意观察，一旦出现皮疹、瘙痒、呼吸困难、血压下降等症状和体征，应立即停药并及时治疗。</w:t>
      </w:r>
    </w:p>
    <w:p w:rsidR="00000000" w:rsidRDefault="00A16079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注：如原批准说明书的安全性内容较本修订要求内容更全面或更严格的，应保留原批准内容。说明书其他内容如与上述修订要求不一致的，应当一并进行修订。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</w:p>
    <w:p w:rsidR="00000000" w:rsidRDefault="00A16079">
      <w:pPr>
        <w:spacing w:line="360" w:lineRule="auto"/>
        <w:rPr>
          <w:color w:val="FF0000"/>
          <w:sz w:val="30"/>
          <w:szCs w:val="30"/>
        </w:rPr>
      </w:pPr>
    </w:p>
    <w:p w:rsidR="00000000" w:rsidRDefault="00A16079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A16079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A16079" w:rsidRDefault="00A16079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  <w:bookmarkStart w:id="2" w:name="_GoBack"/>
      <w:bookmarkEnd w:id="2"/>
    </w:p>
    <w:sectPr w:rsidR="00A16079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079" w:rsidRDefault="00A16079">
      <w:r>
        <w:separator/>
      </w:r>
    </w:p>
  </w:endnote>
  <w:endnote w:type="continuationSeparator" w:id="0">
    <w:p w:rsidR="00A16079" w:rsidRDefault="00A1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D280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635" t="3810" r="1270" b="381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16079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280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5.9pt;margin-top:0;width:77.1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A16079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D280B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079" w:rsidRDefault="00A16079">
      <w:r>
        <w:separator/>
      </w:r>
    </w:p>
  </w:footnote>
  <w:footnote w:type="continuationSeparator" w:id="0">
    <w:p w:rsidR="00A16079" w:rsidRDefault="00A16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35"/>
    <w:rsid w:val="00755BE5"/>
    <w:rsid w:val="00A16079"/>
    <w:rsid w:val="00E52035"/>
    <w:rsid w:val="00FD280B"/>
    <w:rsid w:val="3DFDFACD"/>
    <w:rsid w:val="3EAB0813"/>
    <w:rsid w:val="BAA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18EE9-E147-4BC1-AD5A-16DA64A2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2022-11-11T07:33:00Z</dcterms:created>
  <dcterms:modified xsi:type="dcterms:W3CDTF">2022-11-11T07:33:00Z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