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8C" w:rsidRDefault="00576400" w:rsidP="00576400">
      <w:pPr>
        <w:jc w:val="center"/>
        <w:rPr>
          <w:rFonts w:ascii="方正小标宋简体" w:eastAsia="方正小标宋简体" w:hAnsi="宋体" w:cs="宋体"/>
          <w:sz w:val="32"/>
          <w:szCs w:val="32"/>
        </w:rPr>
      </w:pPr>
      <w:r w:rsidRPr="00FA265D">
        <w:rPr>
          <w:rFonts w:ascii="方正小标宋简体" w:eastAsia="方正小标宋简体" w:hAnsi="宋体" w:cs="宋体" w:hint="eastAsia"/>
          <w:sz w:val="32"/>
          <w:szCs w:val="32"/>
        </w:rPr>
        <w:t>《S1B（R1）：致癌性研究》实施建议</w:t>
      </w:r>
      <w:bookmarkStart w:id="0" w:name="_GoBack"/>
      <w:bookmarkEnd w:id="0"/>
    </w:p>
    <w:p w:rsidR="00576400" w:rsidRDefault="00576400">
      <w:pPr>
        <w:rPr>
          <w:rFonts w:ascii="方正小标宋简体" w:eastAsia="方正小标宋简体" w:hAnsi="宋体" w:cs="宋体"/>
          <w:sz w:val="32"/>
          <w:szCs w:val="32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3337"/>
        <w:gridCol w:w="4176"/>
        <w:gridCol w:w="2268"/>
      </w:tblGrid>
      <w:tr w:rsidR="00576400" w:rsidTr="00576400">
        <w:tc>
          <w:tcPr>
            <w:tcW w:w="3337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76400">
              <w:rPr>
                <w:rFonts w:ascii="仿宋_GB2312" w:eastAsia="仿宋_GB2312" w:hint="eastAsia"/>
                <w:sz w:val="32"/>
                <w:szCs w:val="32"/>
              </w:rPr>
              <w:t>ICH指导原则</w:t>
            </w:r>
          </w:p>
        </w:tc>
        <w:tc>
          <w:tcPr>
            <w:tcW w:w="4176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76400">
              <w:rPr>
                <w:rFonts w:ascii="仿宋_GB2312" w:eastAsia="仿宋_GB2312" w:hint="eastAsia"/>
                <w:sz w:val="32"/>
                <w:szCs w:val="32"/>
              </w:rPr>
              <w:t>实施建议</w:t>
            </w:r>
          </w:p>
        </w:tc>
        <w:tc>
          <w:tcPr>
            <w:tcW w:w="2268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76400">
              <w:rPr>
                <w:rFonts w:ascii="仿宋_GB2312" w:eastAsia="仿宋_GB2312" w:hint="eastAsia"/>
                <w:sz w:val="32"/>
                <w:szCs w:val="32"/>
              </w:rPr>
              <w:t>可行性</w:t>
            </w:r>
          </w:p>
        </w:tc>
      </w:tr>
      <w:tr w:rsidR="00576400" w:rsidTr="00576400">
        <w:tc>
          <w:tcPr>
            <w:tcW w:w="3337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76400">
              <w:rPr>
                <w:rFonts w:ascii="仿宋_GB2312" w:eastAsia="仿宋_GB2312" w:hint="eastAsia"/>
                <w:sz w:val="32"/>
                <w:szCs w:val="32"/>
              </w:rPr>
              <w:t>S1B（R1）：致癌性研究</w:t>
            </w:r>
          </w:p>
        </w:tc>
        <w:tc>
          <w:tcPr>
            <w:tcW w:w="4176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576400">
              <w:rPr>
                <w:rFonts w:ascii="仿宋_GB2312" w:eastAsia="仿宋_GB2312" w:hint="eastAsia"/>
                <w:sz w:val="32"/>
                <w:szCs w:val="32"/>
              </w:rPr>
              <w:t>申请人可在现行S1指导原则的基础上，参考S1B（R1）指导原则的建议开展研究；本公告发布之日起6个月后开始的相关研究，均适用S1B（R1）指导原则。同时，S1A、S1B、S1C（R2）指导原则仍然适用。研究起始时间的认定遵照《药物非临床研究质量管理规范》中相关规定执行。</w:t>
            </w:r>
          </w:p>
        </w:tc>
        <w:tc>
          <w:tcPr>
            <w:tcW w:w="2268" w:type="dxa"/>
          </w:tcPr>
          <w:p w:rsidR="00576400" w:rsidRPr="00576400" w:rsidRDefault="0057640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576400" w:rsidRDefault="00576400">
      <w:pPr>
        <w:rPr>
          <w:rFonts w:hint="eastAsia"/>
        </w:rPr>
      </w:pPr>
    </w:p>
    <w:sectPr w:rsidR="0057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00"/>
    <w:rsid w:val="00576400"/>
    <w:rsid w:val="00B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8351"/>
  <w15:chartTrackingRefBased/>
  <w15:docId w15:val="{1C69031F-C9A9-4C70-8EBB-8EFB108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YuYue</dc:creator>
  <cp:keywords/>
  <dc:description/>
  <cp:lastModifiedBy>YuYue</cp:lastModifiedBy>
  <cp:revision>1</cp:revision>
  <dcterms:created xsi:type="dcterms:W3CDTF">2022-12-22T02:01:00Z</dcterms:created>
  <dcterms:modified xsi:type="dcterms:W3CDTF">2022-12-22T02:07:00Z</dcterms:modified>
</cp:coreProperties>
</file>