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96824">
      <w:pPr>
        <w:wordWrap w:val="0"/>
        <w:spacing w:line="600" w:lineRule="exact"/>
        <w:jc w:val="center"/>
        <w:rPr>
          <w:rFonts w:hint="eastAsia" w:asciiTheme="majorEastAsia" w:hAnsiTheme="majorEastAsia" w:eastAsiaTheme="majorEastAsia"/>
          <w:b/>
          <w:bCs/>
          <w:color w:val="auto"/>
          <w:sz w:val="44"/>
          <w:szCs w:val="44"/>
          <w:highlight w:val="none"/>
          <w:lang w:val="en-US" w:eastAsia="zh-CN"/>
        </w:rPr>
      </w:pPr>
      <w:r>
        <w:rPr>
          <w:rFonts w:hint="eastAsia" w:asciiTheme="majorEastAsia" w:hAnsiTheme="majorEastAsia" w:eastAsiaTheme="majorEastAsia"/>
          <w:b/>
          <w:bCs/>
          <w:color w:val="auto"/>
          <w:sz w:val="44"/>
          <w:szCs w:val="44"/>
          <w:highlight w:val="none"/>
        </w:rPr>
        <w:t>河北省</w:t>
      </w:r>
      <w:r>
        <w:rPr>
          <w:rFonts w:hint="eastAsia" w:asciiTheme="majorEastAsia" w:hAnsiTheme="majorEastAsia" w:eastAsiaTheme="majorEastAsia"/>
          <w:b/>
          <w:bCs/>
          <w:color w:val="auto"/>
          <w:sz w:val="44"/>
          <w:szCs w:val="44"/>
          <w:highlight w:val="none"/>
          <w:lang w:val="en-US" w:eastAsia="zh-CN"/>
        </w:rPr>
        <w:t>一次性使用导尿管</w:t>
      </w:r>
      <w:r>
        <w:rPr>
          <w:rFonts w:hint="eastAsia" w:asciiTheme="majorEastAsia" w:hAnsiTheme="majorEastAsia" w:eastAsiaTheme="majorEastAsia"/>
          <w:b/>
          <w:bCs/>
          <w:color w:val="auto"/>
          <w:sz w:val="44"/>
          <w:szCs w:val="44"/>
          <w:highlight w:val="none"/>
        </w:rPr>
        <w:t>带量</w:t>
      </w:r>
    </w:p>
    <w:p w14:paraId="6D9457A7">
      <w:pPr>
        <w:wordWrap w:val="0"/>
        <w:spacing w:line="600" w:lineRule="exact"/>
        <w:jc w:val="center"/>
        <w:rPr>
          <w:rFonts w:asciiTheme="majorEastAsia" w:hAnsiTheme="majorEastAsia" w:eastAsiaTheme="majorEastAsia"/>
          <w:b/>
          <w:bCs/>
          <w:color w:val="auto"/>
          <w:sz w:val="44"/>
          <w:szCs w:val="44"/>
          <w:highlight w:val="none"/>
        </w:rPr>
      </w:pPr>
      <w:r>
        <w:rPr>
          <w:rFonts w:hint="eastAsia" w:asciiTheme="majorEastAsia" w:hAnsiTheme="majorEastAsia" w:eastAsiaTheme="majorEastAsia"/>
          <w:b/>
          <w:bCs/>
          <w:color w:val="auto"/>
          <w:sz w:val="44"/>
          <w:szCs w:val="44"/>
          <w:highlight w:val="none"/>
        </w:rPr>
        <w:t>联动采购工作方案</w:t>
      </w:r>
    </w:p>
    <w:p w14:paraId="1F1A2230">
      <w:pPr>
        <w:pStyle w:val="2"/>
        <w:tabs>
          <w:tab w:val="center" w:pos="4454"/>
          <w:tab w:val="right" w:pos="8788"/>
        </w:tabs>
        <w:jc w:val="left"/>
        <w:rPr>
          <w:rFonts w:ascii="仿宋_GB2312" w:eastAsia="仿宋_GB2312"/>
          <w:color w:val="auto"/>
          <w:sz w:val="32"/>
          <w:szCs w:val="32"/>
          <w:highlight w:val="none"/>
        </w:rPr>
      </w:pPr>
      <w:r>
        <w:rPr>
          <w:rFonts w:hint="eastAsia" w:ascii="楷体" w:hAnsi="楷体" w:eastAsia="楷体" w:cs="楷体"/>
          <w:color w:val="auto"/>
          <w:sz w:val="32"/>
          <w:szCs w:val="32"/>
          <w:highlight w:val="none"/>
        </w:rPr>
        <w:tab/>
      </w:r>
    </w:p>
    <w:p w14:paraId="6189ED11">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为贯彻《中共中央国务院关于深化医疗保障制度改革的意见》（中发〔2020〕5号）等文件精神，全面深化医用耗材集中带量采购制度改革，结合实际，制定</w:t>
      </w:r>
      <w:r>
        <w:rPr>
          <w:rFonts w:hint="eastAsia" w:ascii="仿宋" w:hAnsi="仿宋" w:eastAsia="仿宋" w:cs="仿宋"/>
          <w:color w:val="auto"/>
          <w:sz w:val="32"/>
          <w:szCs w:val="32"/>
          <w:highlight w:val="none"/>
          <w:lang w:val="en-US" w:eastAsia="zh-CN"/>
        </w:rPr>
        <w:t>河北省一次性使用导尿管</w:t>
      </w:r>
      <w:r>
        <w:rPr>
          <w:rFonts w:hint="eastAsia" w:ascii="仿宋" w:hAnsi="仿宋" w:eastAsia="仿宋" w:cs="仿宋"/>
          <w:color w:val="auto"/>
          <w:sz w:val="32"/>
          <w:szCs w:val="32"/>
          <w:highlight w:val="none"/>
        </w:rPr>
        <w:t>带量联动采购工作方案。</w:t>
      </w:r>
    </w:p>
    <w:p w14:paraId="1A34F91F">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一、总体目标</w:t>
      </w:r>
    </w:p>
    <w:p w14:paraId="49A00DE1">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充分发挥集中带量采购在深化医药卫生体制改革中的作用，通过带量联动，坚持保障供应，实现</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价格更趋合理，有效减轻患者医药费用负担；降低交易成本，净化流通环境，改善行业生态；规范医用耗材采购和使用行为。</w:t>
      </w:r>
    </w:p>
    <w:p w14:paraId="47EDB034">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二、采购品种及采购周期</w:t>
      </w:r>
    </w:p>
    <w:p w14:paraId="378F0151">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本次带量联动采购品种为</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医用</w:t>
      </w:r>
      <w:r>
        <w:rPr>
          <w:rFonts w:hint="eastAsia" w:ascii="仿宋" w:hAnsi="仿宋" w:eastAsia="仿宋" w:cs="仿宋"/>
          <w:color w:val="auto"/>
          <w:sz w:val="32"/>
          <w:szCs w:val="32"/>
          <w:highlight w:val="none"/>
        </w:rPr>
        <w:t>耗材，</w:t>
      </w:r>
      <w:r>
        <w:rPr>
          <w:rFonts w:hint="eastAsia" w:ascii="仿宋" w:hAnsi="仿宋" w:eastAsia="仿宋" w:cs="仿宋"/>
          <w:color w:val="auto"/>
          <w:sz w:val="32"/>
          <w:szCs w:val="32"/>
          <w:highlight w:val="none"/>
          <w:lang w:val="en-US" w:eastAsia="zh-CN"/>
        </w:rPr>
        <w:t>产品分类</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乳胶/普通/单腔、乳胶/普通/多腔、乳胶/超滑/单腔、乳胶/超滑/多腔、硅胶/普通/单腔、硅胶/普通/多腔、硅胶/超滑/单腔、硅胶/超滑/多腔。</w:t>
      </w:r>
      <w:r>
        <w:rPr>
          <w:rFonts w:ascii="仿宋_GB2312" w:hAnsi="仿宋_GB2312" w:eastAsia="仿宋_GB2312" w:cs="仿宋_GB2312"/>
          <w:color w:val="auto"/>
          <w:kern w:val="0"/>
          <w:sz w:val="31"/>
          <w:szCs w:val="31"/>
          <w:highlight w:val="none"/>
          <w:lang w:val="en-US" w:eastAsia="zh-CN" w:bidi="ar"/>
        </w:rPr>
        <w:t>包括但不限于</w:t>
      </w:r>
      <w:r>
        <w:rPr>
          <w:rFonts w:hint="eastAsia" w:ascii="仿宋_GB2312" w:hAnsi="仿宋_GB2312" w:eastAsia="仿宋_GB2312" w:cs="仿宋_GB2312"/>
          <w:color w:val="auto"/>
          <w:kern w:val="0"/>
          <w:sz w:val="31"/>
          <w:szCs w:val="31"/>
          <w:highlight w:val="none"/>
          <w:lang w:val="en-US" w:eastAsia="zh-CN" w:bidi="ar"/>
        </w:rPr>
        <w:t>国家医用耗材代码</w:t>
      </w:r>
      <w:r>
        <w:rPr>
          <w:rFonts w:ascii="仿宋_GB2312" w:hAnsi="仿宋_GB2312" w:eastAsia="仿宋_GB2312" w:cs="仿宋_GB2312"/>
          <w:color w:val="auto"/>
          <w:kern w:val="0"/>
          <w:sz w:val="31"/>
          <w:szCs w:val="31"/>
          <w:highlight w:val="none"/>
          <w:lang w:val="en-US" w:eastAsia="zh-CN" w:bidi="ar"/>
        </w:rPr>
        <w:t>前10位为C141705196、C141706196，</w:t>
      </w:r>
      <w:r>
        <w:rPr>
          <w:rFonts w:hint="eastAsia" w:ascii="仿宋_GB2312" w:hAnsi="仿宋_GB2312" w:eastAsia="仿宋_GB2312" w:cs="仿宋_GB2312"/>
          <w:color w:val="auto"/>
          <w:kern w:val="0"/>
          <w:sz w:val="31"/>
          <w:szCs w:val="31"/>
          <w:highlight w:val="none"/>
          <w:lang w:val="en-US" w:eastAsia="zh-CN" w:bidi="ar"/>
        </w:rPr>
        <w:t>具体目录如下</w:t>
      </w:r>
      <w:r>
        <w:rPr>
          <w:rFonts w:ascii="仿宋_GB2312" w:hAnsi="仿宋_GB2312" w:eastAsia="仿宋_GB2312" w:cs="仿宋_GB2312"/>
          <w:color w:val="auto"/>
          <w:kern w:val="0"/>
          <w:sz w:val="31"/>
          <w:szCs w:val="31"/>
          <w:highlight w:val="none"/>
          <w:lang w:val="en-US" w:eastAsia="zh-CN" w:bidi="ar"/>
        </w:rPr>
        <w:t>。</w:t>
      </w:r>
      <w:r>
        <w:rPr>
          <w:rFonts w:hint="eastAsia" w:ascii="仿宋" w:hAnsi="仿宋" w:eastAsia="仿宋" w:cs="仿宋"/>
          <w:color w:val="auto"/>
          <w:sz w:val="32"/>
          <w:szCs w:val="32"/>
          <w:highlight w:val="none"/>
          <w:lang w:val="en-US" w:eastAsia="zh-CN"/>
        </w:rPr>
        <w:t>本次带量联动</w:t>
      </w:r>
      <w:r>
        <w:rPr>
          <w:rFonts w:hint="eastAsia" w:ascii="仿宋" w:hAnsi="仿宋" w:eastAsia="仿宋" w:cs="仿宋"/>
          <w:color w:val="auto"/>
          <w:sz w:val="32"/>
          <w:szCs w:val="32"/>
          <w:highlight w:val="none"/>
        </w:rPr>
        <w:t>采购周期为2年，每年签订三方采购协议。</w:t>
      </w:r>
    </w:p>
    <w:p w14:paraId="73B8F2EE">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rPr>
      </w:pPr>
    </w:p>
    <w:p w14:paraId="4AF1A56B">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rPr>
      </w:pPr>
    </w:p>
    <w:tbl>
      <w:tblPr>
        <w:tblStyle w:val="4"/>
        <w:tblpPr w:leftFromText="180" w:rightFromText="180" w:vertAnchor="text" w:horzAnchor="page" w:tblpX="1697" w:tblpY="81"/>
        <w:tblOverlap w:val="never"/>
        <w:tblW w:w="48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89"/>
        <w:gridCol w:w="2658"/>
        <w:gridCol w:w="4521"/>
      </w:tblGrid>
      <w:tr w14:paraId="1A1FF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906" w:type="pct"/>
            <w:noWrap w:val="0"/>
            <w:vAlign w:val="center"/>
          </w:tcPr>
          <w:p w14:paraId="77672C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32"/>
                <w:szCs w:val="32"/>
                <w:highlight w:val="none"/>
                <w:u w:val="none"/>
              </w:rPr>
            </w:pPr>
            <w:r>
              <w:rPr>
                <w:rFonts w:hint="eastAsia" w:ascii="仿宋" w:hAnsi="仿宋" w:eastAsia="仿宋" w:cs="仿宋"/>
                <w:b/>
                <w:bCs w:val="0"/>
                <w:color w:val="auto"/>
                <w:sz w:val="32"/>
                <w:szCs w:val="32"/>
                <w:highlight w:val="none"/>
                <w:u w:val="none"/>
                <w:lang w:eastAsia="zh-CN"/>
              </w:rPr>
              <w:t>采购</w:t>
            </w:r>
            <w:r>
              <w:rPr>
                <w:rFonts w:hint="eastAsia" w:ascii="仿宋" w:hAnsi="仿宋" w:eastAsia="仿宋" w:cs="仿宋"/>
                <w:b/>
                <w:bCs w:val="0"/>
                <w:color w:val="auto"/>
                <w:sz w:val="32"/>
                <w:szCs w:val="32"/>
                <w:highlight w:val="none"/>
                <w:u w:val="none"/>
              </w:rPr>
              <w:t>品种</w:t>
            </w:r>
          </w:p>
        </w:tc>
        <w:tc>
          <w:tcPr>
            <w:tcW w:w="1515" w:type="pct"/>
            <w:noWrap w:val="0"/>
            <w:vAlign w:val="center"/>
          </w:tcPr>
          <w:p w14:paraId="710916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32"/>
                <w:szCs w:val="32"/>
                <w:highlight w:val="none"/>
                <w:u w:val="none"/>
                <w:lang w:eastAsia="zh-CN"/>
              </w:rPr>
            </w:pPr>
            <w:r>
              <w:rPr>
                <w:rFonts w:hint="eastAsia" w:ascii="仿宋" w:hAnsi="仿宋" w:eastAsia="仿宋" w:cs="仿宋"/>
                <w:b/>
                <w:bCs w:val="0"/>
                <w:color w:val="auto"/>
                <w:sz w:val="32"/>
                <w:szCs w:val="32"/>
                <w:highlight w:val="none"/>
                <w:u w:val="none"/>
                <w:lang w:eastAsia="zh-CN"/>
              </w:rPr>
              <w:t>产品分类</w:t>
            </w:r>
          </w:p>
        </w:tc>
        <w:tc>
          <w:tcPr>
            <w:tcW w:w="2577" w:type="pct"/>
            <w:noWrap w:val="0"/>
            <w:vAlign w:val="center"/>
          </w:tcPr>
          <w:p w14:paraId="3F1CF5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32"/>
                <w:szCs w:val="32"/>
                <w:highlight w:val="none"/>
                <w:u w:val="none"/>
                <w:lang w:val="en-US" w:eastAsia="zh-CN"/>
              </w:rPr>
            </w:pPr>
            <w:r>
              <w:rPr>
                <w:rFonts w:hint="eastAsia" w:ascii="仿宋" w:hAnsi="仿宋" w:eastAsia="仿宋" w:cs="仿宋"/>
                <w:b/>
                <w:bCs w:val="0"/>
                <w:color w:val="auto"/>
                <w:sz w:val="32"/>
                <w:szCs w:val="32"/>
                <w:highlight w:val="none"/>
                <w:u w:val="none"/>
                <w:lang w:val="en-US" w:eastAsia="zh-CN"/>
              </w:rPr>
              <w:t>采购要求</w:t>
            </w:r>
          </w:p>
        </w:tc>
      </w:tr>
      <w:tr w14:paraId="7C526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restart"/>
            <w:noWrap w:val="0"/>
            <w:vAlign w:val="center"/>
          </w:tcPr>
          <w:p w14:paraId="5762A0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一次性使用导尿管</w:t>
            </w:r>
          </w:p>
        </w:tc>
        <w:tc>
          <w:tcPr>
            <w:tcW w:w="1515" w:type="pct"/>
            <w:noWrap w:val="0"/>
            <w:vAlign w:val="center"/>
          </w:tcPr>
          <w:p w14:paraId="30A0AF8E">
            <w:pPr>
              <w:widowControl/>
              <w:snapToGrid w:val="0"/>
              <w:spacing w:line="240" w:lineRule="auto"/>
              <w:jc w:val="center"/>
              <w:rPr>
                <w:rFonts w:hint="eastAsia" w:ascii="仿宋" w:hAnsi="仿宋" w:eastAsia="仿宋" w:cs="仿宋"/>
                <w:color w:val="auto"/>
                <w:kern w:val="2"/>
                <w:sz w:val="30"/>
                <w:szCs w:val="30"/>
                <w:highlight w:val="none"/>
                <w:u w:val="none"/>
                <w:lang w:val="en-US" w:eastAsia="zh-CN" w:bidi="ar-SA"/>
              </w:rPr>
            </w:pPr>
            <w:r>
              <w:rPr>
                <w:rFonts w:hint="eastAsia" w:ascii="仿宋" w:hAnsi="仿宋" w:eastAsia="仿宋" w:cs="仿宋"/>
                <w:color w:val="auto"/>
                <w:sz w:val="32"/>
                <w:szCs w:val="32"/>
                <w:highlight w:val="none"/>
                <w:lang w:val="en-US" w:eastAsia="zh-CN"/>
              </w:rPr>
              <w:t>乳胶/普通/单腔</w:t>
            </w:r>
          </w:p>
        </w:tc>
        <w:tc>
          <w:tcPr>
            <w:tcW w:w="2577" w:type="pct"/>
            <w:vMerge w:val="restart"/>
            <w:noWrap w:val="0"/>
            <w:vAlign w:val="center"/>
          </w:tcPr>
          <w:p w14:paraId="049476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不包含测温、测压、抗菌类产品</w:t>
            </w:r>
          </w:p>
          <w:p w14:paraId="60E10008">
            <w:pPr>
              <w:pStyle w:val="2"/>
              <w:jc w:val="center"/>
              <w:rPr>
                <w:rFonts w:hint="default"/>
                <w:color w:val="auto"/>
                <w:highlight w:val="none"/>
                <w:lang w:val="en-US" w:eastAsia="zh-CN"/>
              </w:rPr>
            </w:pPr>
          </w:p>
        </w:tc>
      </w:tr>
      <w:tr w14:paraId="0CC5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3600E78A">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62943B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乳胶/普通/多腔</w:t>
            </w:r>
          </w:p>
        </w:tc>
        <w:tc>
          <w:tcPr>
            <w:tcW w:w="2577" w:type="pct"/>
            <w:vMerge w:val="continue"/>
            <w:noWrap w:val="0"/>
            <w:vAlign w:val="center"/>
          </w:tcPr>
          <w:p w14:paraId="147989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r w14:paraId="25978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7D71E247">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043DDC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乳胶/超滑/单腔</w:t>
            </w:r>
          </w:p>
        </w:tc>
        <w:tc>
          <w:tcPr>
            <w:tcW w:w="2577" w:type="pct"/>
            <w:vMerge w:val="continue"/>
            <w:noWrap w:val="0"/>
            <w:vAlign w:val="center"/>
          </w:tcPr>
          <w:p w14:paraId="1BC6E7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r w14:paraId="62D6C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283FAC27">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3210F0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乳胶/超滑/多腔</w:t>
            </w:r>
          </w:p>
        </w:tc>
        <w:tc>
          <w:tcPr>
            <w:tcW w:w="2577" w:type="pct"/>
            <w:vMerge w:val="continue"/>
            <w:noWrap w:val="0"/>
            <w:vAlign w:val="center"/>
          </w:tcPr>
          <w:p w14:paraId="7E64EF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r w14:paraId="207FD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65BD8B38">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3784BE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硅胶/普通/单腔</w:t>
            </w:r>
          </w:p>
        </w:tc>
        <w:tc>
          <w:tcPr>
            <w:tcW w:w="2577" w:type="pct"/>
            <w:vMerge w:val="continue"/>
            <w:noWrap w:val="0"/>
            <w:vAlign w:val="center"/>
          </w:tcPr>
          <w:p w14:paraId="7BDF94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r w14:paraId="3291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27126E8E">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7C489C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硅胶/普通/多腔</w:t>
            </w:r>
          </w:p>
        </w:tc>
        <w:tc>
          <w:tcPr>
            <w:tcW w:w="2577" w:type="pct"/>
            <w:vMerge w:val="continue"/>
            <w:noWrap w:val="0"/>
            <w:vAlign w:val="center"/>
          </w:tcPr>
          <w:p w14:paraId="272371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r w14:paraId="100A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0843F074">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1D66AA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highlight w:val="none"/>
                <w:lang w:val="en-US" w:eastAsia="zh-CN"/>
              </w:rPr>
              <w:t>硅胶/超滑/单腔</w:t>
            </w:r>
          </w:p>
        </w:tc>
        <w:tc>
          <w:tcPr>
            <w:tcW w:w="2577" w:type="pct"/>
            <w:vMerge w:val="continue"/>
            <w:noWrap w:val="0"/>
            <w:vAlign w:val="center"/>
          </w:tcPr>
          <w:p w14:paraId="518D67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r w14:paraId="16CF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906" w:type="pct"/>
            <w:vMerge w:val="continue"/>
            <w:noWrap w:val="0"/>
            <w:vAlign w:val="center"/>
          </w:tcPr>
          <w:p w14:paraId="14BB85D2">
            <w:pPr>
              <w:spacing w:line="560" w:lineRule="exact"/>
              <w:jc w:val="center"/>
              <w:rPr>
                <w:rFonts w:hint="eastAsia" w:ascii="仿宋" w:hAnsi="仿宋" w:eastAsia="仿宋" w:cs="仿宋"/>
                <w:color w:val="auto"/>
                <w:sz w:val="32"/>
                <w:szCs w:val="32"/>
                <w:highlight w:val="none"/>
                <w:u w:val="none"/>
                <w:lang w:eastAsia="zh-CN"/>
              </w:rPr>
            </w:pPr>
          </w:p>
        </w:tc>
        <w:tc>
          <w:tcPr>
            <w:tcW w:w="1515" w:type="pct"/>
            <w:noWrap w:val="0"/>
            <w:vAlign w:val="center"/>
          </w:tcPr>
          <w:p w14:paraId="254118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2"/>
                <w:szCs w:val="32"/>
                <w:highlight w:val="none"/>
                <w:lang w:val="en-US" w:eastAsia="zh-CN"/>
              </w:rPr>
              <w:t>硅胶/超滑/多腔</w:t>
            </w:r>
          </w:p>
        </w:tc>
        <w:tc>
          <w:tcPr>
            <w:tcW w:w="2577" w:type="pct"/>
            <w:vMerge w:val="continue"/>
            <w:noWrap w:val="0"/>
            <w:vAlign w:val="center"/>
          </w:tcPr>
          <w:p w14:paraId="5A8B5E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32"/>
                <w:szCs w:val="32"/>
                <w:highlight w:val="none"/>
                <w:u w:val="none"/>
                <w:shd w:val="clear" w:color="auto" w:fill="FFFFFF"/>
                <w:lang w:val="en-US" w:eastAsia="zh-CN"/>
              </w:rPr>
            </w:pPr>
          </w:p>
        </w:tc>
      </w:tr>
    </w:tbl>
    <w:p w14:paraId="298DD278">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三、采购主体</w:t>
      </w:r>
    </w:p>
    <w:p w14:paraId="4B209CFC">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河北省</w:t>
      </w:r>
      <w:r>
        <w:rPr>
          <w:rFonts w:hint="eastAsia" w:ascii="仿宋" w:hAnsi="仿宋" w:eastAsia="仿宋" w:cs="仿宋"/>
          <w:color w:val="auto"/>
          <w:sz w:val="32"/>
          <w:szCs w:val="32"/>
          <w:highlight w:val="none"/>
        </w:rPr>
        <w:t>公立医疗机构和军队医疗机构作为医用耗材采购主体均应参加，医保定点社会办医疗机构按照定点协议管理的要求参加。</w:t>
      </w:r>
    </w:p>
    <w:p w14:paraId="1DF93E13">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四、采购方式与采购要求</w:t>
      </w:r>
    </w:p>
    <w:p w14:paraId="22D3D02B">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（一）经公平竞争审查，本次</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采购方式为带量联动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以量换价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即依据采购主体使用需求，参照市场总体价格水平等因素，联动</w:t>
      </w:r>
      <w:r>
        <w:rPr>
          <w:rFonts w:hint="eastAsia" w:ascii="仿宋" w:hAnsi="仿宋" w:eastAsia="仿宋" w:cs="仿宋"/>
          <w:color w:val="auto"/>
          <w:sz w:val="32"/>
          <w:szCs w:val="32"/>
          <w:lang w:val="en-US" w:eastAsia="zh-CN"/>
        </w:rPr>
        <w:t>全国省级（含联盟）</w:t>
      </w:r>
      <w:r>
        <w:rPr>
          <w:rFonts w:hint="eastAsia" w:ascii="仿宋" w:hAnsi="仿宋" w:eastAsia="仿宋" w:cs="仿宋"/>
          <w:color w:val="auto"/>
          <w:sz w:val="32"/>
          <w:szCs w:val="32"/>
          <w:highlight w:val="none"/>
        </w:rPr>
        <w:t>集中带量采购价格，确定中选产品，实行带量采购。</w:t>
      </w:r>
    </w:p>
    <w:p w14:paraId="4057C441">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（二）采购周期内，采购主体优先使用本次</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带量联动采购中选产品，确保完成协议采购量。采购周期内采购主体完成年度协议采购量，超出协议采购量的部分，中选企业仍需按中选价格进行供应，直至采购周期届满。</w:t>
      </w:r>
    </w:p>
    <w:p w14:paraId="58F987AC">
      <w:pPr>
        <w:pStyle w:val="2"/>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采购周期内，对中选产品实行动态管理，包括取消中选资格、调整中选信息（价格）、递（替）补产品进入等。如中选企业同一中选产品在全国省级（含联盟）集中带量采购产生新的低价，中选结果落地实施后30日内，向河北省医用药品器械集中采购中心进行申报，中心将根据申报情况调整至新的低价。</w:t>
      </w:r>
    </w:p>
    <w:p w14:paraId="3D1620A9">
      <w:pPr>
        <w:pStyle w:val="2"/>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第一个采购年度内，如有新产品在全国省级（含联盟）集中带量采购中选，采购年度结束后统一调整，价格须低于同采购品种同产品分类最低中选价格。</w:t>
      </w:r>
    </w:p>
    <w:p w14:paraId="61C6F588">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五、企业申报要求</w:t>
      </w:r>
    </w:p>
    <w:p w14:paraId="5327D325">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textAlignment w:val="auto"/>
        <w:rPr>
          <w:rFonts w:hint="eastAsia"/>
          <w:color w:val="auto"/>
          <w:highlight w:val="none"/>
        </w:rPr>
      </w:pPr>
      <w:r>
        <w:rPr>
          <w:rFonts w:hint="eastAsia" w:ascii="仿宋" w:hAnsi="仿宋" w:eastAsia="仿宋" w:cs="仿宋"/>
          <w:color w:val="auto"/>
          <w:sz w:val="32"/>
          <w:szCs w:val="32"/>
          <w:highlight w:val="none"/>
        </w:rPr>
        <w:t>（一）申报企业应遵守《中华人民共和国专利法》、《中华人民共和国反不正当竞争法》等相关法律法规。取得</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产品合法资质的医疗器械</w:t>
      </w:r>
      <w:r>
        <w:rPr>
          <w:rFonts w:hint="eastAsia" w:ascii="仿宋" w:hAnsi="仿宋" w:eastAsia="仿宋" w:cs="仿宋"/>
          <w:color w:val="auto"/>
          <w:sz w:val="32"/>
          <w:szCs w:val="32"/>
          <w:highlight w:val="none"/>
          <w:lang w:val="en-US" w:eastAsia="zh-CN"/>
        </w:rPr>
        <w:t>注册</w:t>
      </w:r>
      <w:r>
        <w:rPr>
          <w:rFonts w:hint="eastAsia" w:ascii="仿宋" w:hAnsi="仿宋" w:eastAsia="仿宋" w:cs="仿宋"/>
          <w:color w:val="auto"/>
          <w:sz w:val="32"/>
          <w:szCs w:val="32"/>
          <w:highlight w:val="none"/>
        </w:rPr>
        <w:t>人作为申报企业，均可参加。</w:t>
      </w:r>
      <w:r>
        <w:rPr>
          <w:rFonts w:hint="eastAsia" w:ascii="仿宋" w:hAnsi="仿宋" w:eastAsia="仿宋" w:cs="仿宋"/>
          <w:strike w:val="0"/>
          <w:dstrike w:val="0"/>
          <w:color w:val="auto"/>
          <w:sz w:val="32"/>
          <w:szCs w:val="32"/>
          <w:highlight w:val="none"/>
        </w:rPr>
        <w:t>进口医疗器械境外</w:t>
      </w:r>
      <w:r>
        <w:rPr>
          <w:rFonts w:hint="eastAsia" w:ascii="仿宋" w:hAnsi="仿宋" w:eastAsia="仿宋" w:cs="仿宋"/>
          <w:strike w:val="0"/>
          <w:dstrike w:val="0"/>
          <w:color w:val="auto"/>
          <w:sz w:val="32"/>
          <w:szCs w:val="32"/>
          <w:highlight w:val="none"/>
          <w:lang w:val="en-US" w:eastAsia="zh-CN"/>
        </w:rPr>
        <w:t>注册</w:t>
      </w:r>
      <w:r>
        <w:rPr>
          <w:rFonts w:hint="eastAsia" w:ascii="仿宋" w:hAnsi="仿宋" w:eastAsia="仿宋" w:cs="仿宋"/>
          <w:strike w:val="0"/>
          <w:dstrike w:val="0"/>
          <w:color w:val="auto"/>
          <w:sz w:val="32"/>
          <w:szCs w:val="32"/>
          <w:highlight w:val="none"/>
        </w:rPr>
        <w:t>人在中华人民共和国境内设立的代表机构或者指定企业法人视同</w:t>
      </w:r>
      <w:r>
        <w:rPr>
          <w:rFonts w:hint="eastAsia" w:ascii="仿宋" w:hAnsi="仿宋" w:eastAsia="仿宋" w:cs="仿宋"/>
          <w:strike w:val="0"/>
          <w:dstrike w:val="0"/>
          <w:color w:val="auto"/>
          <w:sz w:val="32"/>
          <w:szCs w:val="32"/>
          <w:highlight w:val="none"/>
          <w:lang w:val="en-US" w:eastAsia="zh-CN"/>
        </w:rPr>
        <w:t>注册</w:t>
      </w:r>
      <w:r>
        <w:rPr>
          <w:rFonts w:hint="eastAsia" w:ascii="仿宋" w:hAnsi="仿宋" w:eastAsia="仿宋" w:cs="仿宋"/>
          <w:strike w:val="0"/>
          <w:dstrike w:val="0"/>
          <w:color w:val="auto"/>
          <w:sz w:val="32"/>
          <w:szCs w:val="32"/>
          <w:highlight w:val="none"/>
        </w:rPr>
        <w:t>人。</w:t>
      </w:r>
      <w:r>
        <w:rPr>
          <w:rFonts w:hint="eastAsia" w:ascii="仿宋" w:hAnsi="仿宋" w:eastAsia="仿宋" w:cs="仿宋"/>
          <w:color w:val="auto"/>
          <w:sz w:val="32"/>
          <w:szCs w:val="32"/>
          <w:highlight w:val="none"/>
          <w:u w:val="none"/>
        </w:rPr>
        <w:t>同一医疗器械注册人的同一采购品种不得委托不同企业进行申报</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同一采购品种不同医疗器械注册人不得委托同一家企业申报。</w:t>
      </w:r>
    </w:p>
    <w:p w14:paraId="6D2B3010">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_GB2312" w:eastAsia="仿宋_GB2312"/>
          <w:color w:val="auto"/>
          <w:sz w:val="32"/>
          <w:szCs w:val="32"/>
          <w:highlight w:val="none"/>
        </w:rPr>
        <w:t>申报产品应属于采购品种范围并获得有效中华人民共和国医疗器械注册证，符合国家有关部门的质量标准要求，并按国家有关部门要求组织生产。</w:t>
      </w:r>
    </w:p>
    <w:p w14:paraId="6CE3972A">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本次带量联动采购以</w:t>
      </w:r>
      <w:r>
        <w:rPr>
          <w:rFonts w:hint="eastAsia" w:ascii="仿宋_GB2312" w:eastAsia="仿宋_GB2312"/>
          <w:color w:val="auto"/>
          <w:sz w:val="32"/>
          <w:szCs w:val="32"/>
          <w:highlight w:val="none"/>
          <w:lang w:val="en-US" w:eastAsia="zh-CN"/>
        </w:rPr>
        <w:t>企业为单位</w:t>
      </w:r>
      <w:r>
        <w:rPr>
          <w:rFonts w:hint="eastAsia" w:ascii="仿宋_GB2312" w:eastAsia="仿宋_GB2312"/>
          <w:color w:val="auto"/>
          <w:sz w:val="32"/>
          <w:szCs w:val="32"/>
          <w:highlight w:val="none"/>
          <w:lang w:eastAsia="zh-CN"/>
        </w:rPr>
        <w:t>进行</w:t>
      </w:r>
      <w:r>
        <w:rPr>
          <w:rFonts w:hint="eastAsia" w:ascii="仿宋_GB2312" w:eastAsia="仿宋_GB2312"/>
          <w:color w:val="auto"/>
          <w:sz w:val="32"/>
          <w:szCs w:val="32"/>
          <w:highlight w:val="none"/>
        </w:rPr>
        <w:t>申报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每家企业每个产品分类只能申报一个价格</w:t>
      </w:r>
      <w:r>
        <w:rPr>
          <w:rFonts w:hint="eastAsia" w:ascii="仿宋_GB2312" w:eastAsia="仿宋_GB2312"/>
          <w:color w:val="auto"/>
          <w:sz w:val="32"/>
          <w:szCs w:val="32"/>
          <w:highlight w:val="none"/>
        </w:rPr>
        <w:t>。</w:t>
      </w:r>
    </w:p>
    <w:p w14:paraId="521CCF56">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）申报企业须在规定时间内参加，并完成相关系统操作。须承诺中选产品在采购周期内满足</w:t>
      </w:r>
      <w:r>
        <w:rPr>
          <w:rFonts w:hint="eastAsia" w:ascii="仿宋" w:hAnsi="仿宋" w:eastAsia="仿宋" w:cs="仿宋"/>
          <w:color w:val="auto"/>
          <w:sz w:val="32"/>
          <w:szCs w:val="32"/>
          <w:highlight w:val="none"/>
          <w:lang w:val="en-US" w:eastAsia="zh-CN"/>
        </w:rPr>
        <w:t>河北省</w:t>
      </w:r>
      <w:r>
        <w:rPr>
          <w:rFonts w:hint="eastAsia" w:ascii="仿宋" w:hAnsi="仿宋" w:eastAsia="仿宋" w:cs="仿宋"/>
          <w:color w:val="auto"/>
          <w:sz w:val="32"/>
          <w:szCs w:val="32"/>
          <w:highlight w:val="none"/>
        </w:rPr>
        <w:t>采购需求，保持带量联动采购前后伴随服务供给的延续性，维持服务内容及费用标准不变，同意相关信用承诺可根据工作需要进行公开。</w:t>
      </w:r>
    </w:p>
    <w:p w14:paraId="4DB1EE88">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本次带量联动采购工作依托</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
        </w:rPr>
        <w:t>河北省药品和医用耗材招采管理子系统</w:t>
      </w:r>
      <w:r>
        <w:rPr>
          <w:rFonts w:hint="eastAsia"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lang w:val="en"/>
        </w:rPr>
        <w:t>（http://ylbzj.hebei.gov.cn/pub/#/unitLogin）</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rPr>
        <w:t>申报企业须领取河北省</w:t>
      </w:r>
      <w:r>
        <w:rPr>
          <w:rFonts w:hint="eastAsia" w:ascii="仿宋" w:hAnsi="仿宋" w:eastAsia="仿宋" w:cs="仿宋"/>
          <w:color w:val="auto"/>
          <w:sz w:val="32"/>
          <w:szCs w:val="32"/>
          <w:lang w:val="en-US" w:eastAsia="zh-CN"/>
        </w:rPr>
        <w:t>医疗保障局单位网厅</w:t>
      </w:r>
      <w:r>
        <w:rPr>
          <w:rFonts w:hint="eastAsia" w:ascii="仿宋" w:hAnsi="仿宋" w:eastAsia="仿宋" w:cs="仿宋"/>
          <w:color w:val="auto"/>
          <w:sz w:val="32"/>
          <w:szCs w:val="32"/>
        </w:rPr>
        <w:t>数字证书。已领取数字证书的企业无需重复领取。</w:t>
      </w:r>
    </w:p>
    <w:p w14:paraId="75F6D130">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六、中选产品的确定</w:t>
      </w:r>
      <w:r>
        <w:rPr>
          <w:rFonts w:hint="eastAsia" w:ascii="黑体" w:hAnsi="黑体" w:eastAsia="黑体" w:cs="黑体"/>
          <w:color w:val="auto"/>
          <w:sz w:val="32"/>
          <w:szCs w:val="32"/>
          <w:highlight w:val="none"/>
          <w:lang w:val="en-US" w:eastAsia="zh-CN"/>
        </w:rPr>
        <w:t>规则</w:t>
      </w:r>
    </w:p>
    <w:p w14:paraId="6C1D81C8">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此产品联动河南省豫东片区联盟和其他省级（含联盟）集中带量采购中选结果，已中选企业产品需由企业重新报价，申报价格不得高于本企业该产品所申报的规格型号在上述集中带量采购最低中选价格(含已产生中选结果未落地执行的价格)，且不得高于本企业该产品所申报的规格型号在各省级医药采购平台上最低挂网价格。</w:t>
      </w:r>
    </w:p>
    <w:p w14:paraId="633E8806">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企业产品申报价格在河南省豫东片区联盟采购同产品分类最低中选价格1.5倍（含）或低于最低中选价格的为中选产品，高于最低中选价格1.5倍，则为非中选产品。</w:t>
      </w:r>
    </w:p>
    <w:p w14:paraId="31B95487">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（二）未参加及未中选的企业产品也可报价，申报价格除满足第一条集采中选和挂网价格外，低于上述第一条产生的新的最低中选价格的企业产品全部为中选企业。</w:t>
      </w:r>
    </w:p>
    <w:p w14:paraId="2C68A695">
      <w:pPr>
        <w:keepNext w:val="0"/>
        <w:keepLines w:val="0"/>
        <w:pageBreakBefore w:val="0"/>
        <w:numPr>
          <w:ilvl w:val="0"/>
          <w:numId w:val="0"/>
        </w:numPr>
        <w:kinsoku/>
        <w:overflowPunct/>
        <w:topLinePunct w:val="0"/>
        <w:autoSpaceDE/>
        <w:autoSpaceDN/>
        <w:bidi w:val="0"/>
        <w:adjustRightInd/>
        <w:snapToGrid/>
        <w:spacing w:line="240" w:lineRule="auto"/>
        <w:ind w:firstLine="640" w:firstLineChars="200"/>
        <w:textAlignment w:val="auto"/>
        <w:rPr>
          <w:rFonts w:hint="eastAsia" w:ascii="黑体" w:hAnsi="黑体" w:eastAsia="黑体" w:cs="黑体"/>
          <w:strike w:val="0"/>
          <w:dstrike w:val="0"/>
          <w:color w:val="auto"/>
          <w:sz w:val="32"/>
          <w:szCs w:val="32"/>
          <w:highlight w:val="none"/>
          <w:lang w:val="en-US" w:eastAsia="zh-CN"/>
        </w:rPr>
      </w:pPr>
      <w:r>
        <w:rPr>
          <w:rFonts w:hint="eastAsia" w:ascii="仿宋" w:hAnsi="仿宋" w:eastAsia="仿宋" w:cs="仿宋"/>
          <w:color w:val="auto"/>
          <w:sz w:val="32"/>
          <w:szCs w:val="32"/>
        </w:rPr>
        <w:t>（三）当采购品种中选企业为1家时，可根据产品供应能力和临床需求，从非中选企业中按申报价格由低到高的顺序进行谈判（谈判规则另行制定），新增中选企业数量最多不超过2家。</w:t>
      </w:r>
    </w:p>
    <w:p w14:paraId="420A48EF">
      <w:pPr>
        <w:keepNext w:val="0"/>
        <w:keepLines w:val="0"/>
        <w:pageBreakBefore w:val="0"/>
        <w:numPr>
          <w:ilvl w:val="0"/>
          <w:numId w:val="1"/>
        </w:numPr>
        <w:kinsoku/>
        <w:overflowPunct/>
        <w:topLinePunct w:val="0"/>
        <w:autoSpaceDE/>
        <w:autoSpaceDN/>
        <w:bidi w:val="0"/>
        <w:adjustRightInd/>
        <w:snapToGrid/>
        <w:spacing w:line="240" w:lineRule="auto"/>
        <w:ind w:firstLine="640" w:firstLineChars="200"/>
        <w:textAlignment w:val="auto"/>
        <w:rPr>
          <w:rFonts w:hint="eastAsia" w:ascii="黑体" w:hAnsi="黑体" w:eastAsia="黑体" w:cs="黑体"/>
          <w:strike w:val="0"/>
          <w:dstrike w:val="0"/>
          <w:color w:val="auto"/>
          <w:sz w:val="32"/>
          <w:szCs w:val="32"/>
          <w:highlight w:val="none"/>
          <w:lang w:val="en-US" w:eastAsia="zh-CN"/>
        </w:rPr>
      </w:pPr>
      <w:r>
        <w:rPr>
          <w:rFonts w:hint="eastAsia" w:ascii="黑体" w:hAnsi="黑体" w:eastAsia="黑体" w:cs="黑体"/>
          <w:strike w:val="0"/>
          <w:dstrike w:val="0"/>
          <w:color w:val="auto"/>
          <w:sz w:val="32"/>
          <w:szCs w:val="32"/>
          <w:highlight w:val="none"/>
          <w:lang w:val="en-US" w:eastAsia="zh-CN"/>
        </w:rPr>
        <w:t>协议采购量的分配规则</w:t>
      </w:r>
    </w:p>
    <w:p w14:paraId="2B103A22">
      <w:pPr>
        <w:keepNext w:val="0"/>
        <w:keepLines w:val="0"/>
        <w:pageBreakBefore w:val="0"/>
        <w:numPr>
          <w:ilvl w:val="0"/>
          <w:numId w:val="0"/>
        </w:numPr>
        <w:kinsoku/>
        <w:overflowPunct/>
        <w:topLinePunct w:val="0"/>
        <w:autoSpaceDE/>
        <w:autoSpaceDN/>
        <w:bidi w:val="0"/>
        <w:adjustRightInd/>
        <w:snapToGrid/>
        <w:spacing w:line="240" w:lineRule="auto"/>
        <w:ind w:firstLine="620" w:firstLineChars="200"/>
        <w:textAlignment w:val="auto"/>
        <w:rPr>
          <w:rFonts w:hint="eastAsia" w:ascii="仿宋" w:hAnsi="仿宋" w:eastAsia="仿宋" w:cs="仿宋"/>
          <w:i w:val="0"/>
          <w:caps w:val="0"/>
          <w:color w:val="auto"/>
          <w:spacing w:val="0"/>
          <w:sz w:val="31"/>
          <w:szCs w:val="31"/>
          <w:highlight w:val="none"/>
          <w:shd w:val="clear" w:fill="FFFFFF"/>
          <w:lang w:val="en-US" w:eastAsia="zh-CN"/>
        </w:rPr>
      </w:pPr>
      <w:r>
        <w:rPr>
          <w:rFonts w:hint="eastAsia" w:ascii="仿宋" w:hAnsi="仿宋" w:eastAsia="仿宋" w:cs="仿宋"/>
          <w:i w:val="0"/>
          <w:caps w:val="0"/>
          <w:color w:val="auto"/>
          <w:spacing w:val="0"/>
          <w:sz w:val="31"/>
          <w:szCs w:val="31"/>
          <w:highlight w:val="none"/>
          <w:shd w:val="clear" w:fill="FFFFFF"/>
          <w:lang w:val="en-US" w:eastAsia="zh-CN"/>
        </w:rPr>
        <w:t>协议</w:t>
      </w:r>
      <w:r>
        <w:rPr>
          <w:rFonts w:hint="eastAsia" w:ascii="仿宋" w:hAnsi="仿宋" w:eastAsia="仿宋" w:cs="仿宋"/>
          <w:i w:val="0"/>
          <w:caps w:val="0"/>
          <w:color w:val="auto"/>
          <w:spacing w:val="0"/>
          <w:sz w:val="31"/>
          <w:szCs w:val="31"/>
          <w:highlight w:val="none"/>
          <w:shd w:val="clear" w:fill="FFFFFF"/>
        </w:rPr>
        <w:t>采购量</w:t>
      </w:r>
      <w:r>
        <w:rPr>
          <w:rFonts w:hint="eastAsia" w:ascii="仿宋" w:hAnsi="仿宋" w:eastAsia="仿宋" w:cs="仿宋"/>
          <w:i w:val="0"/>
          <w:caps w:val="0"/>
          <w:color w:val="auto"/>
          <w:spacing w:val="0"/>
          <w:sz w:val="31"/>
          <w:szCs w:val="31"/>
          <w:highlight w:val="none"/>
          <w:shd w:val="clear" w:fill="FFFFFF"/>
          <w:lang w:val="en-US" w:eastAsia="zh-CN"/>
        </w:rPr>
        <w:t>由医疗机构自行选择分配，优先选择</w:t>
      </w:r>
      <w:r>
        <w:rPr>
          <w:rFonts w:hint="eastAsia" w:ascii="仿宋" w:hAnsi="仿宋" w:eastAsia="仿宋" w:cs="仿宋"/>
          <w:i w:val="0"/>
          <w:caps w:val="0"/>
          <w:color w:val="auto"/>
          <w:spacing w:val="0"/>
          <w:sz w:val="31"/>
          <w:szCs w:val="31"/>
          <w:highlight w:val="none"/>
          <w:shd w:val="clear" w:fill="FFFFFF"/>
        </w:rPr>
        <w:t>价格低或价格较低的中选</w:t>
      </w:r>
      <w:r>
        <w:rPr>
          <w:rFonts w:hint="eastAsia" w:ascii="仿宋" w:hAnsi="仿宋" w:eastAsia="仿宋" w:cs="仿宋"/>
          <w:i w:val="0"/>
          <w:caps w:val="0"/>
          <w:color w:val="auto"/>
          <w:spacing w:val="0"/>
          <w:sz w:val="31"/>
          <w:szCs w:val="31"/>
          <w:highlight w:val="none"/>
          <w:shd w:val="clear" w:fill="FFFFFF"/>
          <w:lang w:val="en-US" w:eastAsia="zh-CN"/>
        </w:rPr>
        <w:t>产品。</w:t>
      </w:r>
    </w:p>
    <w:p w14:paraId="21696E3D">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八、工作流程</w:t>
      </w:r>
    </w:p>
    <w:p w14:paraId="62F436F7">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val="en-US" w:eastAsia="zh-CN"/>
        </w:rPr>
        <w:t>申报企业维护产品信息</w:t>
      </w:r>
    </w:p>
    <w:p w14:paraId="6670CC8F">
      <w:pPr>
        <w:pStyle w:val="2"/>
        <w:keepNext w:val="0"/>
        <w:keepLines w:val="0"/>
        <w:pageBreakBefore w:val="0"/>
        <w:widowControl w:val="0"/>
        <w:kinsoku/>
        <w:wordWrap w:val="0"/>
        <w:overflowPunct/>
        <w:topLinePunct w:val="0"/>
        <w:autoSpaceDE/>
        <w:autoSpaceDN/>
        <w:bidi w:val="0"/>
        <w:adjustRightInd/>
        <w:snapToGrid/>
        <w:ind w:firstLine="640" w:firstLineChars="200"/>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符合本次</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kern w:val="2"/>
          <w:sz w:val="32"/>
          <w:szCs w:val="32"/>
          <w:highlight w:val="none"/>
          <w:lang w:val="en-US" w:eastAsia="zh-CN" w:bidi="ar-SA"/>
        </w:rPr>
        <w:t>带量联动采购申报要求的企业</w:t>
      </w:r>
      <w:r>
        <w:rPr>
          <w:rFonts w:hint="default" w:ascii="仿宋" w:hAnsi="仿宋" w:eastAsia="仿宋" w:cs="仿宋"/>
          <w:color w:val="auto"/>
          <w:kern w:val="2"/>
          <w:sz w:val="32"/>
          <w:szCs w:val="32"/>
          <w:highlight w:val="none"/>
          <w:lang w:val="en-US" w:eastAsia="zh-CN" w:bidi="ar-SA"/>
        </w:rPr>
        <w:t>登录</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河北</w:t>
      </w:r>
      <w:r>
        <w:rPr>
          <w:rFonts w:hint="eastAsia" w:ascii="仿宋" w:hAnsi="仿宋" w:eastAsia="仿宋" w:cs="仿宋"/>
          <w:color w:val="auto"/>
          <w:kern w:val="2"/>
          <w:sz w:val="32"/>
          <w:szCs w:val="32"/>
          <w:highlight w:val="none"/>
          <w:lang w:val="en-US" w:eastAsia="zh-CN" w:bidi="ar-SA"/>
        </w:rPr>
        <w:t>省</w:t>
      </w:r>
      <w:r>
        <w:rPr>
          <w:rFonts w:hint="default" w:ascii="仿宋" w:hAnsi="仿宋" w:eastAsia="仿宋" w:cs="仿宋"/>
          <w:color w:val="auto"/>
          <w:kern w:val="2"/>
          <w:sz w:val="32"/>
          <w:szCs w:val="32"/>
          <w:highlight w:val="none"/>
          <w:lang w:val="en-US" w:eastAsia="zh-CN" w:bidi="ar-SA"/>
        </w:rPr>
        <w:t>药品和医用耗材招采管理子系统</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（http://ylbzj.hebei.gov.cn/pub/#/unitLogin），进行产品信息维护。</w:t>
      </w:r>
    </w:p>
    <w:p w14:paraId="516E15EE">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采购主体填报采购</w:t>
      </w:r>
      <w:r>
        <w:rPr>
          <w:rFonts w:hint="eastAsia" w:ascii="仿宋" w:hAnsi="仿宋" w:eastAsia="仿宋" w:cs="仿宋"/>
          <w:color w:val="auto"/>
          <w:sz w:val="32"/>
          <w:szCs w:val="32"/>
          <w:highlight w:val="none"/>
          <w:lang w:val="en-US" w:eastAsia="zh-CN"/>
        </w:rPr>
        <w:t>需求</w:t>
      </w:r>
      <w:r>
        <w:rPr>
          <w:rFonts w:hint="eastAsia" w:ascii="仿宋" w:hAnsi="仿宋" w:eastAsia="仿宋" w:cs="仿宋"/>
          <w:color w:val="auto"/>
          <w:sz w:val="32"/>
          <w:szCs w:val="32"/>
          <w:highlight w:val="none"/>
        </w:rPr>
        <w:t>量</w:t>
      </w:r>
    </w:p>
    <w:p w14:paraId="709E15E1">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采购主体登录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河北省药品和医用耗材招采管理子系统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（http://ylbzj.hebei.gov.cn/pub/#/unitLogin）。填报</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未来一年的采购需求量，</w:t>
      </w:r>
      <w:r>
        <w:rPr>
          <w:rFonts w:hint="eastAsia" w:ascii="仿宋" w:hAnsi="仿宋" w:eastAsia="仿宋" w:cs="仿宋"/>
          <w:color w:val="auto"/>
          <w:sz w:val="32"/>
          <w:szCs w:val="32"/>
          <w:highlight w:val="none"/>
          <w:lang w:val="en-US" w:eastAsia="zh-CN"/>
        </w:rPr>
        <w:t>填报到产品分类，不</w:t>
      </w:r>
      <w:r>
        <w:rPr>
          <w:rFonts w:hint="eastAsia" w:ascii="仿宋" w:hAnsi="仿宋" w:eastAsia="仿宋" w:cs="仿宋"/>
          <w:color w:val="auto"/>
          <w:sz w:val="32"/>
          <w:szCs w:val="32"/>
          <w:highlight w:val="none"/>
        </w:rPr>
        <w:t>具体</w:t>
      </w:r>
      <w:r>
        <w:rPr>
          <w:rFonts w:hint="eastAsia" w:ascii="仿宋" w:hAnsi="仿宋" w:eastAsia="仿宋" w:cs="仿宋"/>
          <w:color w:val="auto"/>
          <w:sz w:val="32"/>
          <w:szCs w:val="32"/>
          <w:highlight w:val="none"/>
          <w:lang w:val="en-US" w:eastAsia="zh-CN"/>
        </w:rPr>
        <w:t>填报到生产企业</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河北省医用药品器械集中采购中心汇总</w:t>
      </w:r>
      <w:r>
        <w:rPr>
          <w:rFonts w:hint="eastAsia" w:ascii="仿宋" w:hAnsi="仿宋" w:eastAsia="仿宋" w:cs="仿宋"/>
          <w:color w:val="auto"/>
          <w:sz w:val="32"/>
          <w:szCs w:val="32"/>
          <w:highlight w:val="none"/>
        </w:rPr>
        <w:t>形成</w:t>
      </w:r>
      <w:r>
        <w:rPr>
          <w:rFonts w:hint="eastAsia" w:ascii="仿宋" w:hAnsi="仿宋" w:eastAsia="仿宋" w:cs="仿宋"/>
          <w:color w:val="auto"/>
          <w:sz w:val="32"/>
          <w:szCs w:val="32"/>
          <w:highlight w:val="none"/>
          <w:lang w:eastAsia="zh-CN"/>
        </w:rPr>
        <w:t>约定</w:t>
      </w:r>
      <w:r>
        <w:rPr>
          <w:rFonts w:hint="eastAsia" w:ascii="仿宋" w:hAnsi="仿宋" w:eastAsia="仿宋" w:cs="仿宋"/>
          <w:color w:val="auto"/>
          <w:sz w:val="32"/>
          <w:szCs w:val="32"/>
          <w:highlight w:val="none"/>
        </w:rPr>
        <w:t>采购量。为保证数据填报工作的严肃性、准确性，各采购主体在平台内填报相关数据时，须上传经采购主体主要负责人签章确认的授权承诺书。</w:t>
      </w:r>
    </w:p>
    <w:p w14:paraId="04416BEC">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申报企业填报价格</w:t>
      </w:r>
    </w:p>
    <w:p w14:paraId="1E08FCC0">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所有参加本次带量联动采购的申报企业只进行一次价格填报。</w:t>
      </w:r>
      <w:r>
        <w:rPr>
          <w:rFonts w:hint="eastAsia" w:ascii="仿宋" w:hAnsi="仿宋" w:eastAsia="仿宋" w:cs="仿宋"/>
          <w:color w:val="auto"/>
          <w:sz w:val="32"/>
          <w:szCs w:val="32"/>
          <w:highlight w:val="none"/>
        </w:rPr>
        <w:t>申报企业登录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河北省药品和医用耗材招采管理子系统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（http://ylbzj.hebei.gov.cn/pub/#/unitLogin），查看本企业</w:t>
      </w:r>
      <w:r>
        <w:rPr>
          <w:rFonts w:hint="eastAsia" w:ascii="仿宋" w:hAnsi="仿宋" w:eastAsia="仿宋" w:cs="仿宋"/>
          <w:color w:val="auto"/>
          <w:sz w:val="32"/>
          <w:szCs w:val="32"/>
          <w:highlight w:val="none"/>
          <w:lang w:val="en-US" w:eastAsia="zh-CN"/>
        </w:rPr>
        <w:t>一次性使用导尿管</w:t>
      </w:r>
      <w:r>
        <w:rPr>
          <w:rFonts w:hint="eastAsia" w:ascii="仿宋" w:hAnsi="仿宋" w:eastAsia="仿宋" w:cs="仿宋"/>
          <w:color w:val="auto"/>
          <w:sz w:val="32"/>
          <w:szCs w:val="32"/>
          <w:highlight w:val="none"/>
        </w:rPr>
        <w:t>产品信息，填报产品价格。</w:t>
      </w:r>
    </w:p>
    <w:p w14:paraId="10A518ED">
      <w:pPr>
        <w:keepNext w:val="0"/>
        <w:keepLines w:val="0"/>
        <w:pageBreakBefore w:val="0"/>
        <w:kinsoku/>
        <w:wordWrap w:val="0"/>
        <w:overflowPunct/>
        <w:topLinePunct w:val="0"/>
        <w:autoSpaceDE/>
        <w:autoSpaceDN/>
        <w:bidi w:val="0"/>
        <w:adjustRightInd/>
        <w:snapToGrid/>
        <w:spacing w:line="240" w:lineRule="auto"/>
        <w:ind w:left="638" w:leftChars="304"/>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填报价格时间：202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26</w:t>
      </w:r>
      <w:r>
        <w:rPr>
          <w:rFonts w:hint="eastAsia" w:ascii="仿宋" w:hAnsi="仿宋" w:eastAsia="仿宋" w:cs="仿宋"/>
          <w:color w:val="auto"/>
          <w:sz w:val="32"/>
          <w:szCs w:val="32"/>
          <w:highlight w:val="none"/>
        </w:rPr>
        <w:t>日。</w:t>
      </w:r>
    </w:p>
    <w:p w14:paraId="258EDDE2">
      <w:pPr>
        <w:keepNext w:val="0"/>
        <w:keepLines w:val="0"/>
        <w:pageBreakBefore w:val="0"/>
        <w:numPr>
          <w:ilvl w:val="0"/>
          <w:numId w:val="2"/>
        </w:numPr>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确定拟中选产品</w:t>
      </w:r>
    </w:p>
    <w:p w14:paraId="1363CFC3">
      <w:pPr>
        <w:keepNext w:val="0"/>
        <w:keepLines w:val="0"/>
        <w:pageBreakBefore w:val="0"/>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按照本方案中选产品的确定</w:t>
      </w:r>
      <w:r>
        <w:rPr>
          <w:rFonts w:hint="eastAsia" w:ascii="仿宋" w:hAnsi="仿宋" w:eastAsia="仿宋" w:cs="仿宋"/>
          <w:color w:val="auto"/>
          <w:sz w:val="32"/>
          <w:szCs w:val="32"/>
          <w:highlight w:val="none"/>
          <w:lang w:eastAsia="zh-CN"/>
        </w:rPr>
        <w:t>规则</w:t>
      </w:r>
      <w:r>
        <w:rPr>
          <w:rFonts w:hint="eastAsia" w:ascii="仿宋" w:hAnsi="仿宋" w:eastAsia="仿宋" w:cs="仿宋"/>
          <w:color w:val="auto"/>
          <w:sz w:val="32"/>
          <w:szCs w:val="32"/>
          <w:highlight w:val="none"/>
        </w:rPr>
        <w:t>，确定拟中选产品</w:t>
      </w:r>
      <w:r>
        <w:rPr>
          <w:rFonts w:hint="eastAsia" w:ascii="仿宋" w:hAnsi="仿宋" w:eastAsia="仿宋" w:cs="仿宋"/>
          <w:color w:val="auto"/>
          <w:sz w:val="32"/>
          <w:szCs w:val="32"/>
          <w:highlight w:val="none"/>
          <w:lang w:eastAsia="zh-CN"/>
        </w:rPr>
        <w:t>。</w:t>
      </w:r>
    </w:p>
    <w:p w14:paraId="5389458E">
      <w:pPr>
        <w:keepNext w:val="0"/>
        <w:keepLines w:val="0"/>
        <w:pageBreakBefore w:val="0"/>
        <w:numPr>
          <w:ilvl w:val="0"/>
          <w:numId w:val="0"/>
        </w:numPr>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确定</w:t>
      </w:r>
      <w:r>
        <w:rPr>
          <w:rFonts w:hint="eastAsia" w:ascii="仿宋" w:hAnsi="仿宋" w:eastAsia="仿宋" w:cs="仿宋"/>
          <w:color w:val="auto"/>
          <w:sz w:val="32"/>
          <w:szCs w:val="32"/>
          <w:highlight w:val="none"/>
        </w:rPr>
        <w:t>中选产品</w:t>
      </w:r>
    </w:p>
    <w:p w14:paraId="35CF88A5">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bookmarkStart w:id="0" w:name="_Hlk88474425"/>
      <w:r>
        <w:rPr>
          <w:rFonts w:hint="eastAsia" w:ascii="仿宋" w:hAnsi="仿宋" w:eastAsia="仿宋" w:cs="仿宋"/>
          <w:color w:val="auto"/>
          <w:sz w:val="32"/>
          <w:szCs w:val="32"/>
          <w:highlight w:val="none"/>
        </w:rPr>
        <w:t>拟中选产品经公示无异议即为中选产品。河北省医用药品器械集中采购中心在“河北省医用药品器械集中采购中心网站”公布中选产品。中选企业为保障供应第一责任人，确保临床用量。</w:t>
      </w:r>
      <w:bookmarkEnd w:id="0"/>
    </w:p>
    <w:p w14:paraId="377A2F52">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）签订协议，执行网上采购</w:t>
      </w:r>
    </w:p>
    <w:p w14:paraId="03905519">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主体、中选企业、中选企业确定的配送企业按中选价格签订三方采购协议。协议要明确品种、数量、价格、供货时限、付款程序和时间、履约方式、违约责任等。采购主体应按要求，严格执行医用耗材网上采购。</w:t>
      </w:r>
    </w:p>
    <w:p w14:paraId="248D82DA">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p>
    <w:p w14:paraId="6F5721A3">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p>
    <w:p w14:paraId="222EEB2C">
      <w:pPr>
        <w:spacing w:line="560" w:lineRule="exact"/>
        <w:ind w:left="4798" w:leftChars="304" w:hanging="4160" w:hangingChars="1300"/>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kern w:val="2"/>
          <w:sz w:val="32"/>
          <w:szCs w:val="32"/>
          <w:highlight w:val="none"/>
          <w:u w:val="none"/>
          <w:lang w:val="en-US" w:eastAsia="zh-CN" w:bidi="ar-SA"/>
        </w:rPr>
        <w:t>河北省医用药品器械集中采购中心</w:t>
      </w:r>
    </w:p>
    <w:p w14:paraId="35DE0257">
      <w:pPr>
        <w:spacing w:line="560" w:lineRule="exact"/>
        <w:ind w:left="4788" w:leftChars="2280" w:firstLine="0" w:firstLineChars="0"/>
        <w:rPr>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22</w:t>
      </w:r>
      <w:bookmarkStart w:id="1" w:name="_GoBack"/>
      <w:bookmarkEnd w:id="1"/>
      <w:r>
        <w:rPr>
          <w:rFonts w:hint="eastAsia" w:ascii="仿宋" w:hAnsi="仿宋" w:eastAsia="仿宋" w:cs="仿宋"/>
          <w:color w:val="auto"/>
          <w:sz w:val="32"/>
          <w:szCs w:val="32"/>
          <w:highlight w:val="none"/>
        </w:rPr>
        <w:t>日</w:t>
      </w: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835D">
    <w:pPr>
      <w:pStyle w:val="3"/>
      <w:jc w:val="center"/>
    </w:pPr>
    <w:r>
      <w:fldChar w:fldCharType="begin"/>
    </w:r>
    <w:r>
      <w:instrText xml:space="preserve">PAGE   \* MERGEFORMAT</w:instrText>
    </w:r>
    <w:r>
      <w:fldChar w:fldCharType="separate"/>
    </w:r>
    <w:r>
      <w:rPr>
        <w:lang w:val="zh-CN"/>
      </w:rPr>
      <w:t>3</w:t>
    </w:r>
    <w:r>
      <w:fldChar w:fldCharType="end"/>
    </w:r>
  </w:p>
  <w:p w14:paraId="26B6A26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C0FF0"/>
    <w:multiLevelType w:val="singleLevel"/>
    <w:tmpl w:val="408C0FF0"/>
    <w:lvl w:ilvl="0" w:tentative="0">
      <w:start w:val="4"/>
      <w:numFmt w:val="chineseCounting"/>
      <w:suff w:val="nothing"/>
      <w:lvlText w:val="（%1）"/>
      <w:lvlJc w:val="left"/>
      <w:rPr>
        <w:rFonts w:hint="eastAsia"/>
      </w:rPr>
    </w:lvl>
  </w:abstractNum>
  <w:abstractNum w:abstractNumId="1">
    <w:nsid w:val="5F0F0D87"/>
    <w:multiLevelType w:val="singleLevel"/>
    <w:tmpl w:val="5F0F0D87"/>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jMzYTAwY2MxOWRiNDM5MGZjOWMwMDFiZjJkMzQifQ=="/>
  </w:docVars>
  <w:rsids>
    <w:rsidRoot w:val="738A0C02"/>
    <w:rsid w:val="07996868"/>
    <w:rsid w:val="099C43EE"/>
    <w:rsid w:val="0F9D3669"/>
    <w:rsid w:val="10495642"/>
    <w:rsid w:val="13165C6F"/>
    <w:rsid w:val="13752CF4"/>
    <w:rsid w:val="15986FFE"/>
    <w:rsid w:val="15A41C0E"/>
    <w:rsid w:val="173051DB"/>
    <w:rsid w:val="18DF1843"/>
    <w:rsid w:val="1C683516"/>
    <w:rsid w:val="20914128"/>
    <w:rsid w:val="240D2E7E"/>
    <w:rsid w:val="28245882"/>
    <w:rsid w:val="2B2A7653"/>
    <w:rsid w:val="2C012824"/>
    <w:rsid w:val="2D0B7011"/>
    <w:rsid w:val="2F5E167A"/>
    <w:rsid w:val="30EE1123"/>
    <w:rsid w:val="334C1344"/>
    <w:rsid w:val="343354FC"/>
    <w:rsid w:val="38A741E7"/>
    <w:rsid w:val="3B113C64"/>
    <w:rsid w:val="3B43685C"/>
    <w:rsid w:val="3E704F26"/>
    <w:rsid w:val="3F3116D1"/>
    <w:rsid w:val="48272AF9"/>
    <w:rsid w:val="4A525E27"/>
    <w:rsid w:val="4CD07C03"/>
    <w:rsid w:val="4D8276A9"/>
    <w:rsid w:val="53E80887"/>
    <w:rsid w:val="54DE4E87"/>
    <w:rsid w:val="55386D42"/>
    <w:rsid w:val="56186177"/>
    <w:rsid w:val="569E667C"/>
    <w:rsid w:val="592117E6"/>
    <w:rsid w:val="59F54511"/>
    <w:rsid w:val="5B751975"/>
    <w:rsid w:val="644017A3"/>
    <w:rsid w:val="653B778C"/>
    <w:rsid w:val="6A646556"/>
    <w:rsid w:val="6CAF371B"/>
    <w:rsid w:val="6D30738D"/>
    <w:rsid w:val="70850FCD"/>
    <w:rsid w:val="723B6014"/>
    <w:rsid w:val="73094B99"/>
    <w:rsid w:val="738A0C02"/>
    <w:rsid w:val="74D2670E"/>
    <w:rsid w:val="778138E7"/>
    <w:rsid w:val="779C1286"/>
    <w:rsid w:val="77FA3835"/>
    <w:rsid w:val="789504E1"/>
    <w:rsid w:val="7DE62533"/>
    <w:rsid w:val="7E991353"/>
    <w:rsid w:val="7F01339C"/>
    <w:rsid w:val="7F0E6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2478</Words>
  <Characters>2672</Characters>
  <Lines>0</Lines>
  <Paragraphs>0</Paragraphs>
  <TotalTime>0</TotalTime>
  <ScaleCrop>false</ScaleCrop>
  <LinksUpToDate>false</LinksUpToDate>
  <CharactersWithSpaces>2694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老男孩</dc:creator>
  <cp:lastModifiedBy>老男孩</cp:lastModifiedBy>
  <cp:lastPrinted>2024-07-17T01:34:00Z</cp:lastPrinted>
  <dcterms:modified xsi:type="dcterms:W3CDTF">2024-07-19T07:47:23Z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CDA992872D1F4622968DBE48F8AEF9D7_11</vt:lpwstr>
  </property>
</Properties>
</file>