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B07D5" w14:textId="77777777" w:rsidR="001B6A5B" w:rsidRDefault="00A41FA1">
      <w:pPr>
        <w:spacing w:line="520" w:lineRule="exact"/>
        <w:jc w:val="center"/>
        <w:rPr>
          <w:rFonts w:ascii="Times New Roman" w:eastAsia="方正小标宋简体" w:hAnsi="Times New Roman" w:cs="Times New Roman"/>
          <w:b/>
          <w:bCs/>
          <w:kern w:val="0"/>
          <w:sz w:val="44"/>
          <w:szCs w:val="44"/>
        </w:rPr>
      </w:pPr>
      <w:bookmarkStart w:id="0" w:name="_GoBack"/>
      <w:bookmarkEnd w:id="0"/>
      <w:r>
        <w:rPr>
          <w:rFonts w:ascii="Times New Roman" w:eastAsia="方正小标宋简体" w:hAnsi="Times New Roman" w:cs="Times New Roman"/>
          <w:b/>
          <w:bCs/>
          <w:kern w:val="0"/>
          <w:sz w:val="44"/>
          <w:szCs w:val="44"/>
        </w:rPr>
        <w:t>重组人源化胶原蛋白原材料评价指导原则</w:t>
      </w:r>
    </w:p>
    <w:p w14:paraId="1AB85098" w14:textId="77777777" w:rsidR="001B6A5B" w:rsidRDefault="001B6A5B">
      <w:pPr>
        <w:spacing w:line="520" w:lineRule="exact"/>
        <w:jc w:val="center"/>
        <w:rPr>
          <w:rFonts w:ascii="Times New Roman" w:eastAsia="仿宋_GB2312" w:hAnsi="Times New Roman" w:cs="Times New Roman"/>
          <w:bCs/>
          <w:kern w:val="0"/>
          <w:sz w:val="32"/>
          <w:szCs w:val="32"/>
        </w:rPr>
      </w:pPr>
    </w:p>
    <w:p w14:paraId="2BF8A55F" w14:textId="77777777" w:rsidR="001B6A5B" w:rsidRDefault="00A41FA1">
      <w:pPr>
        <w:spacing w:line="520" w:lineRule="exact"/>
        <w:jc w:val="center"/>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（征求意见稿）</w:t>
      </w:r>
    </w:p>
    <w:p w14:paraId="7CECF24B" w14:textId="77777777" w:rsidR="001B6A5B" w:rsidRDefault="001B6A5B">
      <w:pPr>
        <w:spacing w:line="520" w:lineRule="exact"/>
        <w:ind w:firstLineChars="200" w:firstLine="640"/>
        <w:jc w:val="center"/>
        <w:rPr>
          <w:rFonts w:ascii="Times New Roman" w:eastAsia="仿宋_GB2312" w:hAnsi="Times New Roman" w:cs="Times New Roman"/>
          <w:bCs/>
          <w:kern w:val="0"/>
          <w:sz w:val="32"/>
          <w:szCs w:val="32"/>
        </w:rPr>
      </w:pPr>
    </w:p>
    <w:p w14:paraId="29181DB6" w14:textId="3BFC5BE4"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w:t>
      </w:r>
      <w:r w:rsidR="00627B51">
        <w:rPr>
          <w:rFonts w:ascii="Times New Roman" w:eastAsia="仿宋_GB2312" w:hAnsi="Times New Roman" w:cs="Times New Roman" w:hint="eastAsia"/>
          <w:sz w:val="32"/>
          <w:szCs w:val="32"/>
        </w:rPr>
        <w:t>在</w:t>
      </w:r>
      <w:r w:rsidR="00627B51" w:rsidRPr="00906207">
        <w:rPr>
          <w:rFonts w:ascii="仿宋_GB2312" w:eastAsia="仿宋_GB2312" w:hAnsiTheme="minorEastAsia" w:hint="eastAsia"/>
          <w:kern w:val="0"/>
          <w:sz w:val="32"/>
          <w:szCs w:val="32"/>
        </w:rPr>
        <w:t>指导注册申请人对</w:t>
      </w:r>
      <w:r w:rsidR="00BA42F2">
        <w:rPr>
          <w:rFonts w:ascii="仿宋_GB2312" w:eastAsia="仿宋_GB2312" w:hAnsiTheme="minorEastAsia" w:hint="eastAsia"/>
          <w:kern w:val="0"/>
          <w:sz w:val="32"/>
          <w:szCs w:val="32"/>
        </w:rPr>
        <w:t>植入类医疗器械所用</w:t>
      </w:r>
      <w:r w:rsidR="00BA42F2">
        <w:rPr>
          <w:rFonts w:ascii="Times New Roman" w:eastAsia="仿宋_GB2312" w:hAnsi="Times New Roman" w:cs="Times New Roman"/>
          <w:sz w:val="32"/>
          <w:szCs w:val="32"/>
        </w:rPr>
        <w:t>重组人源化胶原蛋白</w:t>
      </w:r>
      <w:r w:rsidR="00627B51" w:rsidRPr="00906207">
        <w:rPr>
          <w:rFonts w:ascii="仿宋_GB2312" w:eastAsia="仿宋_GB2312" w:hint="eastAsia"/>
          <w:bCs/>
          <w:sz w:val="32"/>
          <w:szCs w:val="32"/>
        </w:rPr>
        <w:t>原材料</w:t>
      </w:r>
      <w:r w:rsidR="00627B51" w:rsidRPr="00906207">
        <w:rPr>
          <w:rFonts w:ascii="仿宋_GB2312" w:eastAsia="仿宋_GB2312" w:hAnsiTheme="minorEastAsia" w:hint="eastAsia"/>
          <w:kern w:val="0"/>
          <w:sz w:val="32"/>
          <w:szCs w:val="32"/>
        </w:rPr>
        <w:t>进行充分的研究，并整理形成</w:t>
      </w:r>
      <w:r w:rsidR="00BA42F2">
        <w:rPr>
          <w:rFonts w:ascii="仿宋_GB2312" w:eastAsia="仿宋_GB2312" w:hAnsiTheme="minorEastAsia" w:hint="eastAsia"/>
          <w:kern w:val="0"/>
          <w:sz w:val="32"/>
          <w:szCs w:val="32"/>
        </w:rPr>
        <w:t>产品</w:t>
      </w:r>
      <w:r w:rsidR="00627B51" w:rsidRPr="00906207">
        <w:rPr>
          <w:rFonts w:ascii="仿宋_GB2312" w:eastAsia="仿宋_GB2312" w:hAnsiTheme="minorEastAsia" w:hint="eastAsia"/>
          <w:kern w:val="0"/>
          <w:sz w:val="32"/>
          <w:szCs w:val="32"/>
        </w:rPr>
        <w:t>注册申报资料，</w:t>
      </w:r>
      <w:r>
        <w:rPr>
          <w:rFonts w:ascii="Times New Roman" w:eastAsia="仿宋_GB2312" w:hAnsi="Times New Roman" w:cs="Times New Roman"/>
          <w:sz w:val="32"/>
          <w:szCs w:val="32"/>
        </w:rPr>
        <w:t>同时也为技术审评部门对重组人源化胶原蛋白制成的产品注册申报资料</w:t>
      </w:r>
      <w:r w:rsidR="00F930D6">
        <w:rPr>
          <w:rFonts w:ascii="Times New Roman" w:eastAsia="仿宋_GB2312" w:hAnsi="Times New Roman" w:cs="Times New Roman" w:hint="eastAsia"/>
          <w:sz w:val="32"/>
          <w:szCs w:val="32"/>
        </w:rPr>
        <w:t>包括</w:t>
      </w:r>
      <w:r>
        <w:rPr>
          <w:rFonts w:ascii="Times New Roman" w:eastAsia="仿宋_GB2312" w:hAnsi="Times New Roman" w:cs="Times New Roman" w:hint="eastAsia"/>
          <w:sz w:val="32"/>
          <w:szCs w:val="32"/>
        </w:rPr>
        <w:t>所引用</w:t>
      </w:r>
      <w:r>
        <w:rPr>
          <w:rFonts w:ascii="Times New Roman" w:eastAsia="仿宋_GB2312" w:hAnsi="Times New Roman" w:cs="Times New Roman"/>
          <w:sz w:val="32"/>
          <w:szCs w:val="32"/>
        </w:rPr>
        <w:t>主文档</w:t>
      </w:r>
      <w:r>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的</w:t>
      </w:r>
      <w:r w:rsidR="00160FE6">
        <w:rPr>
          <w:rFonts w:ascii="Times New Roman" w:eastAsia="仿宋_GB2312" w:hAnsi="Times New Roman" w:cs="Times New Roman"/>
          <w:sz w:val="32"/>
          <w:szCs w:val="32"/>
        </w:rPr>
        <w:t>技术</w:t>
      </w:r>
      <w:r>
        <w:rPr>
          <w:rFonts w:ascii="Times New Roman" w:eastAsia="仿宋_GB2312" w:hAnsi="Times New Roman" w:cs="Times New Roman"/>
          <w:sz w:val="32"/>
          <w:szCs w:val="32"/>
        </w:rPr>
        <w:t>审评提供参考。本指导原则主要针对植入类医疗器械的重组人源化胶原蛋白原材料的评价，其它医疗器械用重组胶原蛋白原材料的评价也可以参考本指导原则适用的部分。</w:t>
      </w:r>
    </w:p>
    <w:p w14:paraId="1D388957" w14:textId="78530019"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本指导原则系对医疗器械用重组人源化胶原蛋白原材料的一般要求，</w:t>
      </w:r>
      <w:r w:rsidR="001B3263" w:rsidRPr="001B3263">
        <w:rPr>
          <w:rFonts w:ascii="Times New Roman" w:eastAsia="仿宋_GB2312" w:hAnsi="Times New Roman" w:cs="Times New Roman" w:hint="eastAsia"/>
          <w:sz w:val="32"/>
          <w:szCs w:val="32"/>
        </w:rPr>
        <w:t>适用于</w:t>
      </w:r>
      <w:r w:rsidR="001B3263">
        <w:rPr>
          <w:rFonts w:ascii="Times New Roman" w:eastAsia="仿宋_GB2312" w:hAnsi="Times New Roman" w:cs="Times New Roman" w:hint="eastAsia"/>
          <w:sz w:val="32"/>
          <w:szCs w:val="32"/>
        </w:rPr>
        <w:t>人</w:t>
      </w:r>
      <w:r w:rsidR="001B3263" w:rsidRPr="001B3263">
        <w:rPr>
          <w:rFonts w:ascii="Times New Roman" w:eastAsia="仿宋_GB2312" w:hAnsi="Times New Roman" w:cs="Times New Roman" w:hint="eastAsia"/>
          <w:sz w:val="32"/>
          <w:szCs w:val="32"/>
        </w:rPr>
        <w:t>胶原蛋白</w:t>
      </w:r>
      <w:r w:rsidR="00143A33">
        <w:rPr>
          <w:rFonts w:ascii="Times New Roman" w:eastAsia="仿宋_GB2312" w:hAnsi="Times New Roman" w:cs="Times New Roman" w:hint="eastAsia"/>
          <w:sz w:val="32"/>
          <w:szCs w:val="32"/>
        </w:rPr>
        <w:t>的</w:t>
      </w:r>
      <w:r w:rsidR="00143A33" w:rsidRPr="001B3263">
        <w:rPr>
          <w:rFonts w:ascii="Times New Roman" w:eastAsia="仿宋_GB2312" w:hAnsi="Times New Roman" w:cs="Times New Roman" w:hint="eastAsia"/>
          <w:sz w:val="32"/>
          <w:szCs w:val="32"/>
        </w:rPr>
        <w:t>所有</w:t>
      </w:r>
      <w:r w:rsidR="001B3263">
        <w:rPr>
          <w:rFonts w:ascii="Times New Roman" w:eastAsia="仿宋_GB2312" w:hAnsi="Times New Roman" w:cs="Times New Roman" w:hint="eastAsia"/>
          <w:sz w:val="32"/>
          <w:szCs w:val="32"/>
        </w:rPr>
        <w:t>型别</w:t>
      </w:r>
      <w:r w:rsidR="001B3263" w:rsidRPr="001B326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注册申请人需依据具体</w:t>
      </w:r>
      <w:r w:rsidR="00AB75CD">
        <w:rPr>
          <w:rFonts w:ascii="Times New Roman" w:eastAsia="仿宋_GB2312" w:hAnsi="Times New Roman" w:cs="Times New Roman" w:hint="eastAsia"/>
          <w:sz w:val="32"/>
          <w:szCs w:val="32"/>
        </w:rPr>
        <w:t>医疗器械</w:t>
      </w:r>
      <w:r>
        <w:rPr>
          <w:rFonts w:ascii="Times New Roman" w:eastAsia="仿宋_GB2312" w:hAnsi="Times New Roman" w:cs="Times New Roman"/>
          <w:sz w:val="32"/>
          <w:szCs w:val="32"/>
        </w:rPr>
        <w:t>产品的特性对产品注册申报资料涉及的原材料相关内容进行充实和细化，</w:t>
      </w:r>
      <w:r w:rsidRPr="006F3EDD">
        <w:rPr>
          <w:rFonts w:ascii="Times New Roman" w:eastAsia="仿宋_GB2312" w:hAnsi="Times New Roman" w:cs="Times New Roman" w:hint="eastAsia"/>
          <w:sz w:val="32"/>
          <w:szCs w:val="32"/>
        </w:rPr>
        <w:t>并依据产品的具体特性确定本指导原则</w:t>
      </w:r>
      <w:r w:rsidR="00AB75CD" w:rsidRPr="006F3EDD">
        <w:rPr>
          <w:rFonts w:ascii="Times New Roman" w:eastAsia="仿宋_GB2312" w:hAnsi="Times New Roman" w:cs="Times New Roman" w:hint="eastAsia"/>
          <w:sz w:val="32"/>
          <w:szCs w:val="32"/>
        </w:rPr>
        <w:t>相关</w:t>
      </w:r>
      <w:r w:rsidRPr="006F3EDD">
        <w:rPr>
          <w:rFonts w:ascii="Times New Roman" w:eastAsia="仿宋_GB2312" w:hAnsi="Times New Roman" w:cs="Times New Roman" w:hint="eastAsia"/>
          <w:sz w:val="32"/>
          <w:szCs w:val="32"/>
        </w:rPr>
        <w:t>内容的适用性</w:t>
      </w:r>
      <w:r>
        <w:rPr>
          <w:rFonts w:ascii="Times New Roman" w:eastAsia="仿宋_GB2312" w:hAnsi="Times New Roman" w:cs="Times New Roman"/>
          <w:sz w:val="32"/>
          <w:szCs w:val="32"/>
        </w:rPr>
        <w:t>。本指导原则不</w:t>
      </w:r>
      <w:r w:rsidR="00B0684D">
        <w:rPr>
          <w:rFonts w:ascii="Times New Roman" w:eastAsia="仿宋_GB2312" w:hAnsi="Times New Roman" w:cs="Times New Roman" w:hint="eastAsia"/>
          <w:sz w:val="32"/>
          <w:szCs w:val="32"/>
        </w:rPr>
        <w:t>直接涉及</w:t>
      </w:r>
      <w:r>
        <w:rPr>
          <w:rFonts w:ascii="Times New Roman" w:eastAsia="仿宋_GB2312" w:hAnsi="Times New Roman" w:cs="Times New Roman"/>
          <w:sz w:val="32"/>
          <w:szCs w:val="32"/>
        </w:rPr>
        <w:t>重组人源化胶原蛋白材料制成的医疗器械终产品的安全性或有效性评价，具体产品的评价请参考相应的产品注册审查指导原则。</w:t>
      </w:r>
    </w:p>
    <w:p w14:paraId="1CF98741"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本指导原则是对注册申请人和技术审评人员的指导性文件，但不包括注册审批所涉及的行政事项，亦不作为法规强制执行，</w:t>
      </w:r>
      <w:r w:rsidRPr="006F3EDD">
        <w:rPr>
          <w:rFonts w:ascii="Times New Roman" w:eastAsia="仿宋_GB2312" w:hAnsi="Times New Roman" w:cs="Times New Roman" w:hint="eastAsia"/>
          <w:sz w:val="32"/>
          <w:szCs w:val="32"/>
        </w:rPr>
        <w:t>如果有能够满足相关法规要求的其他方法，也可以采用</w:t>
      </w:r>
      <w:r>
        <w:rPr>
          <w:rFonts w:ascii="Times New Roman" w:eastAsia="仿宋_GB2312" w:hAnsi="Times New Roman" w:cs="Times New Roman"/>
          <w:sz w:val="32"/>
          <w:szCs w:val="32"/>
        </w:rPr>
        <w:t>，但是需要提供详细的研究资料和验证资料；需在遵循相关法规和强制性标准的前提下使用本指导原则。</w:t>
      </w:r>
    </w:p>
    <w:p w14:paraId="2BC68861"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本指导原则是在现行法规和标准体系以及当前认知水平下制定的，随着法规和标准的不断完善，以及科学技术的</w:t>
      </w:r>
      <w:r>
        <w:rPr>
          <w:rFonts w:ascii="Times New Roman" w:eastAsia="仿宋_GB2312" w:hAnsi="Times New Roman" w:cs="Times New Roman"/>
          <w:sz w:val="32"/>
          <w:szCs w:val="32"/>
        </w:rPr>
        <w:lastRenderedPageBreak/>
        <w:t>不断发展，本指导原则相关内容也将进行适时的调整。</w:t>
      </w:r>
    </w:p>
    <w:p w14:paraId="7A6ABAD1" w14:textId="77777777" w:rsidR="001B6A5B" w:rsidRDefault="00A41FA1">
      <w:pPr>
        <w:pStyle w:val="af7"/>
        <w:spacing w:line="520" w:lineRule="exact"/>
        <w:ind w:left="643" w:firstLineChars="0" w:firstLine="0"/>
        <w:outlineLvl w:val="0"/>
        <w:rPr>
          <w:rFonts w:ascii="Times New Roman" w:eastAsia="黑体" w:hAnsi="Times New Roman" w:cs="Times New Roman"/>
          <w:b/>
          <w:kern w:val="0"/>
          <w:sz w:val="32"/>
          <w:szCs w:val="32"/>
        </w:rPr>
      </w:pPr>
      <w:bookmarkStart w:id="1" w:name="_Toc110418869"/>
      <w:bookmarkStart w:id="2" w:name="_Toc110419008"/>
      <w:bookmarkStart w:id="3" w:name="_Toc118298903"/>
      <w:r>
        <w:rPr>
          <w:rFonts w:ascii="Times New Roman" w:eastAsia="黑体" w:hAnsi="Times New Roman" w:cs="Times New Roman" w:hint="eastAsia"/>
          <w:b/>
          <w:kern w:val="0"/>
          <w:sz w:val="32"/>
          <w:szCs w:val="32"/>
        </w:rPr>
        <w:t>一、</w:t>
      </w:r>
      <w:r>
        <w:rPr>
          <w:rFonts w:ascii="Times New Roman" w:eastAsia="黑体" w:hAnsi="Times New Roman" w:cs="Times New Roman"/>
          <w:b/>
          <w:kern w:val="0"/>
          <w:sz w:val="32"/>
          <w:szCs w:val="32"/>
        </w:rPr>
        <w:t>前言</w:t>
      </w:r>
      <w:bookmarkEnd w:id="1"/>
      <w:bookmarkEnd w:id="2"/>
      <w:bookmarkEnd w:id="3"/>
    </w:p>
    <w:p w14:paraId="6B8DCC00"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近年来，随着基因重组、蛋白质组学等基础理论、技术手段和临床医疗探索研究的不断发展，重组胶原蛋白日益成为重要的生物材料，为相关医疗器械的研发提供了新的思路与方法。重组人源化胶原蛋白是由</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重组技术制备的人胶原蛋白特定型别基因编码的全长或部分氨基酸序列片段，或是含人胶原蛋白功能片段的组合。</w:t>
      </w:r>
    </w:p>
    <w:p w14:paraId="2022DC1D" w14:textId="06FBCDBE" w:rsidR="00302901" w:rsidRDefault="00A41FA1" w:rsidP="0030290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重组人源化胶原蛋白仅是重组胶原蛋白的一类，材料特性并不能完全决定</w:t>
      </w:r>
      <w:r w:rsidR="00B80CE1">
        <w:rPr>
          <w:rFonts w:ascii="Times New Roman" w:eastAsia="仿宋_GB2312" w:hAnsi="Times New Roman" w:cs="Times New Roman" w:hint="eastAsia"/>
          <w:sz w:val="32"/>
          <w:szCs w:val="32"/>
        </w:rPr>
        <w:t>最</w:t>
      </w:r>
      <w:r>
        <w:rPr>
          <w:rFonts w:ascii="Times New Roman" w:eastAsia="仿宋_GB2312" w:hAnsi="Times New Roman" w:cs="Times New Roman"/>
          <w:sz w:val="32"/>
          <w:szCs w:val="32"/>
        </w:rPr>
        <w:t>终产品的安全性和有效性。本指导原则中的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是指用于生产制造医疗器械用的重组人源化胶原蛋白材料</w:t>
      </w:r>
      <w:r w:rsidR="00302901">
        <w:rPr>
          <w:rFonts w:ascii="Times New Roman" w:eastAsia="仿宋_GB2312" w:hAnsi="Times New Roman" w:cs="Times New Roman" w:hint="eastAsia"/>
          <w:sz w:val="32"/>
          <w:szCs w:val="32"/>
        </w:rPr>
        <w:t>。</w:t>
      </w:r>
    </w:p>
    <w:p w14:paraId="38A5DE0D" w14:textId="74823BCC" w:rsidR="00302901" w:rsidRPr="0056264B" w:rsidRDefault="00302901" w:rsidP="0030290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重组</w:t>
      </w:r>
      <w:r w:rsidR="00525182">
        <w:rPr>
          <w:rFonts w:ascii="Times New Roman" w:eastAsia="仿宋_GB2312" w:hAnsi="Times New Roman" w:cs="Times New Roman" w:hint="eastAsia"/>
          <w:sz w:val="32"/>
          <w:szCs w:val="32"/>
        </w:rPr>
        <w:t>人源化</w:t>
      </w:r>
      <w:r>
        <w:rPr>
          <w:rFonts w:ascii="Times New Roman" w:eastAsia="仿宋_GB2312" w:hAnsi="Times New Roman" w:cs="Times New Roman" w:hint="eastAsia"/>
          <w:sz w:val="32"/>
          <w:szCs w:val="32"/>
        </w:rPr>
        <w:t>胶原蛋白</w:t>
      </w:r>
      <w:r w:rsidR="00605EFE">
        <w:rPr>
          <w:rFonts w:ascii="Times New Roman" w:eastAsia="仿宋_GB2312" w:hAnsi="Times New Roman" w:cs="Times New Roman" w:hint="eastAsia"/>
          <w:sz w:val="32"/>
          <w:szCs w:val="32"/>
        </w:rPr>
        <w:t>是</w:t>
      </w:r>
      <w:r w:rsidR="00525182">
        <w:rPr>
          <w:rFonts w:ascii="Times New Roman" w:eastAsia="仿宋_GB2312" w:hAnsi="Times New Roman" w:cs="Times New Roman" w:hint="eastAsia"/>
          <w:sz w:val="32"/>
          <w:szCs w:val="32"/>
        </w:rPr>
        <w:t>通过</w:t>
      </w:r>
      <w:r w:rsidR="00605EFE">
        <w:rPr>
          <w:rFonts w:ascii="Times New Roman" w:eastAsia="仿宋_GB2312" w:hAnsi="Times New Roman" w:cs="Times New Roman" w:hint="eastAsia"/>
          <w:sz w:val="32"/>
          <w:szCs w:val="32"/>
        </w:rPr>
        <w:t>基因工程</w:t>
      </w:r>
      <w:r w:rsidR="00525182">
        <w:rPr>
          <w:rFonts w:ascii="Times New Roman" w:eastAsia="仿宋_GB2312" w:hAnsi="Times New Roman" w:cs="Times New Roman" w:hint="eastAsia"/>
          <w:sz w:val="32"/>
          <w:szCs w:val="32"/>
        </w:rPr>
        <w:t>生产的蛋白</w:t>
      </w:r>
      <w:r w:rsidR="00605EFE">
        <w:rPr>
          <w:rFonts w:ascii="Times New Roman" w:eastAsia="仿宋_GB2312" w:hAnsi="Times New Roman" w:cs="Times New Roman" w:hint="eastAsia"/>
          <w:sz w:val="32"/>
          <w:szCs w:val="32"/>
        </w:rPr>
        <w:t>，</w:t>
      </w:r>
      <w:r w:rsidR="00BB2480">
        <w:rPr>
          <w:rFonts w:ascii="Times New Roman" w:eastAsia="仿宋_GB2312" w:hAnsi="Times New Roman" w:cs="Times New Roman"/>
          <w:kern w:val="0"/>
          <w:sz w:val="32"/>
          <w:szCs w:val="32"/>
        </w:rPr>
        <w:t>工程细胞构建过程</w:t>
      </w:r>
      <w:r w:rsidR="00BB2480">
        <w:rPr>
          <w:rFonts w:ascii="Times New Roman" w:eastAsia="仿宋_GB2312" w:hAnsi="Times New Roman" w:cs="Times New Roman" w:hint="eastAsia"/>
          <w:kern w:val="0"/>
          <w:sz w:val="32"/>
          <w:szCs w:val="32"/>
        </w:rPr>
        <w:t>、</w:t>
      </w:r>
      <w:r w:rsidR="003E10A7">
        <w:rPr>
          <w:rFonts w:ascii="Times New Roman" w:eastAsia="仿宋_GB2312" w:hAnsi="Times New Roman" w:cs="Times New Roman"/>
          <w:kern w:val="0"/>
          <w:sz w:val="32"/>
          <w:szCs w:val="32"/>
        </w:rPr>
        <w:t>生产用细胞的质量控制</w:t>
      </w:r>
      <w:r w:rsidR="00BB2480">
        <w:rPr>
          <w:rFonts w:ascii="Times New Roman" w:eastAsia="仿宋_GB2312" w:hAnsi="Times New Roman" w:cs="Times New Roman" w:hint="eastAsia"/>
          <w:kern w:val="0"/>
          <w:sz w:val="32"/>
          <w:szCs w:val="32"/>
        </w:rPr>
        <w:t>及</w:t>
      </w:r>
      <w:r w:rsidR="00BB2480" w:rsidRPr="00BB2480">
        <w:rPr>
          <w:rFonts w:ascii="Times New Roman" w:eastAsia="仿宋_GB2312" w:hAnsi="Times New Roman" w:cs="Times New Roman"/>
          <w:kern w:val="0"/>
          <w:sz w:val="32"/>
          <w:szCs w:val="32"/>
        </w:rPr>
        <w:t>常规生产过程控制</w:t>
      </w:r>
      <w:r w:rsidR="003E10A7">
        <w:rPr>
          <w:rFonts w:ascii="Times New Roman" w:eastAsia="仿宋_GB2312" w:hAnsi="Times New Roman" w:cs="Times New Roman"/>
          <w:kern w:val="0"/>
          <w:sz w:val="32"/>
          <w:szCs w:val="32"/>
        </w:rPr>
        <w:t>是</w:t>
      </w:r>
      <w:r w:rsidR="00366C13">
        <w:rPr>
          <w:rFonts w:ascii="Times New Roman" w:eastAsia="仿宋_GB2312" w:hAnsi="Times New Roman" w:cs="Times New Roman" w:hint="eastAsia"/>
          <w:kern w:val="0"/>
          <w:sz w:val="32"/>
          <w:szCs w:val="32"/>
        </w:rPr>
        <w:t>该原材料</w:t>
      </w:r>
      <w:r w:rsidR="009F0036">
        <w:rPr>
          <w:rFonts w:ascii="Times New Roman" w:eastAsia="仿宋_GB2312" w:hAnsi="Times New Roman" w:cs="Times New Roman" w:hint="eastAsia"/>
          <w:kern w:val="0"/>
          <w:sz w:val="32"/>
          <w:szCs w:val="32"/>
        </w:rPr>
        <w:t>生产工艺及风险</w:t>
      </w:r>
      <w:r w:rsidR="002F5804">
        <w:rPr>
          <w:rFonts w:ascii="Times New Roman" w:eastAsia="仿宋_GB2312" w:hAnsi="Times New Roman" w:cs="Times New Roman" w:hint="eastAsia"/>
          <w:kern w:val="0"/>
          <w:sz w:val="32"/>
          <w:szCs w:val="32"/>
        </w:rPr>
        <w:t>评价</w:t>
      </w:r>
      <w:r w:rsidR="003E10A7">
        <w:rPr>
          <w:rFonts w:ascii="Times New Roman" w:eastAsia="仿宋_GB2312" w:hAnsi="Times New Roman" w:cs="Times New Roman" w:hint="eastAsia"/>
          <w:kern w:val="0"/>
          <w:sz w:val="32"/>
          <w:szCs w:val="32"/>
        </w:rPr>
        <w:t>的基础</w:t>
      </w:r>
      <w:r w:rsidR="00687BF6">
        <w:rPr>
          <w:rFonts w:ascii="Times New Roman" w:eastAsia="仿宋_GB2312" w:hAnsi="Times New Roman" w:cs="Times New Roman" w:hint="eastAsia"/>
          <w:kern w:val="0"/>
          <w:sz w:val="32"/>
          <w:szCs w:val="32"/>
        </w:rPr>
        <w:t>，此方面</w:t>
      </w:r>
      <w:r w:rsidR="00E3276B">
        <w:rPr>
          <w:rFonts w:ascii="Times New Roman" w:eastAsia="仿宋_GB2312" w:hAnsi="Times New Roman" w:cs="Times New Roman" w:hint="eastAsia"/>
          <w:kern w:val="0"/>
          <w:sz w:val="32"/>
          <w:szCs w:val="32"/>
        </w:rPr>
        <w:t>主要</w:t>
      </w:r>
      <w:r w:rsidR="00687BF6">
        <w:rPr>
          <w:rFonts w:ascii="Times New Roman" w:eastAsia="仿宋_GB2312" w:hAnsi="Times New Roman" w:cs="Times New Roman" w:hint="eastAsia"/>
          <w:kern w:val="0"/>
          <w:sz w:val="32"/>
          <w:szCs w:val="32"/>
        </w:rPr>
        <w:t>的</w:t>
      </w:r>
      <w:r w:rsidR="00322A72">
        <w:rPr>
          <w:rFonts w:ascii="Times New Roman" w:eastAsia="仿宋_GB2312" w:hAnsi="Times New Roman" w:cs="Times New Roman" w:hint="eastAsia"/>
          <w:kern w:val="0"/>
          <w:sz w:val="32"/>
          <w:szCs w:val="32"/>
        </w:rPr>
        <w:t>验证资料</w:t>
      </w:r>
      <w:r w:rsidR="003A4ED1">
        <w:rPr>
          <w:rFonts w:ascii="Times New Roman" w:eastAsia="仿宋_GB2312" w:hAnsi="Times New Roman" w:cs="Times New Roman" w:hint="eastAsia"/>
          <w:kern w:val="0"/>
          <w:sz w:val="32"/>
          <w:szCs w:val="32"/>
        </w:rPr>
        <w:t>，</w:t>
      </w:r>
      <w:r w:rsidR="00687BF6">
        <w:rPr>
          <w:rFonts w:ascii="Times New Roman" w:eastAsia="仿宋_GB2312" w:hAnsi="Times New Roman" w:cs="Times New Roman" w:hint="eastAsia"/>
          <w:kern w:val="0"/>
          <w:sz w:val="32"/>
          <w:szCs w:val="32"/>
        </w:rPr>
        <w:t>可参考本指导原则的资料性附录</w:t>
      </w:r>
      <w:r w:rsidR="003A4ED1">
        <w:rPr>
          <w:rFonts w:ascii="Times New Roman" w:eastAsia="仿宋_GB2312" w:hAnsi="Times New Roman" w:cs="Times New Roman" w:hint="eastAsia"/>
          <w:kern w:val="0"/>
          <w:sz w:val="32"/>
          <w:szCs w:val="32"/>
        </w:rPr>
        <w:t>作为材料生物安全性研究</w:t>
      </w:r>
      <w:r w:rsidR="008A0396">
        <w:rPr>
          <w:rFonts w:ascii="Times New Roman" w:eastAsia="仿宋_GB2312" w:hAnsi="Times New Roman" w:cs="Times New Roman" w:hint="eastAsia"/>
          <w:kern w:val="0"/>
          <w:sz w:val="32"/>
          <w:szCs w:val="32"/>
        </w:rPr>
        <w:t>资料</w:t>
      </w:r>
      <w:r w:rsidR="00322A72">
        <w:rPr>
          <w:rFonts w:ascii="Times New Roman" w:eastAsia="仿宋_GB2312" w:hAnsi="Times New Roman" w:cs="Times New Roman" w:hint="eastAsia"/>
          <w:kern w:val="0"/>
          <w:sz w:val="32"/>
          <w:szCs w:val="32"/>
        </w:rPr>
        <w:t>的</w:t>
      </w:r>
      <w:r w:rsidR="00B440CC">
        <w:rPr>
          <w:rFonts w:ascii="Times New Roman" w:eastAsia="仿宋_GB2312" w:hAnsi="Times New Roman" w:cs="Times New Roman" w:hint="eastAsia"/>
          <w:kern w:val="0"/>
          <w:sz w:val="32"/>
          <w:szCs w:val="32"/>
        </w:rPr>
        <w:t>补充</w:t>
      </w:r>
      <w:r w:rsidR="003A4ED1">
        <w:rPr>
          <w:rFonts w:ascii="Times New Roman" w:eastAsia="仿宋_GB2312" w:hAnsi="Times New Roman" w:cs="Times New Roman" w:hint="eastAsia"/>
          <w:kern w:val="0"/>
          <w:sz w:val="32"/>
          <w:szCs w:val="32"/>
        </w:rPr>
        <w:t>，</w:t>
      </w:r>
      <w:r w:rsidR="008F74C8">
        <w:rPr>
          <w:rFonts w:ascii="Times New Roman" w:eastAsia="仿宋_GB2312" w:hAnsi="Times New Roman" w:cs="Times New Roman" w:hint="eastAsia"/>
          <w:kern w:val="0"/>
          <w:sz w:val="32"/>
          <w:szCs w:val="32"/>
        </w:rPr>
        <w:t>但</w:t>
      </w:r>
      <w:r w:rsidR="00366C13">
        <w:rPr>
          <w:rFonts w:ascii="Times New Roman" w:eastAsia="仿宋_GB2312" w:hAnsi="Times New Roman" w:cs="Times New Roman" w:hint="eastAsia"/>
          <w:kern w:val="0"/>
          <w:sz w:val="32"/>
          <w:szCs w:val="32"/>
        </w:rPr>
        <w:t>不作为</w:t>
      </w:r>
      <w:r w:rsidR="008A0396">
        <w:rPr>
          <w:rFonts w:ascii="Times New Roman" w:eastAsia="仿宋_GB2312" w:hAnsi="Times New Roman" w:cs="Times New Roman" w:hint="eastAsia"/>
          <w:kern w:val="0"/>
          <w:sz w:val="32"/>
          <w:szCs w:val="32"/>
        </w:rPr>
        <w:t>产品</w:t>
      </w:r>
      <w:r w:rsidR="00366C13">
        <w:rPr>
          <w:rFonts w:ascii="Times New Roman" w:eastAsia="仿宋_GB2312" w:hAnsi="Times New Roman" w:cs="Times New Roman" w:hint="eastAsia"/>
          <w:kern w:val="0"/>
          <w:sz w:val="32"/>
          <w:szCs w:val="32"/>
        </w:rPr>
        <w:t>注册申报资料或主文档的</w:t>
      </w:r>
      <w:r w:rsidR="008A0396">
        <w:rPr>
          <w:rFonts w:ascii="Times New Roman" w:eastAsia="仿宋_GB2312" w:hAnsi="Times New Roman" w:cs="Times New Roman" w:hint="eastAsia"/>
          <w:kern w:val="0"/>
          <w:sz w:val="32"/>
          <w:szCs w:val="32"/>
        </w:rPr>
        <w:t>必要内容</w:t>
      </w:r>
      <w:r w:rsidR="003E10A7">
        <w:rPr>
          <w:rFonts w:ascii="Times New Roman" w:eastAsia="仿宋_GB2312" w:hAnsi="Times New Roman" w:cs="Times New Roman" w:hint="eastAsia"/>
          <w:sz w:val="32"/>
          <w:szCs w:val="32"/>
        </w:rPr>
        <w:t>。</w:t>
      </w:r>
      <w:r w:rsidR="00366C13">
        <w:rPr>
          <w:rFonts w:ascii="Times New Roman" w:eastAsia="仿宋_GB2312" w:hAnsi="Times New Roman" w:cs="Times New Roman" w:hint="eastAsia"/>
          <w:sz w:val="32"/>
          <w:szCs w:val="32"/>
        </w:rPr>
        <w:t>结合</w:t>
      </w:r>
      <w:r w:rsidR="00525182">
        <w:rPr>
          <w:rFonts w:ascii="Times New Roman" w:eastAsia="仿宋_GB2312" w:hAnsi="Times New Roman" w:cs="Times New Roman" w:hint="eastAsia"/>
          <w:sz w:val="32"/>
          <w:szCs w:val="32"/>
        </w:rPr>
        <w:t>重组人源化胶原蛋白的特点，</w:t>
      </w:r>
      <w:r w:rsidR="00BA43E9">
        <w:rPr>
          <w:rFonts w:ascii="Times New Roman" w:eastAsia="仿宋_GB2312" w:hAnsi="Times New Roman" w:cs="Times New Roman" w:hint="eastAsia"/>
          <w:sz w:val="32"/>
          <w:szCs w:val="32"/>
        </w:rPr>
        <w:t>该附录</w:t>
      </w:r>
      <w:r w:rsidR="00525182">
        <w:rPr>
          <w:rFonts w:ascii="Times New Roman" w:eastAsia="仿宋_GB2312" w:hAnsi="Times New Roman" w:cs="Times New Roman"/>
          <w:kern w:val="0"/>
          <w:sz w:val="32"/>
          <w:szCs w:val="32"/>
        </w:rPr>
        <w:t>修改引用了国家药监局药审中心《重组制品生产用哺乳动物细胞质量控制技术评价一般原则》、《体外基因修饰系统药学研究与评价技术指导原则》等生物制品指导原则的相关内容。</w:t>
      </w:r>
    </w:p>
    <w:p w14:paraId="6A6BD02D" w14:textId="77777777" w:rsidR="00BB2480" w:rsidRDefault="00A41FA1">
      <w:pPr>
        <w:pStyle w:val="af7"/>
        <w:spacing w:line="520" w:lineRule="exact"/>
        <w:ind w:left="643" w:firstLineChars="0" w:firstLine="0"/>
        <w:outlineLvl w:val="0"/>
        <w:rPr>
          <w:rFonts w:ascii="Times New Roman" w:eastAsia="黑体" w:hAnsi="Times New Roman" w:cs="Times New Roman"/>
          <w:b/>
          <w:kern w:val="0"/>
          <w:sz w:val="32"/>
          <w:szCs w:val="32"/>
        </w:rPr>
      </w:pPr>
      <w:bookmarkStart w:id="4" w:name="_Toc110418870"/>
      <w:bookmarkStart w:id="5" w:name="_Toc110419009"/>
      <w:bookmarkStart w:id="6" w:name="_Toc118298904"/>
      <w:r>
        <w:rPr>
          <w:rFonts w:ascii="Times New Roman" w:eastAsia="黑体" w:hAnsi="Times New Roman" w:cs="Times New Roman" w:hint="eastAsia"/>
          <w:b/>
          <w:kern w:val="0"/>
          <w:sz w:val="32"/>
          <w:szCs w:val="32"/>
        </w:rPr>
        <w:t>二、</w:t>
      </w:r>
      <w:r>
        <w:rPr>
          <w:rFonts w:ascii="Times New Roman" w:eastAsia="黑体" w:hAnsi="Times New Roman" w:cs="Times New Roman"/>
          <w:b/>
          <w:kern w:val="0"/>
          <w:sz w:val="32"/>
          <w:szCs w:val="32"/>
        </w:rPr>
        <w:t>评价要点</w:t>
      </w:r>
      <w:bookmarkEnd w:id="4"/>
      <w:bookmarkEnd w:id="5"/>
      <w:bookmarkEnd w:id="6"/>
    </w:p>
    <w:p w14:paraId="0B518DA1" w14:textId="77777777" w:rsidR="001B6A5B" w:rsidRDefault="00A41FA1">
      <w:pPr>
        <w:pStyle w:val="af7"/>
        <w:numPr>
          <w:ilvl w:val="0"/>
          <w:numId w:val="4"/>
        </w:numPr>
        <w:spacing w:line="520" w:lineRule="exact"/>
        <w:ind w:left="0" w:firstLine="640"/>
        <w:outlineLvl w:val="1"/>
        <w:rPr>
          <w:rFonts w:ascii="Times New Roman" w:eastAsia="楷体_GB2312" w:hAnsi="Times New Roman" w:cs="Times New Roman"/>
          <w:kern w:val="0"/>
          <w:sz w:val="32"/>
          <w:szCs w:val="32"/>
        </w:rPr>
      </w:pPr>
      <w:bookmarkStart w:id="7" w:name="_Toc116982717"/>
      <w:bookmarkStart w:id="8" w:name="_Toc116983183"/>
      <w:bookmarkStart w:id="9" w:name="_Toc116983643"/>
      <w:bookmarkStart w:id="10" w:name="_Toc116984104"/>
      <w:bookmarkStart w:id="11" w:name="_Toc117498060"/>
      <w:bookmarkStart w:id="12" w:name="_Toc116982718"/>
      <w:bookmarkStart w:id="13" w:name="_Toc116983184"/>
      <w:bookmarkStart w:id="14" w:name="_Toc116983644"/>
      <w:bookmarkStart w:id="15" w:name="_Toc116984105"/>
      <w:bookmarkStart w:id="16" w:name="_Toc117498061"/>
      <w:bookmarkStart w:id="17" w:name="_Toc116982719"/>
      <w:bookmarkStart w:id="18" w:name="_Toc116983185"/>
      <w:bookmarkStart w:id="19" w:name="_Toc116983645"/>
      <w:bookmarkStart w:id="20" w:name="_Toc116984106"/>
      <w:bookmarkStart w:id="21" w:name="_Toc117498062"/>
      <w:bookmarkStart w:id="22" w:name="_Toc116982720"/>
      <w:bookmarkStart w:id="23" w:name="_Toc116983186"/>
      <w:bookmarkStart w:id="24" w:name="_Toc116983646"/>
      <w:bookmarkStart w:id="25" w:name="_Toc116984107"/>
      <w:bookmarkStart w:id="26" w:name="_Toc117498063"/>
      <w:bookmarkStart w:id="27" w:name="_Toc116982721"/>
      <w:bookmarkStart w:id="28" w:name="_Toc116983187"/>
      <w:bookmarkStart w:id="29" w:name="_Toc116983647"/>
      <w:bookmarkStart w:id="30" w:name="_Toc116984108"/>
      <w:bookmarkStart w:id="31" w:name="_Toc117498064"/>
      <w:bookmarkStart w:id="32" w:name="_Toc116982722"/>
      <w:bookmarkStart w:id="33" w:name="_Toc116983188"/>
      <w:bookmarkStart w:id="34" w:name="_Toc116983648"/>
      <w:bookmarkStart w:id="35" w:name="_Toc116984109"/>
      <w:bookmarkStart w:id="36" w:name="_Toc117498065"/>
      <w:bookmarkStart w:id="37" w:name="_Toc116982723"/>
      <w:bookmarkStart w:id="38" w:name="_Toc116983189"/>
      <w:bookmarkStart w:id="39" w:name="_Toc116983649"/>
      <w:bookmarkStart w:id="40" w:name="_Toc116984110"/>
      <w:bookmarkStart w:id="41" w:name="_Toc117498066"/>
      <w:bookmarkStart w:id="42" w:name="_Toc116982724"/>
      <w:bookmarkStart w:id="43" w:name="_Toc116983190"/>
      <w:bookmarkStart w:id="44" w:name="_Toc116983650"/>
      <w:bookmarkStart w:id="45" w:name="_Toc116984111"/>
      <w:bookmarkStart w:id="46" w:name="_Toc117498067"/>
      <w:bookmarkStart w:id="47" w:name="_Toc116982725"/>
      <w:bookmarkStart w:id="48" w:name="_Toc116983191"/>
      <w:bookmarkStart w:id="49" w:name="_Toc116983651"/>
      <w:bookmarkStart w:id="50" w:name="_Toc116984112"/>
      <w:bookmarkStart w:id="51" w:name="_Toc117498068"/>
      <w:bookmarkStart w:id="52" w:name="_Toc116982726"/>
      <w:bookmarkStart w:id="53" w:name="_Toc116983192"/>
      <w:bookmarkStart w:id="54" w:name="_Toc116983652"/>
      <w:bookmarkStart w:id="55" w:name="_Toc116984113"/>
      <w:bookmarkStart w:id="56" w:name="_Toc117498069"/>
      <w:bookmarkStart w:id="57" w:name="_Toc116982727"/>
      <w:bookmarkStart w:id="58" w:name="_Toc116983193"/>
      <w:bookmarkStart w:id="59" w:name="_Toc116983653"/>
      <w:bookmarkStart w:id="60" w:name="_Toc116984114"/>
      <w:bookmarkStart w:id="61" w:name="_Toc117498070"/>
      <w:bookmarkStart w:id="62" w:name="_Toc116982728"/>
      <w:bookmarkStart w:id="63" w:name="_Toc116983194"/>
      <w:bookmarkStart w:id="64" w:name="_Toc116983654"/>
      <w:bookmarkStart w:id="65" w:name="_Toc116984115"/>
      <w:bookmarkStart w:id="66" w:name="_Toc117498071"/>
      <w:bookmarkStart w:id="67" w:name="_Toc116982759"/>
      <w:bookmarkStart w:id="68" w:name="_Toc116983225"/>
      <w:bookmarkStart w:id="69" w:name="_Toc116983685"/>
      <w:bookmarkStart w:id="70" w:name="_Toc116984146"/>
      <w:bookmarkStart w:id="71" w:name="_Toc117498102"/>
      <w:bookmarkStart w:id="72" w:name="_Toc116982760"/>
      <w:bookmarkStart w:id="73" w:name="_Toc116983226"/>
      <w:bookmarkStart w:id="74" w:name="_Toc116983686"/>
      <w:bookmarkStart w:id="75" w:name="_Toc116984147"/>
      <w:bookmarkStart w:id="76" w:name="_Toc117498103"/>
      <w:bookmarkStart w:id="77" w:name="_Toc116982761"/>
      <w:bookmarkStart w:id="78" w:name="_Toc116983227"/>
      <w:bookmarkStart w:id="79" w:name="_Toc116983687"/>
      <w:bookmarkStart w:id="80" w:name="_Toc116984148"/>
      <w:bookmarkStart w:id="81" w:name="_Toc117498104"/>
      <w:bookmarkStart w:id="82" w:name="_Toc116982762"/>
      <w:bookmarkStart w:id="83" w:name="_Toc116983228"/>
      <w:bookmarkStart w:id="84" w:name="_Toc116983688"/>
      <w:bookmarkStart w:id="85" w:name="_Toc116984149"/>
      <w:bookmarkStart w:id="86" w:name="_Toc117498105"/>
      <w:bookmarkStart w:id="87" w:name="_Toc116982787"/>
      <w:bookmarkStart w:id="88" w:name="_Toc116983253"/>
      <w:bookmarkStart w:id="89" w:name="_Toc116983713"/>
      <w:bookmarkStart w:id="90" w:name="_Toc116984174"/>
      <w:bookmarkStart w:id="91" w:name="_Toc117498130"/>
      <w:bookmarkStart w:id="92" w:name="_Toc116982788"/>
      <w:bookmarkStart w:id="93" w:name="_Toc116983254"/>
      <w:bookmarkStart w:id="94" w:name="_Toc116983714"/>
      <w:bookmarkStart w:id="95" w:name="_Toc116984175"/>
      <w:bookmarkStart w:id="96" w:name="_Toc117498131"/>
      <w:bookmarkStart w:id="97" w:name="_Toc116982789"/>
      <w:bookmarkStart w:id="98" w:name="_Toc116983255"/>
      <w:bookmarkStart w:id="99" w:name="_Toc116983715"/>
      <w:bookmarkStart w:id="100" w:name="_Toc116984176"/>
      <w:bookmarkStart w:id="101" w:name="_Toc117498132"/>
      <w:bookmarkStart w:id="102" w:name="_Toc116982790"/>
      <w:bookmarkStart w:id="103" w:name="_Toc116983256"/>
      <w:bookmarkStart w:id="104" w:name="_Toc116983716"/>
      <w:bookmarkStart w:id="105" w:name="_Toc116984177"/>
      <w:bookmarkStart w:id="106" w:name="_Toc117498133"/>
      <w:bookmarkStart w:id="107" w:name="_Toc116982791"/>
      <w:bookmarkStart w:id="108" w:name="_Toc116983257"/>
      <w:bookmarkStart w:id="109" w:name="_Toc116983717"/>
      <w:bookmarkStart w:id="110" w:name="_Toc116984178"/>
      <w:bookmarkStart w:id="111" w:name="_Toc117498134"/>
      <w:bookmarkStart w:id="112" w:name="_Toc116982792"/>
      <w:bookmarkStart w:id="113" w:name="_Toc116983258"/>
      <w:bookmarkStart w:id="114" w:name="_Toc116983718"/>
      <w:bookmarkStart w:id="115" w:name="_Toc116984179"/>
      <w:bookmarkStart w:id="116" w:name="_Toc117498135"/>
      <w:bookmarkStart w:id="117" w:name="_Toc116982793"/>
      <w:bookmarkStart w:id="118" w:name="_Toc116983259"/>
      <w:bookmarkStart w:id="119" w:name="_Toc116983719"/>
      <w:bookmarkStart w:id="120" w:name="_Toc116984180"/>
      <w:bookmarkStart w:id="121" w:name="_Toc117498136"/>
      <w:bookmarkStart w:id="122" w:name="_Toc116982794"/>
      <w:bookmarkStart w:id="123" w:name="_Toc116983260"/>
      <w:bookmarkStart w:id="124" w:name="_Toc116983720"/>
      <w:bookmarkStart w:id="125" w:name="_Toc116984181"/>
      <w:bookmarkStart w:id="126" w:name="_Toc117498137"/>
      <w:bookmarkStart w:id="127" w:name="_Toc116982795"/>
      <w:bookmarkStart w:id="128" w:name="_Toc116983261"/>
      <w:bookmarkStart w:id="129" w:name="_Toc116983721"/>
      <w:bookmarkStart w:id="130" w:name="_Toc116984182"/>
      <w:bookmarkStart w:id="131" w:name="_Toc117498138"/>
      <w:bookmarkStart w:id="132" w:name="_Toc116982816"/>
      <w:bookmarkStart w:id="133" w:name="_Toc116983282"/>
      <w:bookmarkStart w:id="134" w:name="_Toc116983742"/>
      <w:bookmarkStart w:id="135" w:name="_Toc116984203"/>
      <w:bookmarkStart w:id="136" w:name="_Toc117498159"/>
      <w:bookmarkStart w:id="137" w:name="_Toc116982820"/>
      <w:bookmarkStart w:id="138" w:name="_Toc116983286"/>
      <w:bookmarkStart w:id="139" w:name="_Toc116983746"/>
      <w:bookmarkStart w:id="140" w:name="_Toc116984207"/>
      <w:bookmarkStart w:id="141" w:name="_Toc117498163"/>
      <w:bookmarkStart w:id="142" w:name="_Toc116982828"/>
      <w:bookmarkStart w:id="143" w:name="_Toc116983294"/>
      <w:bookmarkStart w:id="144" w:name="_Toc116983754"/>
      <w:bookmarkStart w:id="145" w:name="_Toc116984215"/>
      <w:bookmarkStart w:id="146" w:name="_Toc117498171"/>
      <w:bookmarkStart w:id="147" w:name="_Toc116982829"/>
      <w:bookmarkStart w:id="148" w:name="_Toc116983295"/>
      <w:bookmarkStart w:id="149" w:name="_Toc116983755"/>
      <w:bookmarkStart w:id="150" w:name="_Toc116984216"/>
      <w:bookmarkStart w:id="151" w:name="_Toc117498172"/>
      <w:bookmarkStart w:id="152" w:name="_Toc116982830"/>
      <w:bookmarkStart w:id="153" w:name="_Toc116983296"/>
      <w:bookmarkStart w:id="154" w:name="_Toc116983756"/>
      <w:bookmarkStart w:id="155" w:name="_Toc116984217"/>
      <w:bookmarkStart w:id="156" w:name="_Toc117498173"/>
      <w:bookmarkStart w:id="157" w:name="_Toc116982831"/>
      <w:bookmarkStart w:id="158" w:name="_Toc116983297"/>
      <w:bookmarkStart w:id="159" w:name="_Toc116983757"/>
      <w:bookmarkStart w:id="160" w:name="_Toc116984218"/>
      <w:bookmarkStart w:id="161" w:name="_Toc117498174"/>
      <w:bookmarkStart w:id="162" w:name="_Toc116982832"/>
      <w:bookmarkStart w:id="163" w:name="_Toc116983298"/>
      <w:bookmarkStart w:id="164" w:name="_Toc116983758"/>
      <w:bookmarkStart w:id="165" w:name="_Toc116984219"/>
      <w:bookmarkStart w:id="166" w:name="_Toc117498175"/>
      <w:bookmarkStart w:id="167" w:name="_Toc116982849"/>
      <w:bookmarkStart w:id="168" w:name="_Toc116983315"/>
      <w:bookmarkStart w:id="169" w:name="_Toc116983775"/>
      <w:bookmarkStart w:id="170" w:name="_Toc116984236"/>
      <w:bookmarkStart w:id="171" w:name="_Toc117498192"/>
      <w:bookmarkStart w:id="172" w:name="_Toc116982850"/>
      <w:bookmarkStart w:id="173" w:name="_Toc116983316"/>
      <w:bookmarkStart w:id="174" w:name="_Toc116983776"/>
      <w:bookmarkStart w:id="175" w:name="_Toc116984237"/>
      <w:bookmarkStart w:id="176" w:name="_Toc117498193"/>
      <w:bookmarkStart w:id="177" w:name="_Toc116982851"/>
      <w:bookmarkStart w:id="178" w:name="_Toc116983317"/>
      <w:bookmarkStart w:id="179" w:name="_Toc116983777"/>
      <w:bookmarkStart w:id="180" w:name="_Toc116984238"/>
      <w:bookmarkStart w:id="181" w:name="_Toc117498194"/>
      <w:bookmarkStart w:id="182" w:name="_Toc116982852"/>
      <w:bookmarkStart w:id="183" w:name="_Toc116983318"/>
      <w:bookmarkStart w:id="184" w:name="_Toc116983778"/>
      <w:bookmarkStart w:id="185" w:name="_Toc116984239"/>
      <w:bookmarkStart w:id="186" w:name="_Toc117498195"/>
      <w:bookmarkStart w:id="187" w:name="_Toc116982853"/>
      <w:bookmarkStart w:id="188" w:name="_Toc116983319"/>
      <w:bookmarkStart w:id="189" w:name="_Toc116983779"/>
      <w:bookmarkStart w:id="190" w:name="_Toc116984240"/>
      <w:bookmarkStart w:id="191" w:name="_Toc117498196"/>
      <w:bookmarkStart w:id="192" w:name="_Toc116982854"/>
      <w:bookmarkStart w:id="193" w:name="_Toc116983320"/>
      <w:bookmarkStart w:id="194" w:name="_Toc116983780"/>
      <w:bookmarkStart w:id="195" w:name="_Toc116984241"/>
      <w:bookmarkStart w:id="196" w:name="_Toc117498197"/>
      <w:bookmarkStart w:id="197" w:name="_Toc116982855"/>
      <w:bookmarkStart w:id="198" w:name="_Toc116983321"/>
      <w:bookmarkStart w:id="199" w:name="_Toc116983781"/>
      <w:bookmarkStart w:id="200" w:name="_Toc116984242"/>
      <w:bookmarkStart w:id="201" w:name="_Toc117498198"/>
      <w:bookmarkStart w:id="202" w:name="_Toc116982856"/>
      <w:bookmarkStart w:id="203" w:name="_Toc116983322"/>
      <w:bookmarkStart w:id="204" w:name="_Toc116983782"/>
      <w:bookmarkStart w:id="205" w:name="_Toc116984243"/>
      <w:bookmarkStart w:id="206" w:name="_Toc117498199"/>
      <w:bookmarkStart w:id="207" w:name="_Toc116982857"/>
      <w:bookmarkStart w:id="208" w:name="_Toc116983323"/>
      <w:bookmarkStart w:id="209" w:name="_Toc116983783"/>
      <w:bookmarkStart w:id="210" w:name="_Toc116984244"/>
      <w:bookmarkStart w:id="211" w:name="_Toc117498200"/>
      <w:bookmarkStart w:id="212" w:name="_Toc116982858"/>
      <w:bookmarkStart w:id="213" w:name="_Toc116983324"/>
      <w:bookmarkStart w:id="214" w:name="_Toc116983784"/>
      <w:bookmarkStart w:id="215" w:name="_Toc116984245"/>
      <w:bookmarkStart w:id="216" w:name="_Toc117498201"/>
      <w:bookmarkStart w:id="217" w:name="_Toc116982859"/>
      <w:bookmarkStart w:id="218" w:name="_Toc116983325"/>
      <w:bookmarkStart w:id="219" w:name="_Toc116983785"/>
      <w:bookmarkStart w:id="220" w:name="_Toc116984246"/>
      <w:bookmarkStart w:id="221" w:name="_Toc117498202"/>
      <w:bookmarkStart w:id="222" w:name="_Toc116982876"/>
      <w:bookmarkStart w:id="223" w:name="_Toc116983342"/>
      <w:bookmarkStart w:id="224" w:name="_Toc116983802"/>
      <w:bookmarkStart w:id="225" w:name="_Toc116984263"/>
      <w:bookmarkStart w:id="226" w:name="_Toc117498219"/>
      <w:bookmarkStart w:id="227" w:name="_Toc116982877"/>
      <w:bookmarkStart w:id="228" w:name="_Toc116983343"/>
      <w:bookmarkStart w:id="229" w:name="_Toc116983803"/>
      <w:bookmarkStart w:id="230" w:name="_Toc116984264"/>
      <w:bookmarkStart w:id="231" w:name="_Toc117498220"/>
      <w:bookmarkStart w:id="232" w:name="_Toc116982878"/>
      <w:bookmarkStart w:id="233" w:name="_Toc116983344"/>
      <w:bookmarkStart w:id="234" w:name="_Toc116983804"/>
      <w:bookmarkStart w:id="235" w:name="_Toc116984265"/>
      <w:bookmarkStart w:id="236" w:name="_Toc117498221"/>
      <w:bookmarkStart w:id="237" w:name="_Toc116982879"/>
      <w:bookmarkStart w:id="238" w:name="_Toc116983345"/>
      <w:bookmarkStart w:id="239" w:name="_Toc116983805"/>
      <w:bookmarkStart w:id="240" w:name="_Toc116984266"/>
      <w:bookmarkStart w:id="241" w:name="_Toc117498222"/>
      <w:bookmarkStart w:id="242" w:name="_Toc116982880"/>
      <w:bookmarkStart w:id="243" w:name="_Toc116983346"/>
      <w:bookmarkStart w:id="244" w:name="_Toc116983806"/>
      <w:bookmarkStart w:id="245" w:name="_Toc116984267"/>
      <w:bookmarkStart w:id="246" w:name="_Toc117498223"/>
      <w:bookmarkStart w:id="247" w:name="_Toc116982881"/>
      <w:bookmarkStart w:id="248" w:name="_Toc116983347"/>
      <w:bookmarkStart w:id="249" w:name="_Toc116983807"/>
      <w:bookmarkStart w:id="250" w:name="_Toc116984268"/>
      <w:bookmarkStart w:id="251" w:name="_Toc117498224"/>
      <w:bookmarkStart w:id="252" w:name="_Toc116982882"/>
      <w:bookmarkStart w:id="253" w:name="_Toc116983348"/>
      <w:bookmarkStart w:id="254" w:name="_Toc116983808"/>
      <w:bookmarkStart w:id="255" w:name="_Toc116984269"/>
      <w:bookmarkStart w:id="256" w:name="_Toc117498225"/>
      <w:bookmarkStart w:id="257" w:name="_Toc116982883"/>
      <w:bookmarkStart w:id="258" w:name="_Toc116983349"/>
      <w:bookmarkStart w:id="259" w:name="_Toc116983809"/>
      <w:bookmarkStart w:id="260" w:name="_Toc116984270"/>
      <w:bookmarkStart w:id="261" w:name="_Toc117498226"/>
      <w:bookmarkStart w:id="262" w:name="_Toc116982884"/>
      <w:bookmarkStart w:id="263" w:name="_Toc116983350"/>
      <w:bookmarkStart w:id="264" w:name="_Toc116983810"/>
      <w:bookmarkStart w:id="265" w:name="_Toc116984271"/>
      <w:bookmarkStart w:id="266" w:name="_Toc117498227"/>
      <w:bookmarkStart w:id="267" w:name="_Toc116982885"/>
      <w:bookmarkStart w:id="268" w:name="_Toc116983351"/>
      <w:bookmarkStart w:id="269" w:name="_Toc116983811"/>
      <w:bookmarkStart w:id="270" w:name="_Toc116984272"/>
      <w:bookmarkStart w:id="271" w:name="_Toc117498228"/>
      <w:bookmarkStart w:id="272" w:name="_Toc116982886"/>
      <w:bookmarkStart w:id="273" w:name="_Toc116983352"/>
      <w:bookmarkStart w:id="274" w:name="_Toc116983812"/>
      <w:bookmarkStart w:id="275" w:name="_Toc116984273"/>
      <w:bookmarkStart w:id="276" w:name="_Toc117498229"/>
      <w:bookmarkStart w:id="277" w:name="_Toc116982887"/>
      <w:bookmarkStart w:id="278" w:name="_Toc116983353"/>
      <w:bookmarkStart w:id="279" w:name="_Toc116983813"/>
      <w:bookmarkStart w:id="280" w:name="_Toc116984274"/>
      <w:bookmarkStart w:id="281" w:name="_Toc117498230"/>
      <w:bookmarkStart w:id="282" w:name="_Toc116982888"/>
      <w:bookmarkStart w:id="283" w:name="_Toc116983354"/>
      <w:bookmarkStart w:id="284" w:name="_Toc116983814"/>
      <w:bookmarkStart w:id="285" w:name="_Toc116984275"/>
      <w:bookmarkStart w:id="286" w:name="_Toc117498231"/>
      <w:bookmarkStart w:id="287" w:name="_Toc116982889"/>
      <w:bookmarkStart w:id="288" w:name="_Toc116983355"/>
      <w:bookmarkStart w:id="289" w:name="_Toc116983815"/>
      <w:bookmarkStart w:id="290" w:name="_Toc116984276"/>
      <w:bookmarkStart w:id="291" w:name="_Toc117498232"/>
      <w:bookmarkStart w:id="292" w:name="_Toc116982890"/>
      <w:bookmarkStart w:id="293" w:name="_Toc116983356"/>
      <w:bookmarkStart w:id="294" w:name="_Toc116983816"/>
      <w:bookmarkStart w:id="295" w:name="_Toc116984277"/>
      <w:bookmarkStart w:id="296" w:name="_Toc117498233"/>
      <w:bookmarkStart w:id="297" w:name="_Toc116982891"/>
      <w:bookmarkStart w:id="298" w:name="_Toc116983357"/>
      <w:bookmarkStart w:id="299" w:name="_Toc116983817"/>
      <w:bookmarkStart w:id="300" w:name="_Toc116984278"/>
      <w:bookmarkStart w:id="301" w:name="_Toc117498234"/>
      <w:bookmarkStart w:id="302" w:name="_Toc116982892"/>
      <w:bookmarkStart w:id="303" w:name="_Toc116983358"/>
      <w:bookmarkStart w:id="304" w:name="_Toc116983818"/>
      <w:bookmarkStart w:id="305" w:name="_Toc116984279"/>
      <w:bookmarkStart w:id="306" w:name="_Toc117498235"/>
      <w:bookmarkStart w:id="307" w:name="_Toc116982893"/>
      <w:bookmarkStart w:id="308" w:name="_Toc116983359"/>
      <w:bookmarkStart w:id="309" w:name="_Toc116983819"/>
      <w:bookmarkStart w:id="310" w:name="_Toc116984280"/>
      <w:bookmarkStart w:id="311" w:name="_Toc117498236"/>
      <w:bookmarkStart w:id="312" w:name="_Toc116982894"/>
      <w:bookmarkStart w:id="313" w:name="_Toc116983360"/>
      <w:bookmarkStart w:id="314" w:name="_Toc116983820"/>
      <w:bookmarkStart w:id="315" w:name="_Toc116984281"/>
      <w:bookmarkStart w:id="316" w:name="_Toc117498237"/>
      <w:bookmarkStart w:id="317" w:name="_Toc116982895"/>
      <w:bookmarkStart w:id="318" w:name="_Toc116983361"/>
      <w:bookmarkStart w:id="319" w:name="_Toc116983821"/>
      <w:bookmarkStart w:id="320" w:name="_Toc116984282"/>
      <w:bookmarkStart w:id="321" w:name="_Toc117498238"/>
      <w:bookmarkStart w:id="322" w:name="_Toc116982896"/>
      <w:bookmarkStart w:id="323" w:name="_Toc116983362"/>
      <w:bookmarkStart w:id="324" w:name="_Toc116983822"/>
      <w:bookmarkStart w:id="325" w:name="_Toc116984283"/>
      <w:bookmarkStart w:id="326" w:name="_Toc117498239"/>
      <w:bookmarkStart w:id="327" w:name="_Toc116982897"/>
      <w:bookmarkStart w:id="328" w:name="_Toc116983363"/>
      <w:bookmarkStart w:id="329" w:name="_Toc116983823"/>
      <w:bookmarkStart w:id="330" w:name="_Toc116984284"/>
      <w:bookmarkStart w:id="331" w:name="_Toc117498240"/>
      <w:bookmarkStart w:id="332" w:name="_Toc116982898"/>
      <w:bookmarkStart w:id="333" w:name="_Toc116983364"/>
      <w:bookmarkStart w:id="334" w:name="_Toc116983824"/>
      <w:bookmarkStart w:id="335" w:name="_Toc116984285"/>
      <w:bookmarkStart w:id="336" w:name="_Toc117498241"/>
      <w:bookmarkStart w:id="337" w:name="_Toc116982899"/>
      <w:bookmarkStart w:id="338" w:name="_Toc116983365"/>
      <w:bookmarkStart w:id="339" w:name="_Toc116983825"/>
      <w:bookmarkStart w:id="340" w:name="_Toc116984286"/>
      <w:bookmarkStart w:id="341" w:name="_Toc117498242"/>
      <w:bookmarkStart w:id="342" w:name="_Toc116982900"/>
      <w:bookmarkStart w:id="343" w:name="_Toc116983366"/>
      <w:bookmarkStart w:id="344" w:name="_Toc116983826"/>
      <w:bookmarkStart w:id="345" w:name="_Toc116984287"/>
      <w:bookmarkStart w:id="346" w:name="_Toc117498243"/>
      <w:bookmarkStart w:id="347" w:name="_Toc116982901"/>
      <w:bookmarkStart w:id="348" w:name="_Toc116983367"/>
      <w:bookmarkStart w:id="349" w:name="_Toc116983827"/>
      <w:bookmarkStart w:id="350" w:name="_Toc116984288"/>
      <w:bookmarkStart w:id="351" w:name="_Toc117498244"/>
      <w:bookmarkStart w:id="352" w:name="_Toc116982902"/>
      <w:bookmarkStart w:id="353" w:name="_Toc116983368"/>
      <w:bookmarkStart w:id="354" w:name="_Toc116983828"/>
      <w:bookmarkStart w:id="355" w:name="_Toc116984289"/>
      <w:bookmarkStart w:id="356" w:name="_Toc117498245"/>
      <w:bookmarkStart w:id="357" w:name="_Toc116982903"/>
      <w:bookmarkStart w:id="358" w:name="_Toc116983369"/>
      <w:bookmarkStart w:id="359" w:name="_Toc116983829"/>
      <w:bookmarkStart w:id="360" w:name="_Toc116984290"/>
      <w:bookmarkStart w:id="361" w:name="_Toc117498246"/>
      <w:bookmarkStart w:id="362" w:name="_Toc116982904"/>
      <w:bookmarkStart w:id="363" w:name="_Toc116983370"/>
      <w:bookmarkStart w:id="364" w:name="_Toc116983830"/>
      <w:bookmarkStart w:id="365" w:name="_Toc116984291"/>
      <w:bookmarkStart w:id="366" w:name="_Toc117498247"/>
      <w:bookmarkStart w:id="367" w:name="_Toc116982905"/>
      <w:bookmarkStart w:id="368" w:name="_Toc116983371"/>
      <w:bookmarkStart w:id="369" w:name="_Toc116983831"/>
      <w:bookmarkStart w:id="370" w:name="_Toc116984292"/>
      <w:bookmarkStart w:id="371" w:name="_Toc117498248"/>
      <w:bookmarkStart w:id="372" w:name="_Toc116982906"/>
      <w:bookmarkStart w:id="373" w:name="_Toc116983372"/>
      <w:bookmarkStart w:id="374" w:name="_Toc116983832"/>
      <w:bookmarkStart w:id="375" w:name="_Toc116984293"/>
      <w:bookmarkStart w:id="376" w:name="_Toc117498249"/>
      <w:bookmarkStart w:id="377" w:name="_Toc116982907"/>
      <w:bookmarkStart w:id="378" w:name="_Toc116983373"/>
      <w:bookmarkStart w:id="379" w:name="_Toc116983833"/>
      <w:bookmarkStart w:id="380" w:name="_Toc116984294"/>
      <w:bookmarkStart w:id="381" w:name="_Toc117498250"/>
      <w:bookmarkStart w:id="382" w:name="_Toc116982908"/>
      <w:bookmarkStart w:id="383" w:name="_Toc116983374"/>
      <w:bookmarkStart w:id="384" w:name="_Toc116983834"/>
      <w:bookmarkStart w:id="385" w:name="_Toc116984295"/>
      <w:bookmarkStart w:id="386" w:name="_Toc117498251"/>
      <w:bookmarkStart w:id="387" w:name="_Toc116982909"/>
      <w:bookmarkStart w:id="388" w:name="_Toc116983375"/>
      <w:bookmarkStart w:id="389" w:name="_Toc116983835"/>
      <w:bookmarkStart w:id="390" w:name="_Toc116984296"/>
      <w:bookmarkStart w:id="391" w:name="_Toc117498252"/>
      <w:bookmarkStart w:id="392" w:name="_Toc116982910"/>
      <w:bookmarkStart w:id="393" w:name="_Toc116983376"/>
      <w:bookmarkStart w:id="394" w:name="_Toc116983836"/>
      <w:bookmarkStart w:id="395" w:name="_Toc116984297"/>
      <w:bookmarkStart w:id="396" w:name="_Toc117498253"/>
      <w:bookmarkStart w:id="397" w:name="_Toc116982911"/>
      <w:bookmarkStart w:id="398" w:name="_Toc116983377"/>
      <w:bookmarkStart w:id="399" w:name="_Toc116983837"/>
      <w:bookmarkStart w:id="400" w:name="_Toc116984298"/>
      <w:bookmarkStart w:id="401" w:name="_Toc117498254"/>
      <w:bookmarkStart w:id="402" w:name="_Toc116982912"/>
      <w:bookmarkStart w:id="403" w:name="_Toc116983378"/>
      <w:bookmarkStart w:id="404" w:name="_Toc116983838"/>
      <w:bookmarkStart w:id="405" w:name="_Toc116984299"/>
      <w:bookmarkStart w:id="406" w:name="_Toc117498255"/>
      <w:bookmarkStart w:id="407" w:name="_Toc116982913"/>
      <w:bookmarkStart w:id="408" w:name="_Toc116983379"/>
      <w:bookmarkStart w:id="409" w:name="_Toc116983839"/>
      <w:bookmarkStart w:id="410" w:name="_Toc116984300"/>
      <w:bookmarkStart w:id="411" w:name="_Toc117498256"/>
      <w:bookmarkStart w:id="412" w:name="_Toc116982914"/>
      <w:bookmarkStart w:id="413" w:name="_Toc116983380"/>
      <w:bookmarkStart w:id="414" w:name="_Toc116983840"/>
      <w:bookmarkStart w:id="415" w:name="_Toc116984301"/>
      <w:bookmarkStart w:id="416" w:name="_Toc117498257"/>
      <w:bookmarkStart w:id="417" w:name="_Toc116982931"/>
      <w:bookmarkStart w:id="418" w:name="_Toc116983397"/>
      <w:bookmarkStart w:id="419" w:name="_Toc116983857"/>
      <w:bookmarkStart w:id="420" w:name="_Toc116984318"/>
      <w:bookmarkStart w:id="421" w:name="_Toc117498274"/>
      <w:bookmarkStart w:id="422" w:name="_Toc116982932"/>
      <w:bookmarkStart w:id="423" w:name="_Toc116983398"/>
      <w:bookmarkStart w:id="424" w:name="_Toc116983858"/>
      <w:bookmarkStart w:id="425" w:name="_Toc116984319"/>
      <w:bookmarkStart w:id="426" w:name="_Toc117498275"/>
      <w:bookmarkStart w:id="427" w:name="_Toc116982933"/>
      <w:bookmarkStart w:id="428" w:name="_Toc116983399"/>
      <w:bookmarkStart w:id="429" w:name="_Toc116983859"/>
      <w:bookmarkStart w:id="430" w:name="_Toc116984320"/>
      <w:bookmarkStart w:id="431" w:name="_Toc117498276"/>
      <w:bookmarkStart w:id="432" w:name="_Toc116982934"/>
      <w:bookmarkStart w:id="433" w:name="_Toc116983400"/>
      <w:bookmarkStart w:id="434" w:name="_Toc116983860"/>
      <w:bookmarkStart w:id="435" w:name="_Toc116984321"/>
      <w:bookmarkStart w:id="436" w:name="_Toc117498277"/>
      <w:bookmarkStart w:id="437" w:name="_Toc116982935"/>
      <w:bookmarkStart w:id="438" w:name="_Toc116983401"/>
      <w:bookmarkStart w:id="439" w:name="_Toc116983861"/>
      <w:bookmarkStart w:id="440" w:name="_Toc116984322"/>
      <w:bookmarkStart w:id="441" w:name="_Toc117498278"/>
      <w:bookmarkStart w:id="442" w:name="_Toc116982936"/>
      <w:bookmarkStart w:id="443" w:name="_Toc116983402"/>
      <w:bookmarkStart w:id="444" w:name="_Toc116983862"/>
      <w:bookmarkStart w:id="445" w:name="_Toc116984323"/>
      <w:bookmarkStart w:id="446" w:name="_Toc117498279"/>
      <w:bookmarkStart w:id="447" w:name="_Toc116982937"/>
      <w:bookmarkStart w:id="448" w:name="_Toc116983403"/>
      <w:bookmarkStart w:id="449" w:name="_Toc116983863"/>
      <w:bookmarkStart w:id="450" w:name="_Toc116984324"/>
      <w:bookmarkStart w:id="451" w:name="_Toc117498280"/>
      <w:bookmarkStart w:id="452" w:name="_Toc116982938"/>
      <w:bookmarkStart w:id="453" w:name="_Toc116983404"/>
      <w:bookmarkStart w:id="454" w:name="_Toc116983864"/>
      <w:bookmarkStart w:id="455" w:name="_Toc116984325"/>
      <w:bookmarkStart w:id="456" w:name="_Toc117498281"/>
      <w:bookmarkStart w:id="457" w:name="_Toc116982939"/>
      <w:bookmarkStart w:id="458" w:name="_Toc116983405"/>
      <w:bookmarkStart w:id="459" w:name="_Toc116983865"/>
      <w:bookmarkStart w:id="460" w:name="_Toc116984326"/>
      <w:bookmarkStart w:id="461" w:name="_Toc117498282"/>
      <w:bookmarkStart w:id="462" w:name="_Toc116982940"/>
      <w:bookmarkStart w:id="463" w:name="_Toc116983406"/>
      <w:bookmarkStart w:id="464" w:name="_Toc116983866"/>
      <w:bookmarkStart w:id="465" w:name="_Toc116984327"/>
      <w:bookmarkStart w:id="466" w:name="_Toc117498283"/>
      <w:bookmarkStart w:id="467" w:name="_Toc116982941"/>
      <w:bookmarkStart w:id="468" w:name="_Toc116983407"/>
      <w:bookmarkStart w:id="469" w:name="_Toc116983867"/>
      <w:bookmarkStart w:id="470" w:name="_Toc116984328"/>
      <w:bookmarkStart w:id="471" w:name="_Toc117498284"/>
      <w:bookmarkStart w:id="472" w:name="_Toc116982942"/>
      <w:bookmarkStart w:id="473" w:name="_Toc116983408"/>
      <w:bookmarkStart w:id="474" w:name="_Toc116983868"/>
      <w:bookmarkStart w:id="475" w:name="_Toc116984329"/>
      <w:bookmarkStart w:id="476" w:name="_Toc117498285"/>
      <w:bookmarkStart w:id="477" w:name="_Toc116982943"/>
      <w:bookmarkStart w:id="478" w:name="_Toc116983409"/>
      <w:bookmarkStart w:id="479" w:name="_Toc116983869"/>
      <w:bookmarkStart w:id="480" w:name="_Toc116984330"/>
      <w:bookmarkStart w:id="481" w:name="_Toc117498286"/>
      <w:bookmarkStart w:id="482" w:name="_Toc116982944"/>
      <w:bookmarkStart w:id="483" w:name="_Toc116983410"/>
      <w:bookmarkStart w:id="484" w:name="_Toc116983870"/>
      <w:bookmarkStart w:id="485" w:name="_Toc116984331"/>
      <w:bookmarkStart w:id="486" w:name="_Toc117498287"/>
      <w:bookmarkStart w:id="487" w:name="_Toc116982945"/>
      <w:bookmarkStart w:id="488" w:name="_Toc116983411"/>
      <w:bookmarkStart w:id="489" w:name="_Toc116983871"/>
      <w:bookmarkStart w:id="490" w:name="_Toc116984332"/>
      <w:bookmarkStart w:id="491" w:name="_Toc117498288"/>
      <w:bookmarkStart w:id="492" w:name="_Toc116982946"/>
      <w:bookmarkStart w:id="493" w:name="_Toc116983412"/>
      <w:bookmarkStart w:id="494" w:name="_Toc116983872"/>
      <w:bookmarkStart w:id="495" w:name="_Toc116984333"/>
      <w:bookmarkStart w:id="496" w:name="_Toc117498289"/>
      <w:bookmarkStart w:id="497" w:name="_Toc116982947"/>
      <w:bookmarkStart w:id="498" w:name="_Toc116983413"/>
      <w:bookmarkStart w:id="499" w:name="_Toc116983873"/>
      <w:bookmarkStart w:id="500" w:name="_Toc116984334"/>
      <w:bookmarkStart w:id="501" w:name="_Toc117498290"/>
      <w:bookmarkStart w:id="502" w:name="_Toc116982948"/>
      <w:bookmarkStart w:id="503" w:name="_Toc116983414"/>
      <w:bookmarkStart w:id="504" w:name="_Toc116983874"/>
      <w:bookmarkStart w:id="505" w:name="_Toc116984335"/>
      <w:bookmarkStart w:id="506" w:name="_Toc117498291"/>
      <w:bookmarkStart w:id="507" w:name="_Toc116982949"/>
      <w:bookmarkStart w:id="508" w:name="_Toc116983415"/>
      <w:bookmarkStart w:id="509" w:name="_Toc116983875"/>
      <w:bookmarkStart w:id="510" w:name="_Toc116984336"/>
      <w:bookmarkStart w:id="511" w:name="_Toc117498292"/>
      <w:bookmarkStart w:id="512" w:name="_Toc116982950"/>
      <w:bookmarkStart w:id="513" w:name="_Toc116983416"/>
      <w:bookmarkStart w:id="514" w:name="_Toc116983876"/>
      <w:bookmarkStart w:id="515" w:name="_Toc116984337"/>
      <w:bookmarkStart w:id="516" w:name="_Toc117498293"/>
      <w:bookmarkStart w:id="517" w:name="_Toc116982951"/>
      <w:bookmarkStart w:id="518" w:name="_Toc116983417"/>
      <w:bookmarkStart w:id="519" w:name="_Toc116983877"/>
      <w:bookmarkStart w:id="520" w:name="_Toc116984338"/>
      <w:bookmarkStart w:id="521" w:name="_Toc117498294"/>
      <w:bookmarkStart w:id="522" w:name="_Toc116982952"/>
      <w:bookmarkStart w:id="523" w:name="_Toc116983418"/>
      <w:bookmarkStart w:id="524" w:name="_Toc116983878"/>
      <w:bookmarkStart w:id="525" w:name="_Toc116984339"/>
      <w:bookmarkStart w:id="526" w:name="_Toc117498295"/>
      <w:bookmarkStart w:id="527" w:name="_Toc116982953"/>
      <w:bookmarkStart w:id="528" w:name="_Toc116983419"/>
      <w:bookmarkStart w:id="529" w:name="_Toc116983879"/>
      <w:bookmarkStart w:id="530" w:name="_Toc116984340"/>
      <w:bookmarkStart w:id="531" w:name="_Toc117498296"/>
      <w:bookmarkStart w:id="532" w:name="_Toc116982954"/>
      <w:bookmarkStart w:id="533" w:name="_Toc116983420"/>
      <w:bookmarkStart w:id="534" w:name="_Toc116983880"/>
      <w:bookmarkStart w:id="535" w:name="_Toc116984341"/>
      <w:bookmarkStart w:id="536" w:name="_Toc117498297"/>
      <w:bookmarkStart w:id="537" w:name="_Toc116982955"/>
      <w:bookmarkStart w:id="538" w:name="_Toc116983421"/>
      <w:bookmarkStart w:id="539" w:name="_Toc116983881"/>
      <w:bookmarkStart w:id="540" w:name="_Toc116984342"/>
      <w:bookmarkStart w:id="541" w:name="_Toc117498298"/>
      <w:bookmarkStart w:id="542" w:name="_Toc116982956"/>
      <w:bookmarkStart w:id="543" w:name="_Toc116983422"/>
      <w:bookmarkStart w:id="544" w:name="_Toc116983882"/>
      <w:bookmarkStart w:id="545" w:name="_Toc116984343"/>
      <w:bookmarkStart w:id="546" w:name="_Toc117498299"/>
      <w:bookmarkStart w:id="547" w:name="_Toc116982957"/>
      <w:bookmarkStart w:id="548" w:name="_Toc116983423"/>
      <w:bookmarkStart w:id="549" w:name="_Toc116983883"/>
      <w:bookmarkStart w:id="550" w:name="_Toc116984344"/>
      <w:bookmarkStart w:id="551" w:name="_Toc117498300"/>
      <w:bookmarkStart w:id="552" w:name="_Toc116982958"/>
      <w:bookmarkStart w:id="553" w:name="_Toc116983424"/>
      <w:bookmarkStart w:id="554" w:name="_Toc116983884"/>
      <w:bookmarkStart w:id="555" w:name="_Toc116984345"/>
      <w:bookmarkStart w:id="556" w:name="_Toc117498301"/>
      <w:bookmarkStart w:id="557" w:name="_Toc116982959"/>
      <w:bookmarkStart w:id="558" w:name="_Toc116983425"/>
      <w:bookmarkStart w:id="559" w:name="_Toc116983885"/>
      <w:bookmarkStart w:id="560" w:name="_Toc116984346"/>
      <w:bookmarkStart w:id="561" w:name="_Toc117498302"/>
      <w:bookmarkStart w:id="562" w:name="_Toc116982960"/>
      <w:bookmarkStart w:id="563" w:name="_Toc116983426"/>
      <w:bookmarkStart w:id="564" w:name="_Toc116983886"/>
      <w:bookmarkStart w:id="565" w:name="_Toc116984347"/>
      <w:bookmarkStart w:id="566" w:name="_Toc117498303"/>
      <w:bookmarkStart w:id="567" w:name="_Toc116982961"/>
      <w:bookmarkStart w:id="568" w:name="_Toc116983427"/>
      <w:bookmarkStart w:id="569" w:name="_Toc116983887"/>
      <w:bookmarkStart w:id="570" w:name="_Toc116984348"/>
      <w:bookmarkStart w:id="571" w:name="_Toc117498304"/>
      <w:bookmarkStart w:id="572" w:name="_Toc116982962"/>
      <w:bookmarkStart w:id="573" w:name="_Toc116983428"/>
      <w:bookmarkStart w:id="574" w:name="_Toc116983888"/>
      <w:bookmarkStart w:id="575" w:name="_Toc116984349"/>
      <w:bookmarkStart w:id="576" w:name="_Toc117498305"/>
      <w:bookmarkStart w:id="577" w:name="_Toc116982963"/>
      <w:bookmarkStart w:id="578" w:name="_Toc116983429"/>
      <w:bookmarkStart w:id="579" w:name="_Toc116983889"/>
      <w:bookmarkStart w:id="580" w:name="_Toc116984350"/>
      <w:bookmarkStart w:id="581" w:name="_Toc117498306"/>
      <w:bookmarkStart w:id="582" w:name="_Toc116982964"/>
      <w:bookmarkStart w:id="583" w:name="_Toc116983430"/>
      <w:bookmarkStart w:id="584" w:name="_Toc116983890"/>
      <w:bookmarkStart w:id="585" w:name="_Toc116984351"/>
      <w:bookmarkStart w:id="586" w:name="_Toc117498307"/>
      <w:bookmarkStart w:id="587" w:name="_Toc116982965"/>
      <w:bookmarkStart w:id="588" w:name="_Toc116983431"/>
      <w:bookmarkStart w:id="589" w:name="_Toc116983891"/>
      <w:bookmarkStart w:id="590" w:name="_Toc116984352"/>
      <w:bookmarkStart w:id="591" w:name="_Toc117498308"/>
      <w:bookmarkStart w:id="592" w:name="_Toc116982966"/>
      <w:bookmarkStart w:id="593" w:name="_Toc116983432"/>
      <w:bookmarkStart w:id="594" w:name="_Toc116983892"/>
      <w:bookmarkStart w:id="595" w:name="_Toc116984353"/>
      <w:bookmarkStart w:id="596" w:name="_Toc117498309"/>
      <w:bookmarkStart w:id="597" w:name="_Toc116982967"/>
      <w:bookmarkStart w:id="598" w:name="_Toc116983433"/>
      <w:bookmarkStart w:id="599" w:name="_Toc116983893"/>
      <w:bookmarkStart w:id="600" w:name="_Toc116984354"/>
      <w:bookmarkStart w:id="601" w:name="_Toc117498310"/>
      <w:bookmarkStart w:id="602" w:name="_Toc116982968"/>
      <w:bookmarkStart w:id="603" w:name="_Toc116983434"/>
      <w:bookmarkStart w:id="604" w:name="_Toc116983894"/>
      <w:bookmarkStart w:id="605" w:name="_Toc116984355"/>
      <w:bookmarkStart w:id="606" w:name="_Toc117498311"/>
      <w:bookmarkStart w:id="607" w:name="_Toc116982969"/>
      <w:bookmarkStart w:id="608" w:name="_Toc116983435"/>
      <w:bookmarkStart w:id="609" w:name="_Toc116983895"/>
      <w:bookmarkStart w:id="610" w:name="_Toc116984356"/>
      <w:bookmarkStart w:id="611" w:name="_Toc117498312"/>
      <w:bookmarkStart w:id="612" w:name="_Toc116982970"/>
      <w:bookmarkStart w:id="613" w:name="_Toc116983436"/>
      <w:bookmarkStart w:id="614" w:name="_Toc116983896"/>
      <w:bookmarkStart w:id="615" w:name="_Toc116984357"/>
      <w:bookmarkStart w:id="616" w:name="_Toc117498313"/>
      <w:bookmarkStart w:id="617" w:name="_Toc116982971"/>
      <w:bookmarkStart w:id="618" w:name="_Toc116983437"/>
      <w:bookmarkStart w:id="619" w:name="_Toc116983897"/>
      <w:bookmarkStart w:id="620" w:name="_Toc116984358"/>
      <w:bookmarkStart w:id="621" w:name="_Toc117498314"/>
      <w:bookmarkStart w:id="622" w:name="_Toc116982972"/>
      <w:bookmarkStart w:id="623" w:name="_Toc116983438"/>
      <w:bookmarkStart w:id="624" w:name="_Toc116983898"/>
      <w:bookmarkStart w:id="625" w:name="_Toc116984359"/>
      <w:bookmarkStart w:id="626" w:name="_Toc117498315"/>
      <w:bookmarkStart w:id="627" w:name="_Toc116982973"/>
      <w:bookmarkStart w:id="628" w:name="_Toc116983439"/>
      <w:bookmarkStart w:id="629" w:name="_Toc116983899"/>
      <w:bookmarkStart w:id="630" w:name="_Toc116984360"/>
      <w:bookmarkStart w:id="631" w:name="_Toc117498316"/>
      <w:bookmarkStart w:id="632" w:name="_Toc116982974"/>
      <w:bookmarkStart w:id="633" w:name="_Toc116983440"/>
      <w:bookmarkStart w:id="634" w:name="_Toc116983900"/>
      <w:bookmarkStart w:id="635" w:name="_Toc116984361"/>
      <w:bookmarkStart w:id="636" w:name="_Toc117498317"/>
      <w:bookmarkStart w:id="637" w:name="_Toc116982975"/>
      <w:bookmarkStart w:id="638" w:name="_Toc116983441"/>
      <w:bookmarkStart w:id="639" w:name="_Toc116983901"/>
      <w:bookmarkStart w:id="640" w:name="_Toc116984362"/>
      <w:bookmarkStart w:id="641" w:name="_Toc117498318"/>
      <w:bookmarkStart w:id="642" w:name="_Toc116982976"/>
      <w:bookmarkStart w:id="643" w:name="_Toc116983442"/>
      <w:bookmarkStart w:id="644" w:name="_Toc116983902"/>
      <w:bookmarkStart w:id="645" w:name="_Toc116984363"/>
      <w:bookmarkStart w:id="646" w:name="_Toc117498319"/>
      <w:bookmarkStart w:id="647" w:name="_Toc116982977"/>
      <w:bookmarkStart w:id="648" w:name="_Toc116983443"/>
      <w:bookmarkStart w:id="649" w:name="_Toc116983903"/>
      <w:bookmarkStart w:id="650" w:name="_Toc116984364"/>
      <w:bookmarkStart w:id="651" w:name="_Toc117498320"/>
      <w:bookmarkStart w:id="652" w:name="_Toc116982978"/>
      <w:bookmarkStart w:id="653" w:name="_Toc116983444"/>
      <w:bookmarkStart w:id="654" w:name="_Toc116983904"/>
      <w:bookmarkStart w:id="655" w:name="_Toc116984365"/>
      <w:bookmarkStart w:id="656" w:name="_Toc117498321"/>
      <w:bookmarkStart w:id="657" w:name="_Toc116982979"/>
      <w:bookmarkStart w:id="658" w:name="_Toc116983445"/>
      <w:bookmarkStart w:id="659" w:name="_Toc116983905"/>
      <w:bookmarkStart w:id="660" w:name="_Toc116984366"/>
      <w:bookmarkStart w:id="661" w:name="_Toc117498322"/>
      <w:bookmarkStart w:id="662" w:name="_Toc116982980"/>
      <w:bookmarkStart w:id="663" w:name="_Toc116983446"/>
      <w:bookmarkStart w:id="664" w:name="_Toc116983906"/>
      <w:bookmarkStart w:id="665" w:name="_Toc116984367"/>
      <w:bookmarkStart w:id="666" w:name="_Toc117498323"/>
      <w:bookmarkStart w:id="667" w:name="_Toc116982981"/>
      <w:bookmarkStart w:id="668" w:name="_Toc116983447"/>
      <w:bookmarkStart w:id="669" w:name="_Toc116983907"/>
      <w:bookmarkStart w:id="670" w:name="_Toc116984368"/>
      <w:bookmarkStart w:id="671" w:name="_Toc117498324"/>
      <w:bookmarkStart w:id="672" w:name="_Toc116982982"/>
      <w:bookmarkStart w:id="673" w:name="_Toc116983448"/>
      <w:bookmarkStart w:id="674" w:name="_Toc116983908"/>
      <w:bookmarkStart w:id="675" w:name="_Toc116984369"/>
      <w:bookmarkStart w:id="676" w:name="_Toc117498325"/>
      <w:bookmarkStart w:id="677" w:name="_Toc116982983"/>
      <w:bookmarkStart w:id="678" w:name="_Toc116983449"/>
      <w:bookmarkStart w:id="679" w:name="_Toc116983909"/>
      <w:bookmarkStart w:id="680" w:name="_Toc116984370"/>
      <w:bookmarkStart w:id="681" w:name="_Toc117498326"/>
      <w:bookmarkStart w:id="682" w:name="_Toc116982984"/>
      <w:bookmarkStart w:id="683" w:name="_Toc116983450"/>
      <w:bookmarkStart w:id="684" w:name="_Toc116983910"/>
      <w:bookmarkStart w:id="685" w:name="_Toc116984371"/>
      <w:bookmarkStart w:id="686" w:name="_Toc117498327"/>
      <w:bookmarkStart w:id="687" w:name="_Toc116982985"/>
      <w:bookmarkStart w:id="688" w:name="_Toc116983451"/>
      <w:bookmarkStart w:id="689" w:name="_Toc116983911"/>
      <w:bookmarkStart w:id="690" w:name="_Toc116984372"/>
      <w:bookmarkStart w:id="691" w:name="_Toc117498328"/>
      <w:bookmarkStart w:id="692" w:name="_Toc116982986"/>
      <w:bookmarkStart w:id="693" w:name="_Toc116983452"/>
      <w:bookmarkStart w:id="694" w:name="_Toc116983912"/>
      <w:bookmarkStart w:id="695" w:name="_Toc116984373"/>
      <w:bookmarkStart w:id="696" w:name="_Toc117498329"/>
      <w:bookmarkStart w:id="697" w:name="_Toc116982987"/>
      <w:bookmarkStart w:id="698" w:name="_Toc116983453"/>
      <w:bookmarkStart w:id="699" w:name="_Toc116983913"/>
      <w:bookmarkStart w:id="700" w:name="_Toc116984374"/>
      <w:bookmarkStart w:id="701" w:name="_Toc117498330"/>
      <w:bookmarkStart w:id="702" w:name="_Toc116982988"/>
      <w:bookmarkStart w:id="703" w:name="_Toc116983454"/>
      <w:bookmarkStart w:id="704" w:name="_Toc116983914"/>
      <w:bookmarkStart w:id="705" w:name="_Toc116984375"/>
      <w:bookmarkStart w:id="706" w:name="_Toc117498331"/>
      <w:bookmarkStart w:id="707" w:name="_Toc116982989"/>
      <w:bookmarkStart w:id="708" w:name="_Toc116983455"/>
      <w:bookmarkStart w:id="709" w:name="_Toc116983915"/>
      <w:bookmarkStart w:id="710" w:name="_Toc116984376"/>
      <w:bookmarkStart w:id="711" w:name="_Toc117498332"/>
      <w:bookmarkStart w:id="712" w:name="_Toc116982990"/>
      <w:bookmarkStart w:id="713" w:name="_Toc116983456"/>
      <w:bookmarkStart w:id="714" w:name="_Toc116983916"/>
      <w:bookmarkStart w:id="715" w:name="_Toc116984377"/>
      <w:bookmarkStart w:id="716" w:name="_Toc117498333"/>
      <w:bookmarkStart w:id="717" w:name="_Toc116982991"/>
      <w:bookmarkStart w:id="718" w:name="_Toc116983457"/>
      <w:bookmarkStart w:id="719" w:name="_Toc116983917"/>
      <w:bookmarkStart w:id="720" w:name="_Toc116984378"/>
      <w:bookmarkStart w:id="721" w:name="_Toc117498334"/>
      <w:bookmarkStart w:id="722" w:name="_Toc116982992"/>
      <w:bookmarkStart w:id="723" w:name="_Toc116983458"/>
      <w:bookmarkStart w:id="724" w:name="_Toc116983918"/>
      <w:bookmarkStart w:id="725" w:name="_Toc116984379"/>
      <w:bookmarkStart w:id="726" w:name="_Toc117498335"/>
      <w:bookmarkStart w:id="727" w:name="_Toc116982993"/>
      <w:bookmarkStart w:id="728" w:name="_Toc116983459"/>
      <w:bookmarkStart w:id="729" w:name="_Toc116983919"/>
      <w:bookmarkStart w:id="730" w:name="_Toc116984380"/>
      <w:bookmarkStart w:id="731" w:name="_Toc117498336"/>
      <w:bookmarkStart w:id="732" w:name="_Toc116982994"/>
      <w:bookmarkStart w:id="733" w:name="_Toc116983460"/>
      <w:bookmarkStart w:id="734" w:name="_Toc116983920"/>
      <w:bookmarkStart w:id="735" w:name="_Toc116984381"/>
      <w:bookmarkStart w:id="736" w:name="_Toc117498337"/>
      <w:bookmarkStart w:id="737" w:name="_Toc116982995"/>
      <w:bookmarkStart w:id="738" w:name="_Toc116983461"/>
      <w:bookmarkStart w:id="739" w:name="_Toc116983921"/>
      <w:bookmarkStart w:id="740" w:name="_Toc116984382"/>
      <w:bookmarkStart w:id="741" w:name="_Toc117498338"/>
      <w:bookmarkStart w:id="742" w:name="_Toc116982996"/>
      <w:bookmarkStart w:id="743" w:name="_Toc116983462"/>
      <w:bookmarkStart w:id="744" w:name="_Toc116983922"/>
      <w:bookmarkStart w:id="745" w:name="_Toc116984383"/>
      <w:bookmarkStart w:id="746" w:name="_Toc117498339"/>
      <w:bookmarkStart w:id="747" w:name="_Toc116982997"/>
      <w:bookmarkStart w:id="748" w:name="_Toc116983463"/>
      <w:bookmarkStart w:id="749" w:name="_Toc116983923"/>
      <w:bookmarkStart w:id="750" w:name="_Toc116984384"/>
      <w:bookmarkStart w:id="751" w:name="_Toc117498340"/>
      <w:bookmarkStart w:id="752" w:name="_Toc116982998"/>
      <w:bookmarkStart w:id="753" w:name="_Toc116983464"/>
      <w:bookmarkStart w:id="754" w:name="_Toc116983924"/>
      <w:bookmarkStart w:id="755" w:name="_Toc116984385"/>
      <w:bookmarkStart w:id="756" w:name="_Toc117498341"/>
      <w:bookmarkStart w:id="757" w:name="_Toc116982999"/>
      <w:bookmarkStart w:id="758" w:name="_Toc116983465"/>
      <w:bookmarkStart w:id="759" w:name="_Toc116983925"/>
      <w:bookmarkStart w:id="760" w:name="_Toc116984386"/>
      <w:bookmarkStart w:id="761" w:name="_Toc117498342"/>
      <w:bookmarkStart w:id="762" w:name="_Toc116983000"/>
      <w:bookmarkStart w:id="763" w:name="_Toc116983466"/>
      <w:bookmarkStart w:id="764" w:name="_Toc116983926"/>
      <w:bookmarkStart w:id="765" w:name="_Toc116984387"/>
      <w:bookmarkStart w:id="766" w:name="_Toc117498343"/>
      <w:bookmarkStart w:id="767" w:name="_Toc116983001"/>
      <w:bookmarkStart w:id="768" w:name="_Toc116983467"/>
      <w:bookmarkStart w:id="769" w:name="_Toc116983927"/>
      <w:bookmarkStart w:id="770" w:name="_Toc116984388"/>
      <w:bookmarkStart w:id="771" w:name="_Toc117498344"/>
      <w:bookmarkStart w:id="772" w:name="_Toc116983002"/>
      <w:bookmarkStart w:id="773" w:name="_Toc116983468"/>
      <w:bookmarkStart w:id="774" w:name="_Toc116983928"/>
      <w:bookmarkStart w:id="775" w:name="_Toc116984389"/>
      <w:bookmarkStart w:id="776" w:name="_Toc117498345"/>
      <w:bookmarkStart w:id="777" w:name="_Toc116983003"/>
      <w:bookmarkStart w:id="778" w:name="_Toc116983469"/>
      <w:bookmarkStart w:id="779" w:name="_Toc116983929"/>
      <w:bookmarkStart w:id="780" w:name="_Toc116984390"/>
      <w:bookmarkStart w:id="781" w:name="_Toc117498346"/>
      <w:bookmarkStart w:id="782" w:name="_Toc116983004"/>
      <w:bookmarkStart w:id="783" w:name="_Toc116983470"/>
      <w:bookmarkStart w:id="784" w:name="_Toc116983930"/>
      <w:bookmarkStart w:id="785" w:name="_Toc116984391"/>
      <w:bookmarkStart w:id="786" w:name="_Toc117498347"/>
      <w:bookmarkStart w:id="787" w:name="_Toc116983005"/>
      <w:bookmarkStart w:id="788" w:name="_Toc116983471"/>
      <w:bookmarkStart w:id="789" w:name="_Toc116983931"/>
      <w:bookmarkStart w:id="790" w:name="_Toc116984392"/>
      <w:bookmarkStart w:id="791" w:name="_Toc117498348"/>
      <w:bookmarkStart w:id="792" w:name="_Toc116983006"/>
      <w:bookmarkStart w:id="793" w:name="_Toc116983472"/>
      <w:bookmarkStart w:id="794" w:name="_Toc116983932"/>
      <w:bookmarkStart w:id="795" w:name="_Toc116984393"/>
      <w:bookmarkStart w:id="796" w:name="_Toc117498349"/>
      <w:bookmarkStart w:id="797" w:name="_Toc116983007"/>
      <w:bookmarkStart w:id="798" w:name="_Toc116983473"/>
      <w:bookmarkStart w:id="799" w:name="_Toc116983933"/>
      <w:bookmarkStart w:id="800" w:name="_Toc116984394"/>
      <w:bookmarkStart w:id="801" w:name="_Toc117498350"/>
      <w:bookmarkStart w:id="802" w:name="_Toc116983008"/>
      <w:bookmarkStart w:id="803" w:name="_Toc116983474"/>
      <w:bookmarkStart w:id="804" w:name="_Toc116983934"/>
      <w:bookmarkStart w:id="805" w:name="_Toc116984395"/>
      <w:bookmarkStart w:id="806" w:name="_Toc117498351"/>
      <w:bookmarkStart w:id="807" w:name="_Toc116983009"/>
      <w:bookmarkStart w:id="808" w:name="_Toc116983475"/>
      <w:bookmarkStart w:id="809" w:name="_Toc116983935"/>
      <w:bookmarkStart w:id="810" w:name="_Toc116984396"/>
      <w:bookmarkStart w:id="811" w:name="_Toc117498352"/>
      <w:bookmarkStart w:id="812" w:name="_Toc116983010"/>
      <w:bookmarkStart w:id="813" w:name="_Toc116983476"/>
      <w:bookmarkStart w:id="814" w:name="_Toc116983936"/>
      <w:bookmarkStart w:id="815" w:name="_Toc116984397"/>
      <w:bookmarkStart w:id="816" w:name="_Toc117498353"/>
      <w:bookmarkStart w:id="817" w:name="_Toc116983011"/>
      <w:bookmarkStart w:id="818" w:name="_Toc116983477"/>
      <w:bookmarkStart w:id="819" w:name="_Toc116983937"/>
      <w:bookmarkStart w:id="820" w:name="_Toc116984398"/>
      <w:bookmarkStart w:id="821" w:name="_Toc117498354"/>
      <w:bookmarkStart w:id="822" w:name="_Toc116983012"/>
      <w:bookmarkStart w:id="823" w:name="_Toc116983478"/>
      <w:bookmarkStart w:id="824" w:name="_Toc116983938"/>
      <w:bookmarkStart w:id="825" w:name="_Toc116984399"/>
      <w:bookmarkStart w:id="826" w:name="_Toc117498355"/>
      <w:bookmarkStart w:id="827" w:name="_Toc116983013"/>
      <w:bookmarkStart w:id="828" w:name="_Toc116983479"/>
      <w:bookmarkStart w:id="829" w:name="_Toc116983939"/>
      <w:bookmarkStart w:id="830" w:name="_Toc116984400"/>
      <w:bookmarkStart w:id="831" w:name="_Toc117498356"/>
      <w:bookmarkStart w:id="832" w:name="_Toc116983014"/>
      <w:bookmarkStart w:id="833" w:name="_Toc116983480"/>
      <w:bookmarkStart w:id="834" w:name="_Toc116983940"/>
      <w:bookmarkStart w:id="835" w:name="_Toc116984401"/>
      <w:bookmarkStart w:id="836" w:name="_Toc117498357"/>
      <w:bookmarkStart w:id="837" w:name="_Toc116983015"/>
      <w:bookmarkStart w:id="838" w:name="_Toc116983481"/>
      <w:bookmarkStart w:id="839" w:name="_Toc116983941"/>
      <w:bookmarkStart w:id="840" w:name="_Toc116984402"/>
      <w:bookmarkStart w:id="841" w:name="_Toc117498358"/>
      <w:bookmarkStart w:id="842" w:name="_Toc116983016"/>
      <w:bookmarkStart w:id="843" w:name="_Toc116983482"/>
      <w:bookmarkStart w:id="844" w:name="_Toc116983942"/>
      <w:bookmarkStart w:id="845" w:name="_Toc116984403"/>
      <w:bookmarkStart w:id="846" w:name="_Toc117498359"/>
      <w:bookmarkStart w:id="847" w:name="_Toc116983017"/>
      <w:bookmarkStart w:id="848" w:name="_Toc116983483"/>
      <w:bookmarkStart w:id="849" w:name="_Toc116983943"/>
      <w:bookmarkStart w:id="850" w:name="_Toc116984404"/>
      <w:bookmarkStart w:id="851" w:name="_Toc117498360"/>
      <w:bookmarkStart w:id="852" w:name="_Toc116983018"/>
      <w:bookmarkStart w:id="853" w:name="_Toc116983484"/>
      <w:bookmarkStart w:id="854" w:name="_Toc116983944"/>
      <w:bookmarkStart w:id="855" w:name="_Toc116984405"/>
      <w:bookmarkStart w:id="856" w:name="_Toc117498361"/>
      <w:bookmarkStart w:id="857" w:name="_Toc116983019"/>
      <w:bookmarkStart w:id="858" w:name="_Toc116983485"/>
      <w:bookmarkStart w:id="859" w:name="_Toc116983945"/>
      <w:bookmarkStart w:id="860" w:name="_Toc116984406"/>
      <w:bookmarkStart w:id="861" w:name="_Toc117498362"/>
      <w:bookmarkStart w:id="862" w:name="_Toc116983020"/>
      <w:bookmarkStart w:id="863" w:name="_Toc116983486"/>
      <w:bookmarkStart w:id="864" w:name="_Toc116983946"/>
      <w:bookmarkStart w:id="865" w:name="_Toc116984407"/>
      <w:bookmarkStart w:id="866" w:name="_Toc117498363"/>
      <w:bookmarkStart w:id="867" w:name="_Toc116983021"/>
      <w:bookmarkStart w:id="868" w:name="_Toc116983487"/>
      <w:bookmarkStart w:id="869" w:name="_Toc116983947"/>
      <w:bookmarkStart w:id="870" w:name="_Toc116984408"/>
      <w:bookmarkStart w:id="871" w:name="_Toc117498364"/>
      <w:bookmarkStart w:id="872" w:name="_Toc116983022"/>
      <w:bookmarkStart w:id="873" w:name="_Toc116983488"/>
      <w:bookmarkStart w:id="874" w:name="_Toc116983948"/>
      <w:bookmarkStart w:id="875" w:name="_Toc116984409"/>
      <w:bookmarkStart w:id="876" w:name="_Toc117498365"/>
      <w:bookmarkStart w:id="877" w:name="_Toc116983023"/>
      <w:bookmarkStart w:id="878" w:name="_Toc116983489"/>
      <w:bookmarkStart w:id="879" w:name="_Toc116983949"/>
      <w:bookmarkStart w:id="880" w:name="_Toc116984410"/>
      <w:bookmarkStart w:id="881" w:name="_Toc117498366"/>
      <w:bookmarkStart w:id="882" w:name="_Toc116983024"/>
      <w:bookmarkStart w:id="883" w:name="_Toc116983490"/>
      <w:bookmarkStart w:id="884" w:name="_Toc116983950"/>
      <w:bookmarkStart w:id="885" w:name="_Toc116984411"/>
      <w:bookmarkStart w:id="886" w:name="_Toc117498367"/>
      <w:bookmarkStart w:id="887" w:name="_Toc110418928"/>
      <w:bookmarkStart w:id="888" w:name="_Toc110419067"/>
      <w:bookmarkStart w:id="889" w:name="_Toc11829890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Pr>
          <w:rFonts w:ascii="Times New Roman" w:eastAsia="楷体_GB2312" w:hAnsi="Times New Roman" w:cs="Times New Roman"/>
          <w:kern w:val="0"/>
          <w:sz w:val="32"/>
          <w:szCs w:val="32"/>
        </w:rPr>
        <w:t>重组人源化胶原蛋白原材料性能研究</w:t>
      </w:r>
      <w:bookmarkEnd w:id="887"/>
      <w:bookmarkEnd w:id="888"/>
      <w:bookmarkEnd w:id="889"/>
    </w:p>
    <w:p w14:paraId="52B31342"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为了确保重组人源化胶原蛋白原材料质量可控，重组人源化胶原蛋白应参考相关行业标准进行必要的</w:t>
      </w:r>
      <w:r>
        <w:rPr>
          <w:rFonts w:ascii="Times New Roman" w:eastAsia="仿宋_GB2312" w:hAnsi="Times New Roman" w:cs="Times New Roman" w:hint="eastAsia"/>
          <w:sz w:val="32"/>
          <w:szCs w:val="32"/>
        </w:rPr>
        <w:t>鉴别</w:t>
      </w:r>
      <w:r>
        <w:rPr>
          <w:rFonts w:ascii="Times New Roman" w:eastAsia="仿宋_GB2312" w:hAnsi="Times New Roman" w:cs="Times New Roman"/>
          <w:sz w:val="32"/>
          <w:szCs w:val="32"/>
        </w:rPr>
        <w:t>、纯度和杂质等分析，可采用不同的分析方法对材料的分子量、等电</w:t>
      </w:r>
      <w:r>
        <w:rPr>
          <w:rFonts w:ascii="Times New Roman" w:eastAsia="仿宋_GB2312" w:hAnsi="Times New Roman" w:cs="Times New Roman"/>
          <w:sz w:val="32"/>
          <w:szCs w:val="32"/>
        </w:rPr>
        <w:lastRenderedPageBreak/>
        <w:t>点、氨基酸序列、各种翻译后修饰（如</w:t>
      </w:r>
      <w:r>
        <w:rPr>
          <w:rFonts w:ascii="Times New Roman" w:eastAsia="仿宋_GB2312" w:hAnsi="Times New Roman" w:cs="Times New Roman"/>
          <w:bCs/>
          <w:sz w:val="32"/>
          <w:szCs w:val="32"/>
        </w:rPr>
        <w:t>脱酰胺化、氧化、糖谱</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糖基化修饰、脯氨酸羟基化等</w:t>
      </w:r>
      <w:r>
        <w:rPr>
          <w:rFonts w:ascii="Times New Roman" w:eastAsia="仿宋_GB2312" w:hAnsi="Times New Roman" w:cs="Times New Roman"/>
          <w:sz w:val="32"/>
          <w:szCs w:val="32"/>
        </w:rPr>
        <w:t>）进行充分鉴定，并</w:t>
      </w:r>
      <w:r>
        <w:rPr>
          <w:rFonts w:ascii="Times New Roman" w:eastAsia="仿宋_GB2312" w:hAnsi="Times New Roman" w:cs="Times New Roman" w:hint="eastAsia"/>
          <w:sz w:val="32"/>
          <w:szCs w:val="32"/>
        </w:rPr>
        <w:t>进行</w:t>
      </w:r>
      <w:r>
        <w:rPr>
          <w:rFonts w:ascii="Times New Roman" w:eastAsia="仿宋_GB2312" w:hAnsi="Times New Roman" w:cs="Times New Roman"/>
          <w:sz w:val="32"/>
          <w:szCs w:val="32"/>
        </w:rPr>
        <w:t>适当的检测，以确认终产物具有预期的构象、聚集</w:t>
      </w:r>
      <w:r>
        <w:rPr>
          <w:rFonts w:ascii="Times New Roman" w:eastAsia="仿宋_GB2312" w:hAnsi="Times New Roman" w:cs="Times New Roman" w:hint="eastAsia"/>
          <w:sz w:val="32"/>
          <w:szCs w:val="32"/>
        </w:rPr>
        <w:t>状态、</w:t>
      </w:r>
      <w:r>
        <w:rPr>
          <w:rFonts w:ascii="Times New Roman" w:eastAsia="仿宋_GB2312" w:hAnsi="Times New Roman" w:cs="Times New Roman"/>
          <w:sz w:val="32"/>
          <w:szCs w:val="32"/>
        </w:rPr>
        <w:t>降解状态及</w:t>
      </w:r>
      <w:r>
        <w:rPr>
          <w:rFonts w:ascii="Times New Roman" w:eastAsia="仿宋_GB2312" w:hAnsi="Times New Roman" w:cs="Times New Roman" w:hint="eastAsia"/>
          <w:sz w:val="32"/>
          <w:szCs w:val="32"/>
        </w:rPr>
        <w:t>胶原蛋白</w:t>
      </w:r>
      <w:r>
        <w:rPr>
          <w:rFonts w:ascii="Times New Roman" w:eastAsia="仿宋_GB2312" w:hAnsi="Times New Roman" w:cs="Times New Roman"/>
          <w:sz w:val="32"/>
          <w:szCs w:val="32"/>
        </w:rPr>
        <w:t>高级结构。</w:t>
      </w:r>
    </w:p>
    <w:p w14:paraId="3AF6A68A"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材料理化特性分析需按照医疗器械制备工艺和特点，结合其风险控制要求进行相关研究，建议对如下常规理化项目进行研究，例如氨基酸序列、蛋白空间结构、剂型</w:t>
      </w:r>
      <w:r>
        <w:rPr>
          <w:rFonts w:ascii="Times New Roman" w:eastAsia="仿宋_GB2312" w:hAnsi="Times New Roman" w:cs="Times New Roman"/>
          <w:color w:val="000000"/>
          <w:kern w:val="0"/>
          <w:sz w:val="32"/>
          <w:szCs w:val="32"/>
        </w:rPr>
        <w:t>（如溶液、冻干粉、凝胶、纤维、海绵等）</w:t>
      </w:r>
      <w:r>
        <w:rPr>
          <w:rFonts w:ascii="Times New Roman" w:eastAsia="仿宋_GB2312" w:hAnsi="Times New Roman" w:cs="Times New Roman"/>
          <w:sz w:val="32"/>
          <w:szCs w:val="32"/>
        </w:rPr>
        <w:t>、胶原蛋白型别等特异性性能，同时结合医疗器械特点，完善理化性能指标要求。</w:t>
      </w:r>
    </w:p>
    <w:p w14:paraId="235FD4A0"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需根据不同的</w:t>
      </w:r>
      <w:r>
        <w:rPr>
          <w:rFonts w:ascii="Times New Roman" w:eastAsia="仿宋_GB2312" w:hAnsi="Times New Roman" w:cs="Times New Roman" w:hint="eastAsia"/>
          <w:color w:val="000000"/>
          <w:kern w:val="0"/>
          <w:sz w:val="32"/>
          <w:szCs w:val="32"/>
        </w:rPr>
        <w:t>预期</w:t>
      </w:r>
      <w:r>
        <w:rPr>
          <w:rFonts w:ascii="Times New Roman" w:eastAsia="仿宋_GB2312" w:hAnsi="Times New Roman" w:cs="Times New Roman"/>
          <w:color w:val="000000"/>
          <w:kern w:val="0"/>
          <w:sz w:val="32"/>
          <w:szCs w:val="32"/>
        </w:rPr>
        <w:t>用途</w:t>
      </w:r>
      <w:r>
        <w:rPr>
          <w:rFonts w:ascii="仿宋_GB2312" w:eastAsia="仿宋_GB2312" w:hAnsi="宋体" w:cs="宋体" w:hint="eastAsia"/>
          <w:color w:val="000000"/>
          <w:kern w:val="0"/>
          <w:sz w:val="30"/>
          <w:szCs w:val="30"/>
        </w:rPr>
        <w:t>及使用部位、</w:t>
      </w:r>
      <w:r>
        <w:rPr>
          <w:rFonts w:ascii="Times New Roman" w:eastAsia="仿宋_GB2312" w:hAnsi="Times New Roman" w:cs="Times New Roman"/>
          <w:color w:val="000000"/>
          <w:kern w:val="0"/>
          <w:sz w:val="32"/>
          <w:szCs w:val="32"/>
        </w:rPr>
        <w:t>不同生产工艺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预期使用效果和最终医疗器械的状态，选择适用的指标；根据胶原蛋白材料是否经过交联或化学修饰，宜提供交联剂或修饰剂的残留量、降解周期等性能的检测指标，提供相应的检测报告。</w:t>
      </w:r>
    </w:p>
    <w:p w14:paraId="2E6CC575"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检测的必要性和纯度</w:t>
      </w:r>
      <w:r>
        <w:rPr>
          <w:rFonts w:ascii="Times New Roman" w:eastAsia="仿宋_GB2312" w:hAnsi="Times New Roman" w:cs="Times New Roman" w:hint="eastAsia"/>
          <w:color w:val="000000"/>
          <w:kern w:val="0"/>
          <w:sz w:val="32"/>
          <w:szCs w:val="32"/>
        </w:rPr>
        <w:t>等指标</w:t>
      </w:r>
      <w:r>
        <w:rPr>
          <w:rFonts w:ascii="Times New Roman" w:eastAsia="仿宋_GB2312" w:hAnsi="Times New Roman" w:cs="Times New Roman"/>
          <w:color w:val="000000"/>
          <w:kern w:val="0"/>
          <w:sz w:val="32"/>
          <w:szCs w:val="32"/>
        </w:rPr>
        <w:t>要求取决于胶原蛋白材料性质和用途、生产和纯化工艺及生产工艺的经验等多种因素。新的分析技术及对现有技术的改进正在不断进行，适当时应使用这些新的技术。</w:t>
      </w:r>
    </w:p>
    <w:p w14:paraId="1DDFF059"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890" w:name="_Toc110418929"/>
      <w:bookmarkStart w:id="891" w:name="_Toc110419068"/>
      <w:bookmarkStart w:id="892" w:name="_Toc118298906"/>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鉴别</w:t>
      </w:r>
      <w:bookmarkEnd w:id="890"/>
      <w:bookmarkEnd w:id="891"/>
      <w:bookmarkEnd w:id="892"/>
    </w:p>
    <w:p w14:paraId="33144DD1"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893" w:name="_Toc110418930"/>
      <w:bookmarkStart w:id="894" w:name="_Toc110419069"/>
      <w:bookmarkStart w:id="895" w:name="_Toc118298907"/>
      <w:r>
        <w:rPr>
          <w:rFonts w:ascii="Times New Roman" w:eastAsia="仿宋_GB2312" w:hAnsi="Times New Roman" w:cs="Times New Roman"/>
          <w:kern w:val="0"/>
          <w:sz w:val="32"/>
          <w:szCs w:val="32"/>
        </w:rPr>
        <w:t>1.1</w:t>
      </w:r>
      <w:r>
        <w:rPr>
          <w:rFonts w:ascii="Times New Roman" w:eastAsia="仿宋_GB2312" w:hAnsi="Times New Roman" w:cs="Times New Roman"/>
          <w:kern w:val="0"/>
          <w:sz w:val="32"/>
          <w:szCs w:val="32"/>
        </w:rPr>
        <w:t>氨基酸序列及覆盖度</w:t>
      </w:r>
      <w:bookmarkEnd w:id="893"/>
      <w:bookmarkEnd w:id="894"/>
      <w:bookmarkEnd w:id="895"/>
    </w:p>
    <w:p w14:paraId="2CFA095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首先需明确氨基酸序列的选择依据，如为特定氨基酸序列片段组成的，还需明确片段重复次数及依据。需采用综合的方法测定目标</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的氨基酸序列，并与其基因序列对应的理论氨基酸序列进行比较验证。肽段覆盖率的检测结果应为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覆盖，末端氨基酸序列检测结果应与理论序列完全一致。</w:t>
      </w:r>
    </w:p>
    <w:p w14:paraId="0F453436"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如适用，目标</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的理论氨基酸序列应包括二硫键连接方式。氨基酸序列测定还应考虑可能存在的</w:t>
      </w:r>
      <w:r>
        <w:rPr>
          <w:rFonts w:ascii="Times New Roman" w:eastAsia="仿宋_GB2312" w:hAnsi="Times New Roman" w:cs="Times New Roman"/>
          <w:sz w:val="32"/>
          <w:szCs w:val="32"/>
        </w:rPr>
        <w:t>N</w:t>
      </w:r>
      <w:r>
        <w:rPr>
          <w:rFonts w:ascii="Times New Roman" w:eastAsia="仿宋_GB2312" w:hAnsi="Times New Roman" w:cs="Times New Roman"/>
          <w:sz w:val="32"/>
          <w:szCs w:val="32"/>
        </w:rPr>
        <w:t>端甲硫氨酸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如大肠杆菌来源的胶原蛋白材料），信号肽或前导序列和其他可能的</w:t>
      </w:r>
      <w:r>
        <w:rPr>
          <w:rFonts w:ascii="Times New Roman" w:eastAsia="仿宋_GB2312" w:hAnsi="Times New Roman" w:cs="Times New Roman"/>
          <w:sz w:val="32"/>
          <w:szCs w:val="32"/>
        </w:rPr>
        <w:t>N</w:t>
      </w:r>
      <w:r>
        <w:rPr>
          <w:rFonts w:ascii="Times New Roman" w:eastAsia="仿宋_GB2312" w:hAnsi="Times New Roman" w:cs="Times New Roman"/>
          <w:sz w:val="32"/>
          <w:szCs w:val="32"/>
        </w:rPr>
        <w:t>端、</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端修饰（如乙酰化、酰胺化或者由于外肽酶导致的部分降解以及</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端加工、</w:t>
      </w:r>
      <w:r>
        <w:rPr>
          <w:rFonts w:ascii="Times New Roman" w:eastAsia="仿宋_GB2312" w:hAnsi="Times New Roman" w:cs="Times New Roman"/>
          <w:sz w:val="32"/>
          <w:szCs w:val="32"/>
        </w:rPr>
        <w:t>N</w:t>
      </w:r>
      <w:r>
        <w:rPr>
          <w:rFonts w:ascii="Times New Roman" w:eastAsia="仿宋_GB2312" w:hAnsi="Times New Roman" w:cs="Times New Roman"/>
          <w:sz w:val="32"/>
          <w:szCs w:val="32"/>
        </w:rPr>
        <w:t>端焦谷氨酸等），以及各种其他异质性（如脱酰胺化、氧化、异构化、碎片化、二硫键错配、</w:t>
      </w:r>
      <w:r>
        <w:rPr>
          <w:rFonts w:ascii="Times New Roman" w:eastAsia="仿宋_GB2312" w:hAnsi="Times New Roman" w:cs="Times New Roman"/>
          <w:sz w:val="32"/>
          <w:szCs w:val="32"/>
        </w:rPr>
        <w:t>N-</w:t>
      </w:r>
      <w:r>
        <w:rPr>
          <w:rFonts w:ascii="Times New Roman" w:eastAsia="仿宋_GB2312" w:hAnsi="Times New Roman" w:cs="Times New Roman"/>
          <w:sz w:val="32"/>
          <w:szCs w:val="32"/>
        </w:rPr>
        <w:t>连接和</w:t>
      </w:r>
      <w:r>
        <w:rPr>
          <w:rFonts w:ascii="Times New Roman" w:eastAsia="仿宋_GB2312" w:hAnsi="Times New Roman" w:cs="Times New Roman"/>
          <w:sz w:val="32"/>
          <w:szCs w:val="32"/>
        </w:rPr>
        <w:t>O-</w:t>
      </w:r>
      <w:r>
        <w:rPr>
          <w:rFonts w:ascii="Times New Roman" w:eastAsia="仿宋_GB2312" w:hAnsi="Times New Roman" w:cs="Times New Roman"/>
          <w:sz w:val="32"/>
          <w:szCs w:val="32"/>
        </w:rPr>
        <w:t>连接的寡糖、糖基化、聚集等）。</w:t>
      </w:r>
    </w:p>
    <w:p w14:paraId="6CF0BAC8"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896" w:name="_Toc110418931"/>
      <w:bookmarkStart w:id="897" w:name="_Toc110419070"/>
      <w:bookmarkStart w:id="898" w:name="_Toc118298908"/>
      <w:r>
        <w:rPr>
          <w:rFonts w:ascii="Times New Roman" w:eastAsia="仿宋_GB2312" w:hAnsi="Times New Roman" w:cs="Times New Roman"/>
          <w:sz w:val="32"/>
          <w:szCs w:val="32"/>
        </w:rPr>
        <w:t>1.1.1</w:t>
      </w:r>
      <w:r>
        <w:rPr>
          <w:rFonts w:ascii="Times New Roman" w:eastAsia="仿宋_GB2312" w:hAnsi="Times New Roman" w:cs="Times New Roman"/>
          <w:sz w:val="32"/>
          <w:szCs w:val="32"/>
        </w:rPr>
        <w:t>氨基酸组成</w:t>
      </w:r>
      <w:bookmarkEnd w:id="896"/>
      <w:bookmarkEnd w:id="897"/>
      <w:bookmarkEnd w:id="898"/>
      <w:r>
        <w:rPr>
          <w:rFonts w:ascii="Times New Roman" w:eastAsia="仿宋_GB2312" w:hAnsi="Times New Roman" w:cs="Times New Roman"/>
          <w:sz w:val="32"/>
          <w:szCs w:val="32"/>
        </w:rPr>
        <w:t xml:space="preserve"> </w:t>
      </w:r>
    </w:p>
    <w:p w14:paraId="6A3A6937"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使用各种水解法和分析手段测定氨基酸的组成，并与目的蛋白基因序列推导的氨基酸组成或天然异构体比较。如需要时应考虑分子量的大小。多数情况下，氨基酸组成分析对肽段和小蛋白可提供有价值的结构资料，但对大蛋白一般意义较小。在多数情况下，氨基酸定量分析数据可用于确定蛋白含量。</w:t>
      </w:r>
    </w:p>
    <w:p w14:paraId="5DE345CF"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899" w:name="_Toc110419071"/>
      <w:bookmarkStart w:id="900" w:name="_Toc110418932"/>
      <w:bookmarkStart w:id="901" w:name="_Toc118298909"/>
      <w:r>
        <w:rPr>
          <w:rFonts w:ascii="Times New Roman" w:eastAsia="仿宋_GB2312" w:hAnsi="Times New Roman" w:cs="Times New Roman"/>
          <w:sz w:val="32"/>
          <w:szCs w:val="32"/>
        </w:rPr>
        <w:t>1.1.2</w:t>
      </w:r>
      <w:r>
        <w:rPr>
          <w:rFonts w:ascii="Times New Roman" w:eastAsia="仿宋_GB2312" w:hAnsi="Times New Roman" w:cs="Times New Roman"/>
          <w:sz w:val="32"/>
          <w:szCs w:val="32"/>
        </w:rPr>
        <w:t>氨基酸末端序列</w:t>
      </w:r>
      <w:bookmarkEnd w:id="899"/>
      <w:bookmarkEnd w:id="900"/>
      <w:bookmarkEnd w:id="901"/>
      <w:r>
        <w:rPr>
          <w:rFonts w:ascii="Times New Roman" w:eastAsia="仿宋_GB2312" w:hAnsi="Times New Roman" w:cs="Times New Roman"/>
          <w:sz w:val="32"/>
          <w:szCs w:val="32"/>
        </w:rPr>
        <w:t xml:space="preserve"> </w:t>
      </w:r>
    </w:p>
    <w:p w14:paraId="72FA0670"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氨基酸末端分析用于鉴别</w:t>
      </w:r>
      <w:r>
        <w:rPr>
          <w:rFonts w:ascii="Times New Roman" w:eastAsia="仿宋_GB2312" w:hAnsi="Times New Roman" w:cs="Times New Roman"/>
          <w:sz w:val="32"/>
          <w:szCs w:val="32"/>
        </w:rPr>
        <w:t>N-</w:t>
      </w:r>
      <w:r>
        <w:rPr>
          <w:rFonts w:ascii="Times New Roman" w:eastAsia="仿宋_GB2312" w:hAnsi="Times New Roman" w:cs="Times New Roman"/>
          <w:sz w:val="32"/>
          <w:szCs w:val="32"/>
        </w:rPr>
        <w:t>端和</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端氨基酸的性质和同质性。若发现目的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的末端氨基酸发生改变时，应使用适当的分析手段判定变异体的相应变异数量。应将这些氨基酸末端序列与来自目的</w:t>
      </w:r>
      <w:r>
        <w:rPr>
          <w:rFonts w:ascii="Times New Roman" w:eastAsia="仿宋_GB2312" w:hAnsi="Times New Roman" w:cs="Times New Roman"/>
          <w:color w:val="000000"/>
          <w:kern w:val="0"/>
          <w:sz w:val="32"/>
          <w:szCs w:val="32"/>
        </w:rPr>
        <w:t>胶原蛋白</w:t>
      </w:r>
      <w:r>
        <w:rPr>
          <w:rFonts w:ascii="Times New Roman" w:eastAsia="仿宋_GB2312" w:hAnsi="Times New Roman" w:cs="Times New Roman"/>
          <w:sz w:val="32"/>
          <w:szCs w:val="32"/>
        </w:rPr>
        <w:t>基因序列推导的氨基酸末端序列进行比较。用氨基酸序列分析仪或质谱法测定</w:t>
      </w:r>
      <w:r>
        <w:rPr>
          <w:rFonts w:ascii="Times New Roman" w:eastAsia="仿宋_GB2312" w:hAnsi="Times New Roman" w:cs="Times New Roman"/>
          <w:sz w:val="32"/>
          <w:szCs w:val="32"/>
        </w:rPr>
        <w:t>N</w:t>
      </w:r>
      <w:r>
        <w:rPr>
          <w:rFonts w:ascii="Times New Roman" w:eastAsia="仿宋_GB2312" w:hAnsi="Times New Roman" w:cs="Times New Roman"/>
          <w:sz w:val="32"/>
          <w:szCs w:val="32"/>
        </w:rPr>
        <w:t>端和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端氨基酸序列，其结果应符合理论预测（每年应至少做一次）。</w:t>
      </w:r>
    </w:p>
    <w:p w14:paraId="7CD5FAA2"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02" w:name="_Toc110419072"/>
      <w:bookmarkStart w:id="903" w:name="_Toc110418933"/>
      <w:bookmarkStart w:id="904" w:name="_Toc118298910"/>
      <w:r>
        <w:rPr>
          <w:rFonts w:ascii="Times New Roman" w:eastAsia="仿宋_GB2312" w:hAnsi="Times New Roman" w:cs="Times New Roman"/>
          <w:kern w:val="0"/>
          <w:sz w:val="32"/>
          <w:szCs w:val="32"/>
        </w:rPr>
        <w:t xml:space="preserve">1.2 </w:t>
      </w:r>
      <w:r>
        <w:rPr>
          <w:rFonts w:ascii="Times New Roman" w:eastAsia="仿宋_GB2312" w:hAnsi="Times New Roman" w:cs="Times New Roman"/>
          <w:kern w:val="0"/>
          <w:sz w:val="32"/>
          <w:szCs w:val="32"/>
        </w:rPr>
        <w:t>肽图</w:t>
      </w:r>
      <w:bookmarkEnd w:id="902"/>
      <w:bookmarkEnd w:id="903"/>
      <w:bookmarkEnd w:id="904"/>
    </w:p>
    <w:p w14:paraId="37FD141C"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肽图检查法</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第一法</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胰蛋白酶裂解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反相高效液相色谱法进行测定，建立</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标准肽图。</w:t>
      </w:r>
    </w:p>
    <w:p w14:paraId="02F9485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推荐利用四极杆飞行时间串联质谱仪（</w:t>
      </w:r>
      <w:r>
        <w:rPr>
          <w:rFonts w:ascii="Times New Roman" w:eastAsia="仿宋_GB2312" w:hAnsi="Times New Roman" w:cs="Times New Roman"/>
          <w:sz w:val="32"/>
          <w:szCs w:val="32"/>
        </w:rPr>
        <w:t>Q-TOF MS</w:t>
      </w:r>
      <w:r>
        <w:rPr>
          <w:rFonts w:ascii="Times New Roman" w:eastAsia="仿宋_GB2312" w:hAnsi="Times New Roman" w:cs="Times New Roman"/>
          <w:sz w:val="32"/>
          <w:szCs w:val="32"/>
        </w:rPr>
        <w:t>）建立标准肽图，作为</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的指纹图谱，用于材料的批间一致性和稳定性评价，以及材料特异性的鉴别。</w:t>
      </w:r>
    </w:p>
    <w:p w14:paraId="305A21F4"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应用合适的酶或化学试剂使所选的材料片段产生不连续多肽，应用</w:t>
      </w:r>
      <w:r>
        <w:rPr>
          <w:rFonts w:ascii="Times New Roman" w:eastAsia="仿宋_GB2312" w:hAnsi="Times New Roman" w:cs="Times New Roman"/>
          <w:sz w:val="32"/>
          <w:szCs w:val="32"/>
        </w:rPr>
        <w:t>HPLC</w:t>
      </w:r>
      <w:r>
        <w:rPr>
          <w:rFonts w:ascii="Times New Roman" w:eastAsia="仿宋_GB2312" w:hAnsi="Times New Roman" w:cs="Times New Roman"/>
          <w:sz w:val="32"/>
          <w:szCs w:val="32"/>
        </w:rPr>
        <w:t>或其他适当的方法分析该多肽片段。应尽量应用氨基酸组成分析技术，</w:t>
      </w:r>
      <w:r>
        <w:rPr>
          <w:rFonts w:ascii="Times New Roman" w:eastAsia="仿宋_GB2312" w:hAnsi="Times New Roman" w:cs="Times New Roman"/>
          <w:sz w:val="32"/>
          <w:szCs w:val="32"/>
        </w:rPr>
        <w:t>N-</w:t>
      </w:r>
      <w:r>
        <w:rPr>
          <w:rFonts w:ascii="Times New Roman" w:eastAsia="仿宋_GB2312" w:hAnsi="Times New Roman" w:cs="Times New Roman"/>
          <w:sz w:val="32"/>
          <w:szCs w:val="32"/>
        </w:rPr>
        <w:t>末端测序或质谱法鉴别多肽片段。对材料成品放行来说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经验证的肽谱分析经常是确证目的材料结构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鉴别的适当方法。</w:t>
      </w:r>
    </w:p>
    <w:p w14:paraId="0CD56563"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05" w:name="_Toc110418934"/>
      <w:bookmarkStart w:id="906" w:name="_Toc110419073"/>
      <w:bookmarkStart w:id="907" w:name="_Toc118298911"/>
      <w:r>
        <w:rPr>
          <w:rFonts w:ascii="Times New Roman" w:eastAsia="仿宋_GB2312" w:hAnsi="Times New Roman" w:cs="Times New Roman"/>
          <w:kern w:val="0"/>
          <w:sz w:val="32"/>
          <w:szCs w:val="32"/>
        </w:rPr>
        <w:t xml:space="preserve">1.3 </w:t>
      </w:r>
      <w:bookmarkStart w:id="908" w:name="_Toc110418935"/>
      <w:bookmarkStart w:id="909" w:name="_Toc110419074"/>
      <w:bookmarkEnd w:id="905"/>
      <w:bookmarkEnd w:id="906"/>
      <w:r>
        <w:rPr>
          <w:rFonts w:ascii="Times New Roman" w:eastAsia="仿宋_GB2312" w:hAnsi="Times New Roman" w:cs="Times New Roman"/>
          <w:kern w:val="0"/>
          <w:sz w:val="32"/>
          <w:szCs w:val="32"/>
        </w:rPr>
        <w:t>分子量</w:t>
      </w:r>
      <w:bookmarkEnd w:id="907"/>
      <w:bookmarkEnd w:id="908"/>
      <w:bookmarkEnd w:id="909"/>
    </w:p>
    <w:p w14:paraId="719F45FA"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对申报医疗器械所用</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可参照《中华人民共和国药典》高效液相色谱法、电泳法第五法</w:t>
      </w:r>
      <w:r>
        <w:rPr>
          <w:rFonts w:ascii="Times New Roman" w:eastAsia="仿宋_GB2312" w:hAnsi="Times New Roman" w:cs="Times New Roman"/>
          <w:sz w:val="32"/>
          <w:szCs w:val="32"/>
        </w:rPr>
        <w:t>SDS-</w:t>
      </w:r>
      <w:r>
        <w:rPr>
          <w:rFonts w:ascii="Times New Roman" w:eastAsia="仿宋_GB2312" w:hAnsi="Times New Roman" w:cs="Times New Roman"/>
          <w:sz w:val="32"/>
          <w:szCs w:val="32"/>
        </w:rPr>
        <w:t>聚丙烯酰氨凝胶电泳法，以及具有</w:t>
      </w:r>
      <w:r>
        <w:rPr>
          <w:rFonts w:ascii="Times New Roman" w:eastAsia="仿宋_GB2312" w:hAnsi="Times New Roman" w:cs="Times New Roman"/>
          <w:sz w:val="32"/>
          <w:szCs w:val="32"/>
        </w:rPr>
        <w:t>Marker</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SDS-PAGE</w:t>
      </w:r>
      <w:r>
        <w:rPr>
          <w:rFonts w:ascii="Times New Roman" w:eastAsia="仿宋_GB2312" w:hAnsi="Times New Roman" w:cs="Times New Roman"/>
          <w:sz w:val="32"/>
          <w:szCs w:val="32"/>
        </w:rPr>
        <w:t>方法、基质辅助激光解析电离飞行时间质谱方法建立分子量及分布检测方法，也可以运用其他适当技术测定分子量，如分子筛层析法等。</w:t>
      </w:r>
    </w:p>
    <w:p w14:paraId="064C7EC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高分辨质谱法分子量应与参比品一致；</w:t>
      </w:r>
      <w:r>
        <w:rPr>
          <w:rFonts w:ascii="Times New Roman" w:eastAsia="仿宋_GB2312" w:hAnsi="Times New Roman" w:cs="Times New Roman"/>
          <w:sz w:val="32"/>
          <w:szCs w:val="32"/>
        </w:rPr>
        <w:t>SDS-</w:t>
      </w:r>
      <w:r>
        <w:rPr>
          <w:rFonts w:ascii="Times New Roman" w:eastAsia="仿宋_GB2312" w:hAnsi="Times New Roman" w:cs="Times New Roman"/>
          <w:sz w:val="32"/>
          <w:szCs w:val="32"/>
        </w:rPr>
        <w:t>聚丙烯酰胺凝胶电泳法分子量电泳条带位置应与参比品一致。</w:t>
      </w:r>
    </w:p>
    <w:p w14:paraId="3FA98FC2"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10" w:name="_Toc110419075"/>
      <w:bookmarkStart w:id="911" w:name="_Toc110418936"/>
      <w:bookmarkStart w:id="912" w:name="_Toc118298912"/>
      <w:r>
        <w:rPr>
          <w:rFonts w:ascii="Times New Roman" w:eastAsia="仿宋_GB2312" w:hAnsi="Times New Roman" w:cs="Times New Roman"/>
          <w:kern w:val="0"/>
          <w:sz w:val="32"/>
          <w:szCs w:val="32"/>
        </w:rPr>
        <w:t xml:space="preserve">1.4 </w:t>
      </w:r>
      <w:r>
        <w:rPr>
          <w:rFonts w:ascii="Times New Roman" w:eastAsia="仿宋_GB2312" w:hAnsi="Times New Roman" w:cs="Times New Roman"/>
          <w:kern w:val="0"/>
          <w:sz w:val="32"/>
          <w:szCs w:val="32"/>
        </w:rPr>
        <w:t>等电点</w:t>
      </w:r>
      <w:bookmarkEnd w:id="910"/>
      <w:bookmarkEnd w:id="911"/>
      <w:bookmarkEnd w:id="912"/>
    </w:p>
    <w:p w14:paraId="66FCE70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电泳法第六法（等电聚焦电泳法）或</w:t>
      </w:r>
      <w:r>
        <w:rPr>
          <w:rFonts w:ascii="Times New Roman" w:eastAsia="仿宋_GB2312" w:hAnsi="Times New Roman" w:cs="Times New Roman"/>
          <w:sz w:val="32"/>
          <w:szCs w:val="32"/>
        </w:rPr>
        <w:t>0542</w:t>
      </w:r>
      <w:r>
        <w:rPr>
          <w:rFonts w:ascii="Times New Roman" w:eastAsia="仿宋_GB2312" w:hAnsi="Times New Roman" w:cs="Times New Roman"/>
          <w:sz w:val="32"/>
          <w:szCs w:val="32"/>
        </w:rPr>
        <w:t>毛细管电泳法进行检测，等电点应在标示范围内，也可以运用其他适当的方法测定。</w:t>
      </w:r>
    </w:p>
    <w:p w14:paraId="0F380AC8"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13" w:name="_Toc110419076"/>
      <w:bookmarkStart w:id="914" w:name="_Toc110418937"/>
      <w:bookmarkStart w:id="915" w:name="_Toc118298913"/>
      <w:r>
        <w:rPr>
          <w:rFonts w:ascii="Times New Roman" w:eastAsia="仿宋_GB2312" w:hAnsi="Times New Roman" w:cs="Times New Roman"/>
          <w:kern w:val="0"/>
          <w:sz w:val="32"/>
          <w:szCs w:val="32"/>
        </w:rPr>
        <w:t xml:space="preserve">1.5 </w:t>
      </w:r>
      <w:r>
        <w:rPr>
          <w:rFonts w:ascii="Times New Roman" w:eastAsia="仿宋_GB2312" w:hAnsi="Times New Roman" w:cs="Times New Roman"/>
          <w:kern w:val="0"/>
          <w:sz w:val="32"/>
          <w:szCs w:val="32"/>
        </w:rPr>
        <w:t>巯基和二硫键</w:t>
      </w:r>
      <w:bookmarkEnd w:id="913"/>
      <w:bookmarkEnd w:id="914"/>
      <w:bookmarkEnd w:id="915"/>
    </w:p>
    <w:p w14:paraId="74024B35"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如果目的胶原蛋白材料的基因序列存在半胱氨酸残基时，应尽可能确定巯基和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或二硫键的数量和位置。使用方法包括肽谱分析（还原和非还原条件下）、质谱测定法或其他适当的方法。</w:t>
      </w:r>
    </w:p>
    <w:p w14:paraId="170C2512"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16" w:name="_Toc110419077"/>
      <w:bookmarkStart w:id="917" w:name="_Toc110418938"/>
      <w:bookmarkStart w:id="918" w:name="_Toc118298914"/>
      <w:r>
        <w:rPr>
          <w:rFonts w:ascii="Times New Roman" w:eastAsia="仿宋_GB2312" w:hAnsi="Times New Roman" w:cs="Times New Roman"/>
          <w:kern w:val="0"/>
          <w:sz w:val="32"/>
          <w:szCs w:val="32"/>
        </w:rPr>
        <w:t xml:space="preserve">1.6 </w:t>
      </w:r>
      <w:r>
        <w:rPr>
          <w:rFonts w:ascii="Times New Roman" w:eastAsia="仿宋_GB2312" w:hAnsi="Times New Roman" w:cs="Times New Roman"/>
          <w:kern w:val="0"/>
          <w:sz w:val="32"/>
          <w:szCs w:val="32"/>
        </w:rPr>
        <w:t>碳水化合物结构</w:t>
      </w:r>
      <w:bookmarkEnd w:id="916"/>
      <w:bookmarkEnd w:id="917"/>
      <w:bookmarkEnd w:id="918"/>
    </w:p>
    <w:p w14:paraId="47F6DDE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ab/>
      </w:r>
      <w:r>
        <w:rPr>
          <w:rFonts w:ascii="Times New Roman" w:eastAsia="仿宋_GB2312" w:hAnsi="Times New Roman" w:cs="Times New Roman"/>
          <w:sz w:val="32"/>
          <w:szCs w:val="32"/>
        </w:rPr>
        <w:t>应测定糖蛋白中碳水化合物含量（中性糖、氨基糖、唾液酸）。此外，尽可能分析碳水化合物的结构、寡糖形态（长链状）和多肽的糖基化位点。</w:t>
      </w:r>
    </w:p>
    <w:p w14:paraId="64ABFA3A"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19" w:name="_Toc110418939"/>
      <w:bookmarkStart w:id="920" w:name="_Toc110419078"/>
      <w:bookmarkStart w:id="921" w:name="_Toc118298915"/>
      <w:r>
        <w:rPr>
          <w:rFonts w:ascii="Times New Roman" w:eastAsia="仿宋_GB2312" w:hAnsi="Times New Roman" w:cs="Times New Roman"/>
          <w:kern w:val="0"/>
          <w:sz w:val="32"/>
          <w:szCs w:val="32"/>
        </w:rPr>
        <w:t>1.7</w:t>
      </w:r>
      <w:r>
        <w:rPr>
          <w:rFonts w:ascii="Times New Roman" w:eastAsia="仿宋_GB2312" w:hAnsi="Times New Roman" w:cs="Times New Roman"/>
          <w:kern w:val="0"/>
          <w:sz w:val="32"/>
          <w:szCs w:val="32"/>
        </w:rPr>
        <w:t>消光系数（或克分子吸光度）</w:t>
      </w:r>
      <w:bookmarkEnd w:id="919"/>
      <w:bookmarkEnd w:id="920"/>
      <w:bookmarkEnd w:id="921"/>
    </w:p>
    <w:p w14:paraId="34AB60F5"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多数情况下，可取目的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UV/</w:t>
      </w:r>
      <w:r>
        <w:rPr>
          <w:rFonts w:ascii="Times New Roman" w:eastAsia="仿宋_GB2312" w:hAnsi="Times New Roman" w:cs="Times New Roman"/>
          <w:sz w:val="32"/>
          <w:szCs w:val="32"/>
        </w:rPr>
        <w:t>可见光波长处测定消光系数（或克分子吸光度）。消光系数的测定为使用</w:t>
      </w:r>
      <w:r>
        <w:rPr>
          <w:rFonts w:ascii="Times New Roman" w:eastAsia="仿宋_GB2312" w:hAnsi="Times New Roman" w:cs="Times New Roman"/>
          <w:sz w:val="32"/>
          <w:szCs w:val="32"/>
        </w:rPr>
        <w:t>UV/</w:t>
      </w:r>
      <w:r>
        <w:rPr>
          <w:rFonts w:ascii="Times New Roman" w:eastAsia="仿宋_GB2312" w:hAnsi="Times New Roman" w:cs="Times New Roman"/>
          <w:sz w:val="32"/>
          <w:szCs w:val="32"/>
        </w:rPr>
        <w:t>可见光或分光光度计检测已知蛋白含量的溶液，蛋白含量应用氨基酸组成分析技术或定氮法等方法测定。</w:t>
      </w:r>
    </w:p>
    <w:p w14:paraId="2DB36156"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22" w:name="_Toc110419079"/>
      <w:bookmarkStart w:id="923" w:name="_Toc110418940"/>
      <w:bookmarkStart w:id="924" w:name="_Toc118298916"/>
      <w:r>
        <w:rPr>
          <w:rFonts w:ascii="Times New Roman" w:eastAsia="仿宋_GB2312" w:hAnsi="Times New Roman" w:cs="Times New Roman"/>
          <w:kern w:val="0"/>
          <w:sz w:val="32"/>
          <w:szCs w:val="32"/>
        </w:rPr>
        <w:t>1.8</w:t>
      </w:r>
      <w:r>
        <w:rPr>
          <w:rFonts w:ascii="Times New Roman" w:eastAsia="仿宋_GB2312" w:hAnsi="Times New Roman" w:cs="Times New Roman"/>
          <w:kern w:val="0"/>
          <w:sz w:val="32"/>
          <w:szCs w:val="32"/>
        </w:rPr>
        <w:t>电泳图型</w:t>
      </w:r>
      <w:bookmarkEnd w:id="922"/>
      <w:bookmarkEnd w:id="923"/>
      <w:bookmarkEnd w:id="924"/>
    </w:p>
    <w:p w14:paraId="55A9DAE9"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应用</w:t>
      </w:r>
      <w:r>
        <w:rPr>
          <w:rFonts w:ascii="Times New Roman" w:eastAsia="仿宋_GB2312" w:hAnsi="Times New Roman" w:cs="Times New Roman"/>
          <w:sz w:val="32"/>
          <w:szCs w:val="32"/>
        </w:rPr>
        <w:t>PAGE</w:t>
      </w:r>
      <w:r>
        <w:rPr>
          <w:rFonts w:ascii="Times New Roman" w:eastAsia="仿宋_GB2312" w:hAnsi="Times New Roman" w:cs="Times New Roman"/>
          <w:sz w:val="32"/>
          <w:szCs w:val="32"/>
        </w:rPr>
        <w:t>电泳、等电聚焦、</w:t>
      </w:r>
      <w:r>
        <w:rPr>
          <w:rFonts w:ascii="Times New Roman" w:eastAsia="仿宋_GB2312" w:hAnsi="Times New Roman" w:cs="Times New Roman"/>
          <w:sz w:val="32"/>
          <w:szCs w:val="32"/>
        </w:rPr>
        <w:t>SDS</w:t>
      </w:r>
      <w:r>
        <w:rPr>
          <w:rFonts w:ascii="Times New Roman" w:eastAsia="仿宋_GB2312" w:hAnsi="Times New Roman" w:cs="Times New Roman"/>
          <w:sz w:val="32"/>
          <w:szCs w:val="32"/>
        </w:rPr>
        <w:t>－</w:t>
      </w:r>
      <w:r>
        <w:rPr>
          <w:rFonts w:ascii="Times New Roman" w:eastAsia="仿宋_GB2312" w:hAnsi="Times New Roman" w:cs="Times New Roman"/>
          <w:sz w:val="32"/>
          <w:szCs w:val="32"/>
        </w:rPr>
        <w:t>PAGE</w:t>
      </w:r>
      <w:r>
        <w:rPr>
          <w:rFonts w:ascii="Times New Roman" w:eastAsia="仿宋_GB2312" w:hAnsi="Times New Roman" w:cs="Times New Roman"/>
          <w:sz w:val="32"/>
          <w:szCs w:val="32"/>
        </w:rPr>
        <w:t>电泳、免疫印迹、毛细管电泳法或其他适当的方法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获得目的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的一致性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同一性和纯度的电泳图谱和数据。</w:t>
      </w:r>
    </w:p>
    <w:p w14:paraId="703FFF19"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25" w:name="_Toc110418941"/>
      <w:bookmarkStart w:id="926" w:name="_Toc110419080"/>
      <w:bookmarkStart w:id="927" w:name="_Toc118298917"/>
      <w:r>
        <w:rPr>
          <w:rFonts w:ascii="Times New Roman" w:eastAsia="仿宋_GB2312" w:hAnsi="Times New Roman" w:cs="Times New Roman"/>
          <w:kern w:val="0"/>
          <w:sz w:val="32"/>
          <w:szCs w:val="32"/>
        </w:rPr>
        <w:t>1.9</w:t>
      </w:r>
      <w:r>
        <w:rPr>
          <w:rFonts w:ascii="Times New Roman" w:eastAsia="仿宋_GB2312" w:hAnsi="Times New Roman" w:cs="Times New Roman"/>
          <w:kern w:val="0"/>
          <w:sz w:val="32"/>
          <w:szCs w:val="32"/>
        </w:rPr>
        <w:t>液相层析图谱</w:t>
      </w:r>
      <w:bookmarkEnd w:id="925"/>
      <w:bookmarkEnd w:id="926"/>
      <w:bookmarkEnd w:id="927"/>
    </w:p>
    <w:p w14:paraId="622A55D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r>
      <w:r>
        <w:rPr>
          <w:rFonts w:ascii="Times New Roman" w:eastAsia="仿宋_GB2312" w:hAnsi="Times New Roman" w:cs="Times New Roman"/>
          <w:sz w:val="32"/>
          <w:szCs w:val="32"/>
        </w:rPr>
        <w:t>应用分子筛层析、反相液相层析、离子交换液相层析、亲和层析或其他适当方法，获得目的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的一致性、同一性和纯度的层析图谱和数据。</w:t>
      </w:r>
    </w:p>
    <w:p w14:paraId="0D2C31BD"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928" w:name="_Toc110419082"/>
      <w:bookmarkStart w:id="929" w:name="_Toc110418943"/>
      <w:bookmarkStart w:id="930" w:name="_Toc118298918"/>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结构表征</w:t>
      </w:r>
      <w:bookmarkEnd w:id="928"/>
      <w:bookmarkEnd w:id="929"/>
      <w:bookmarkEnd w:id="930"/>
    </w:p>
    <w:p w14:paraId="737CD335"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31" w:name="_Toc110419083"/>
      <w:bookmarkStart w:id="932" w:name="_Toc110418944"/>
      <w:bookmarkStart w:id="933" w:name="_Toc118298919"/>
      <w:r>
        <w:rPr>
          <w:rFonts w:ascii="Times New Roman" w:eastAsia="仿宋_GB2312" w:hAnsi="Times New Roman" w:cs="Times New Roman"/>
          <w:kern w:val="0"/>
          <w:sz w:val="32"/>
          <w:szCs w:val="32"/>
        </w:rPr>
        <w:t xml:space="preserve">2.1 </w:t>
      </w:r>
      <w:r>
        <w:rPr>
          <w:rFonts w:ascii="Times New Roman" w:eastAsia="仿宋_GB2312" w:hAnsi="Times New Roman" w:cs="Times New Roman"/>
          <w:kern w:val="0"/>
          <w:sz w:val="32"/>
          <w:szCs w:val="32"/>
        </w:rPr>
        <w:t>氨基酸异质性分析</w:t>
      </w:r>
      <w:bookmarkEnd w:id="931"/>
      <w:bookmarkEnd w:id="932"/>
      <w:bookmarkEnd w:id="933"/>
    </w:p>
    <w:p w14:paraId="16BF9743"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34" w:name="_Toc110419084"/>
      <w:bookmarkStart w:id="935" w:name="_Toc110418945"/>
      <w:bookmarkStart w:id="936" w:name="_Toc118298920"/>
      <w:r>
        <w:rPr>
          <w:rFonts w:ascii="Times New Roman" w:eastAsia="仿宋_GB2312" w:hAnsi="Times New Roman" w:cs="Times New Roman"/>
          <w:sz w:val="32"/>
          <w:szCs w:val="32"/>
        </w:rPr>
        <w:t xml:space="preserve">2.1.1 </w:t>
      </w:r>
      <w:r>
        <w:rPr>
          <w:rFonts w:ascii="Times New Roman" w:eastAsia="仿宋_GB2312" w:hAnsi="Times New Roman" w:cs="Times New Roman"/>
          <w:sz w:val="32"/>
          <w:szCs w:val="32"/>
        </w:rPr>
        <w:t>脱酰胺化、氧化、糖谱</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糖基化修饰等</w:t>
      </w:r>
      <w:bookmarkEnd w:id="934"/>
      <w:bookmarkEnd w:id="935"/>
      <w:bookmarkEnd w:id="936"/>
    </w:p>
    <w:p w14:paraId="4F1A9452"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适用时，应按</w:t>
      </w:r>
      <w:r>
        <w:rPr>
          <w:rFonts w:ascii="Times New Roman" w:eastAsia="仿宋_GB2312" w:hAnsi="Times New Roman" w:cs="Times New Roman"/>
          <w:sz w:val="32"/>
          <w:szCs w:val="32"/>
        </w:rPr>
        <w:t>YY/T 1849</w:t>
      </w:r>
      <w:r>
        <w:rPr>
          <w:rFonts w:ascii="Times New Roman" w:eastAsia="仿宋_GB2312" w:hAnsi="Times New Roman" w:cs="Times New Roman"/>
          <w:sz w:val="32"/>
          <w:szCs w:val="32"/>
        </w:rPr>
        <w:t>《重组胶原蛋白》中的要求进行分析。</w:t>
      </w:r>
    </w:p>
    <w:p w14:paraId="49B8E35B"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37" w:name="_Toc110418946"/>
      <w:bookmarkStart w:id="938" w:name="_Toc110419085"/>
      <w:bookmarkStart w:id="939" w:name="_Toc118298921"/>
      <w:r>
        <w:rPr>
          <w:rFonts w:ascii="Times New Roman" w:eastAsia="仿宋_GB2312" w:hAnsi="Times New Roman" w:cs="Times New Roman"/>
          <w:sz w:val="32"/>
          <w:szCs w:val="32"/>
        </w:rPr>
        <w:t xml:space="preserve">2.1.2 </w:t>
      </w:r>
      <w:r>
        <w:rPr>
          <w:rFonts w:ascii="Times New Roman" w:eastAsia="仿宋_GB2312" w:hAnsi="Times New Roman" w:cs="Times New Roman"/>
          <w:sz w:val="32"/>
          <w:szCs w:val="32"/>
        </w:rPr>
        <w:t>脯氨酸羟基化</w:t>
      </w:r>
      <w:bookmarkEnd w:id="937"/>
      <w:bookmarkEnd w:id="938"/>
      <w:bookmarkEnd w:id="939"/>
    </w:p>
    <w:p w14:paraId="54F70488" w14:textId="77777777" w:rsidR="001B6A5B" w:rsidRDefault="00A41FA1">
      <w:pPr>
        <w:pStyle w:val="afb"/>
        <w:numPr>
          <w:ilvl w:val="255"/>
          <w:numId w:val="0"/>
        </w:numPr>
        <w:spacing w:line="520" w:lineRule="exact"/>
        <w:ind w:firstLineChars="200" w:firstLine="640"/>
        <w:rPr>
          <w:rFonts w:ascii="Times New Roman" w:eastAsia="仿宋_GB2312"/>
          <w:sz w:val="32"/>
          <w:szCs w:val="32"/>
        </w:rPr>
      </w:pPr>
      <w:r>
        <w:rPr>
          <w:rFonts w:ascii="Times New Roman" w:eastAsia="仿宋_GB2312"/>
          <w:sz w:val="32"/>
          <w:szCs w:val="32"/>
        </w:rPr>
        <w:t>若在设计是进行脯氨酸羟基化，</w:t>
      </w:r>
      <w:r>
        <w:rPr>
          <w:rFonts w:ascii="Times New Roman" w:eastAsia="仿宋_GB2312"/>
          <w:kern w:val="2"/>
          <w:sz w:val="32"/>
          <w:szCs w:val="32"/>
        </w:rPr>
        <w:t>应按</w:t>
      </w:r>
      <w:r>
        <w:rPr>
          <w:rFonts w:ascii="Times New Roman" w:eastAsia="仿宋_GB2312"/>
          <w:kern w:val="2"/>
          <w:sz w:val="32"/>
          <w:szCs w:val="32"/>
        </w:rPr>
        <w:t>YY/T 1849</w:t>
      </w:r>
      <w:r>
        <w:rPr>
          <w:rFonts w:ascii="Times New Roman" w:eastAsia="仿宋_GB2312"/>
          <w:kern w:val="2"/>
          <w:sz w:val="32"/>
          <w:szCs w:val="32"/>
        </w:rPr>
        <w:t>《重组胶原蛋白》中的规定进行分析，并规定</w:t>
      </w:r>
      <w:r>
        <w:rPr>
          <w:rFonts w:ascii="Times New Roman" w:eastAsia="仿宋_GB2312"/>
          <w:sz w:val="32"/>
          <w:szCs w:val="32"/>
        </w:rPr>
        <w:t>标示值。</w:t>
      </w:r>
    </w:p>
    <w:p w14:paraId="2375B385"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40" w:name="_Toc110418947"/>
      <w:bookmarkStart w:id="941" w:name="_Toc110419086"/>
      <w:bookmarkStart w:id="942" w:name="_Toc118298922"/>
      <w:r>
        <w:rPr>
          <w:rFonts w:ascii="Times New Roman" w:eastAsia="仿宋_GB2312" w:hAnsi="Times New Roman" w:cs="Times New Roman"/>
          <w:kern w:val="0"/>
          <w:sz w:val="32"/>
          <w:szCs w:val="32"/>
        </w:rPr>
        <w:t xml:space="preserve">2.2 </w:t>
      </w:r>
      <w:r>
        <w:rPr>
          <w:rFonts w:ascii="Times New Roman" w:eastAsia="仿宋_GB2312" w:hAnsi="Times New Roman" w:cs="Times New Roman"/>
          <w:kern w:val="0"/>
          <w:sz w:val="32"/>
          <w:szCs w:val="32"/>
        </w:rPr>
        <w:t>高级结构分析</w:t>
      </w:r>
      <w:bookmarkEnd w:id="940"/>
      <w:bookmarkEnd w:id="941"/>
      <w:bookmarkEnd w:id="942"/>
    </w:p>
    <w:p w14:paraId="7574AE2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鉴于高级结构与重组人源化胶原蛋白表现出的性能和功能密切相关，鼓励采用多种方法对高级结构进行研究分析，包括以下列举的方法及其他结构表征方法，如冷冻电镜、蛋白质晶体结构等方法。</w:t>
      </w:r>
    </w:p>
    <w:p w14:paraId="184B3C1C"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43" w:name="_Toc110418948"/>
      <w:bookmarkStart w:id="944" w:name="_Toc110419087"/>
      <w:bookmarkStart w:id="945" w:name="_Toc118298923"/>
      <w:r>
        <w:rPr>
          <w:rFonts w:ascii="Times New Roman" w:eastAsia="仿宋_GB2312" w:hAnsi="Times New Roman" w:cs="Times New Roman"/>
          <w:sz w:val="32"/>
          <w:szCs w:val="32"/>
        </w:rPr>
        <w:t>2.2.1</w:t>
      </w:r>
      <w:r>
        <w:rPr>
          <w:rFonts w:ascii="Times New Roman" w:eastAsia="仿宋_GB2312" w:hAnsi="Times New Roman" w:cs="Times New Roman"/>
          <w:sz w:val="32"/>
          <w:szCs w:val="32"/>
        </w:rPr>
        <w:t>三螺旋结构</w:t>
      </w:r>
      <w:bookmarkEnd w:id="943"/>
      <w:bookmarkEnd w:id="944"/>
      <w:bookmarkEnd w:id="945"/>
      <w:r>
        <w:rPr>
          <w:rFonts w:ascii="Times New Roman" w:eastAsia="仿宋_GB2312" w:hAnsi="Times New Roman" w:cs="Times New Roman"/>
          <w:sz w:val="32"/>
          <w:szCs w:val="32"/>
        </w:rPr>
        <w:t xml:space="preserve"> </w:t>
      </w:r>
    </w:p>
    <w:p w14:paraId="194DBB8A"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可采用圆二色谱在特定实验条件下的检测结果反映</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在该条件下可（否）具有形成三螺旋结构能力；可采用</w:t>
      </w:r>
      <w:r>
        <w:rPr>
          <w:rFonts w:ascii="Times New Roman" w:eastAsia="仿宋_GB2312" w:hAnsi="Times New Roman" w:cs="Times New Roman"/>
          <w:sz w:val="32"/>
          <w:szCs w:val="32"/>
        </w:rPr>
        <w:t>X</w:t>
      </w:r>
      <w:r>
        <w:rPr>
          <w:rFonts w:ascii="Times New Roman" w:eastAsia="仿宋_GB2312" w:hAnsi="Times New Roman" w:cs="Times New Roman"/>
          <w:sz w:val="32"/>
          <w:szCs w:val="32"/>
        </w:rPr>
        <w:t>射线晶体学技术或冷冻电镜技术在原子结构水平考证</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或其包含的特定氨基酸序列的三螺旋结构特性，计算有结构信息的序列占整个蛋白序列的百分比</w:t>
      </w:r>
      <w:r>
        <w:rPr>
          <w:rFonts w:ascii="Times New Roman" w:eastAsia="仿宋_GB2312" w:hAnsi="Times New Roman" w:cs="Times New Roman"/>
          <w:sz w:val="32"/>
          <w:szCs w:val="32"/>
        </w:rPr>
        <w:t>X%</w:t>
      </w:r>
      <w:r>
        <w:rPr>
          <w:rFonts w:ascii="Times New Roman" w:eastAsia="仿宋_GB2312" w:hAnsi="Times New Roman" w:cs="Times New Roman"/>
          <w:sz w:val="32"/>
          <w:szCs w:val="32"/>
        </w:rPr>
        <w:t>；可采用差示扫描量热谱检测</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结构变化的热效应辅助说明</w:t>
      </w:r>
      <w:r>
        <w:rPr>
          <w:rFonts w:ascii="Times New Roman" w:eastAsia="仿宋_GB2312" w:hAnsi="Times New Roman" w:cs="Times New Roman"/>
          <w:color w:val="000000"/>
          <w:kern w:val="0"/>
          <w:sz w:val="32"/>
          <w:szCs w:val="32"/>
        </w:rPr>
        <w:t>胶原蛋白</w:t>
      </w:r>
      <w:r>
        <w:rPr>
          <w:rFonts w:ascii="Times New Roman" w:eastAsia="仿宋_GB2312" w:hAnsi="Times New Roman" w:cs="Times New Roman"/>
          <w:sz w:val="32"/>
          <w:szCs w:val="32"/>
        </w:rPr>
        <w:t>的高级结构特征；可采用红外光谱进行结构分析，其非特征区（如：酰胺</w:t>
      </w: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sz w:val="32"/>
          <w:szCs w:val="32"/>
        </w:rPr>
        <w:t>b</w:t>
      </w:r>
      <w:r>
        <w:rPr>
          <w:rFonts w:ascii="Times New Roman" w:eastAsia="仿宋_GB2312" w:hAnsi="Times New Roman" w:cs="Times New Roman"/>
          <w:sz w:val="32"/>
          <w:szCs w:val="32"/>
        </w:rPr>
        <w:t>）和特征区（如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酰胺</w:t>
      </w:r>
      <w:r>
        <w:rPr>
          <w:rFonts w:ascii="Times New Roman" w:eastAsia="仿宋_GB2312" w:hAnsi="Times New Roman" w:cs="Times New Roman"/>
          <w:sz w:val="32"/>
          <w:szCs w:val="32"/>
        </w:rPr>
        <w:t>I</w:t>
      </w:r>
      <w:r>
        <w:rPr>
          <w:rFonts w:ascii="Times New Roman" w:eastAsia="仿宋_GB2312" w:hAnsi="Times New Roman" w:cs="Times New Roman"/>
          <w:sz w:val="32"/>
          <w:szCs w:val="32"/>
        </w:rPr>
        <w:t>、酰胺</w:t>
      </w:r>
      <w:r>
        <w:rPr>
          <w:rFonts w:ascii="Times New Roman" w:eastAsia="仿宋_GB2312" w:hAnsi="Times New Roman" w:cs="Times New Roman"/>
          <w:sz w:val="32"/>
          <w:szCs w:val="32"/>
        </w:rPr>
        <w:t>II</w:t>
      </w:r>
      <w:r>
        <w:rPr>
          <w:rFonts w:ascii="Times New Roman" w:eastAsia="仿宋_GB2312" w:hAnsi="Times New Roman" w:cs="Times New Roman"/>
          <w:sz w:val="32"/>
          <w:szCs w:val="32"/>
        </w:rPr>
        <w:t>、酰胺</w:t>
      </w:r>
      <w:r>
        <w:rPr>
          <w:rFonts w:ascii="Times New Roman" w:eastAsia="仿宋_GB2312" w:hAnsi="Times New Roman" w:cs="Times New Roman"/>
          <w:sz w:val="32"/>
          <w:szCs w:val="32"/>
        </w:rPr>
        <w:t>III</w:t>
      </w:r>
      <w:r>
        <w:rPr>
          <w:rFonts w:ascii="Times New Roman" w:eastAsia="仿宋_GB2312" w:hAnsi="Times New Roman" w:cs="Times New Roman"/>
          <w:sz w:val="32"/>
          <w:szCs w:val="32"/>
        </w:rPr>
        <w:t>）的特征峰位置应与参比品一致；可采用拉曼光谱，其拉曼光谱图应与参比品一致</w:t>
      </w:r>
      <w:r>
        <w:rPr>
          <w:rFonts w:ascii="Times New Roman" w:eastAsia="仿宋_GB2312" w:hAnsi="Times New Roman" w:cs="Times New Roman" w:hint="eastAsia"/>
          <w:sz w:val="32"/>
          <w:szCs w:val="32"/>
        </w:rPr>
        <w:t>；也可</w:t>
      </w:r>
      <w:r>
        <w:rPr>
          <w:rFonts w:ascii="Times New Roman" w:eastAsia="仿宋_GB2312" w:hAnsi="Times New Roman" w:cs="Times New Roman"/>
          <w:sz w:val="32"/>
          <w:szCs w:val="32"/>
        </w:rPr>
        <w:t>应用</w:t>
      </w:r>
      <w:r>
        <w:rPr>
          <w:rFonts w:ascii="Times New Roman" w:eastAsia="仿宋_GB2312" w:hAnsi="Times New Roman" w:cs="Times New Roman" w:hint="eastAsia"/>
          <w:sz w:val="32"/>
          <w:szCs w:val="32"/>
        </w:rPr>
        <w:t>其它</w:t>
      </w:r>
      <w:r>
        <w:rPr>
          <w:rFonts w:ascii="Times New Roman" w:eastAsia="仿宋_GB2312" w:hAnsi="Times New Roman" w:cs="Times New Roman"/>
          <w:sz w:val="32"/>
          <w:szCs w:val="32"/>
        </w:rPr>
        <w:t>紫外或可见光吸收光谱法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核磁共振（</w:t>
      </w:r>
      <w:r>
        <w:rPr>
          <w:rFonts w:ascii="Times New Roman" w:eastAsia="仿宋_GB2312" w:hAnsi="Times New Roman" w:cs="Times New Roman"/>
          <w:sz w:val="32"/>
          <w:szCs w:val="32"/>
        </w:rPr>
        <w:t>NMR</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适当的方法检测</w:t>
      </w:r>
      <w:r>
        <w:rPr>
          <w:rFonts w:ascii="Times New Roman" w:eastAsia="仿宋_GB2312" w:hAnsi="Times New Roman" w:cs="Times New Roman" w:hint="eastAsia"/>
          <w:sz w:val="32"/>
          <w:szCs w:val="32"/>
        </w:rPr>
        <w:t>。</w:t>
      </w:r>
    </w:p>
    <w:p w14:paraId="56206DE8"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46" w:name="_Toc110419088"/>
      <w:bookmarkStart w:id="947" w:name="_Toc110418949"/>
      <w:bookmarkStart w:id="948" w:name="_Toc118298924"/>
      <w:r>
        <w:rPr>
          <w:rFonts w:ascii="Times New Roman" w:eastAsia="仿宋_GB2312" w:hAnsi="Times New Roman" w:cs="Times New Roman"/>
          <w:sz w:val="32"/>
          <w:szCs w:val="32"/>
        </w:rPr>
        <w:t>2.2.2</w:t>
      </w:r>
      <w:r>
        <w:rPr>
          <w:rFonts w:ascii="Times New Roman" w:eastAsia="仿宋_GB2312" w:hAnsi="Times New Roman" w:cs="Times New Roman"/>
          <w:sz w:val="32"/>
          <w:szCs w:val="32"/>
        </w:rPr>
        <w:t>纤维质量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多孔网状结构</w:t>
      </w:r>
      <w:bookmarkEnd w:id="946"/>
      <w:bookmarkEnd w:id="947"/>
      <w:bookmarkEnd w:id="948"/>
    </w:p>
    <w:p w14:paraId="35252FC7" w14:textId="77777777" w:rsidR="001B6A5B" w:rsidRDefault="007B458F">
      <w:pPr>
        <w:pStyle w:val="af8"/>
        <w:spacing w:line="520" w:lineRule="exact"/>
        <w:ind w:firstLine="640"/>
        <w:rPr>
          <w:rFonts w:ascii="Times New Roman" w:eastAsia="仿宋_GB2312" w:hAnsi="Times New Roman" w:cs="Times New Roman"/>
          <w:sz w:val="32"/>
          <w:szCs w:val="32"/>
        </w:rPr>
      </w:pPr>
      <w:r w:rsidRPr="007B458F">
        <w:rPr>
          <w:rFonts w:ascii="Times New Roman" w:eastAsia="仿宋_GB2312" w:hAnsi="Times New Roman" w:cs="Times New Roman" w:hint="eastAsia"/>
          <w:sz w:val="32"/>
          <w:szCs w:val="32"/>
        </w:rPr>
        <w:t>适用时，使用</w:t>
      </w:r>
      <w:r w:rsidRPr="007B458F">
        <w:rPr>
          <w:rFonts w:ascii="Times New Roman" w:eastAsia="仿宋_GB2312" w:hAnsi="Times New Roman" w:cs="Times New Roman"/>
          <w:sz w:val="32"/>
          <w:szCs w:val="32"/>
        </w:rPr>
        <w:t xml:space="preserve">TEM </w:t>
      </w:r>
      <w:r w:rsidRPr="007B458F">
        <w:rPr>
          <w:rFonts w:ascii="Times New Roman" w:eastAsia="仿宋_GB2312" w:hAnsi="Times New Roman" w:cs="Times New Roman"/>
          <w:sz w:val="32"/>
          <w:szCs w:val="32"/>
        </w:rPr>
        <w:t>或</w:t>
      </w:r>
      <w:r w:rsidRPr="007B458F">
        <w:rPr>
          <w:rFonts w:ascii="Times New Roman" w:eastAsia="仿宋_GB2312" w:hAnsi="Times New Roman" w:cs="Times New Roman"/>
          <w:sz w:val="32"/>
          <w:szCs w:val="32"/>
        </w:rPr>
        <w:t>AFM</w:t>
      </w:r>
      <w:r w:rsidRPr="007B458F">
        <w:rPr>
          <w:rFonts w:ascii="Times New Roman" w:eastAsia="仿宋_GB2312" w:hAnsi="Times New Roman" w:cs="Times New Roman"/>
          <w:sz w:val="32"/>
          <w:szCs w:val="32"/>
        </w:rPr>
        <w:t>观察胶原蛋白材形成胶原纤维束</w:t>
      </w:r>
      <w:r w:rsidRPr="007B458F">
        <w:rPr>
          <w:rFonts w:ascii="Times New Roman" w:eastAsia="仿宋_GB2312" w:hAnsi="Times New Roman" w:cs="Times New Roman"/>
          <w:sz w:val="32"/>
          <w:szCs w:val="32"/>
        </w:rPr>
        <w:t>/</w:t>
      </w:r>
      <w:r w:rsidRPr="007B458F">
        <w:rPr>
          <w:rFonts w:ascii="Times New Roman" w:eastAsia="仿宋_GB2312" w:hAnsi="Times New Roman" w:cs="Times New Roman"/>
          <w:sz w:val="32"/>
          <w:szCs w:val="32"/>
        </w:rPr>
        <w:t>多孔网状结构等，须明确两种方法具体的制样和观察测定过程</w:t>
      </w:r>
      <w:r w:rsidR="00A41FA1">
        <w:rPr>
          <w:rFonts w:ascii="Times New Roman" w:eastAsia="仿宋_GB2312" w:hAnsi="Times New Roman" w:cs="Times New Roman"/>
          <w:sz w:val="32"/>
          <w:szCs w:val="32"/>
        </w:rPr>
        <w:t>。</w:t>
      </w:r>
    </w:p>
    <w:p w14:paraId="6EA6BE9B"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949" w:name="_Toc110418950"/>
      <w:bookmarkStart w:id="950" w:name="_Toc110419089"/>
      <w:bookmarkStart w:id="951" w:name="_Toc118298925"/>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纯度</w:t>
      </w:r>
      <w:bookmarkEnd w:id="949"/>
      <w:bookmarkEnd w:id="950"/>
      <w:bookmarkEnd w:id="951"/>
    </w:p>
    <w:p w14:paraId="0DEB2DE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关于纯度的要求可视医疗器械终产品的用途和用法而确定</w:t>
      </w:r>
      <w:r w:rsidR="002A05E2">
        <w:rPr>
          <w:rFonts w:ascii="Times New Roman" w:eastAsia="仿宋_GB2312" w:hAnsi="Times New Roman" w:cs="Times New Roman" w:hint="eastAsia"/>
          <w:sz w:val="32"/>
          <w:szCs w:val="32"/>
        </w:rPr>
        <w:t>，</w:t>
      </w:r>
      <w:r w:rsidR="00F82A49">
        <w:rPr>
          <w:rFonts w:ascii="Times New Roman" w:eastAsia="仿宋_GB2312" w:hAnsi="Times New Roman" w:cs="Times New Roman" w:hint="eastAsia"/>
          <w:sz w:val="32"/>
          <w:szCs w:val="32"/>
        </w:rPr>
        <w:t>作为原材料，建议</w:t>
      </w:r>
      <w:r w:rsidR="002A05E2">
        <w:rPr>
          <w:rFonts w:ascii="Times New Roman" w:eastAsia="仿宋_GB2312" w:hAnsi="Times New Roman" w:cs="Times New Roman" w:hint="eastAsia"/>
          <w:sz w:val="32"/>
          <w:szCs w:val="32"/>
        </w:rPr>
        <w:t>一般应≥</w:t>
      </w:r>
      <w:r w:rsidR="002A05E2">
        <w:rPr>
          <w:rFonts w:ascii="Times New Roman" w:eastAsia="仿宋_GB2312" w:hAnsi="Times New Roman" w:cs="Times New Roman" w:hint="eastAsia"/>
          <w:sz w:val="32"/>
          <w:szCs w:val="32"/>
        </w:rPr>
        <w:t>9</w:t>
      </w:r>
      <w:r w:rsidR="002A05E2">
        <w:rPr>
          <w:rFonts w:ascii="Times New Roman" w:eastAsia="仿宋_GB2312" w:hAnsi="Times New Roman" w:cs="Times New Roman"/>
          <w:sz w:val="32"/>
          <w:szCs w:val="32"/>
        </w:rPr>
        <w:t>5%</w:t>
      </w:r>
      <w:r w:rsidR="002A05E2">
        <w:rPr>
          <w:rFonts w:ascii="Times New Roman" w:eastAsia="仿宋_GB2312" w:hAnsi="Times New Roman" w:cs="Times New Roman" w:hint="eastAsia"/>
          <w:sz w:val="32"/>
          <w:szCs w:val="32"/>
        </w:rPr>
        <w:t>。</w:t>
      </w:r>
    </w:p>
    <w:p w14:paraId="124DD36A"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952" w:name="_Toc110419090"/>
      <w:bookmarkStart w:id="953" w:name="_Toc110418951"/>
      <w:bookmarkStart w:id="954" w:name="_Toc118298926"/>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含量</w:t>
      </w:r>
      <w:bookmarkEnd w:id="952"/>
      <w:bookmarkEnd w:id="953"/>
      <w:bookmarkEnd w:id="954"/>
    </w:p>
    <w:p w14:paraId="4EB435B7"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应建立重组人源化胶原蛋白含量检测方法，含量以质量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重量或质量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体积表示。含量检测可通过液相色谱法（</w:t>
      </w:r>
      <w:r>
        <w:rPr>
          <w:rFonts w:ascii="Times New Roman" w:eastAsia="仿宋_GB2312" w:hAnsi="Times New Roman" w:cs="Times New Roman"/>
          <w:sz w:val="32"/>
          <w:szCs w:val="32"/>
        </w:rPr>
        <w:t>HPLC</w:t>
      </w:r>
      <w:r>
        <w:rPr>
          <w:rFonts w:ascii="Times New Roman" w:eastAsia="仿宋_GB2312" w:hAnsi="Times New Roman" w:cs="Times New Roman"/>
          <w:sz w:val="32"/>
          <w:szCs w:val="32"/>
        </w:rPr>
        <w:t>）</w:t>
      </w:r>
      <w:r w:rsidR="008B0D13">
        <w:rPr>
          <w:rFonts w:ascii="Times New Roman" w:eastAsia="仿宋_GB2312" w:hAnsi="Times New Roman" w:cs="Times New Roman" w:hint="eastAsia"/>
          <w:sz w:val="32"/>
          <w:szCs w:val="32"/>
        </w:rPr>
        <w:t>、</w:t>
      </w:r>
      <w:r w:rsidR="00DC5942">
        <w:rPr>
          <w:rFonts w:ascii="Times New Roman" w:eastAsia="仿宋_GB2312" w:hAnsi="Times New Roman" w:cs="Times New Roman" w:hint="eastAsia"/>
          <w:sz w:val="32"/>
          <w:szCs w:val="32"/>
        </w:rPr>
        <w:t>凯氏</w:t>
      </w:r>
      <w:r w:rsidR="00DC5942">
        <w:rPr>
          <w:rFonts w:ascii="Times New Roman" w:eastAsia="仿宋_GB2312" w:hAnsi="Times New Roman" w:cs="Times New Roman"/>
          <w:sz w:val="32"/>
          <w:szCs w:val="32"/>
        </w:rPr>
        <w:t>定氮法</w:t>
      </w:r>
      <w:r w:rsidR="008B0D13">
        <w:rPr>
          <w:rFonts w:ascii="Times New Roman" w:eastAsia="仿宋_GB2312" w:hAnsi="Times New Roman" w:cs="Times New Roman" w:hint="eastAsia"/>
          <w:sz w:val="32"/>
          <w:szCs w:val="32"/>
        </w:rPr>
        <w:t>、特征多肽法等</w:t>
      </w:r>
      <w:r>
        <w:rPr>
          <w:rFonts w:ascii="Times New Roman" w:eastAsia="仿宋_GB2312" w:hAnsi="Times New Roman" w:cs="Times New Roman"/>
          <w:sz w:val="32"/>
          <w:szCs w:val="32"/>
        </w:rPr>
        <w:t>，应在标示量的</w:t>
      </w:r>
      <w:r w:rsidR="00DC5942">
        <w:rPr>
          <w:rFonts w:ascii="Times New Roman" w:eastAsia="仿宋_GB2312" w:hAnsi="Times New Roman" w:cs="Times New Roman"/>
          <w:sz w:val="32"/>
          <w:szCs w:val="32"/>
        </w:rPr>
        <w:t>90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DC5942">
        <w:rPr>
          <w:rFonts w:ascii="Times New Roman" w:eastAsia="仿宋_GB2312" w:hAnsi="Times New Roman" w:cs="Times New Roman"/>
          <w:sz w:val="32"/>
          <w:szCs w:val="32"/>
        </w:rPr>
        <w:t>110</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之间。</w:t>
      </w:r>
    </w:p>
    <w:p w14:paraId="727D8DC3"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955" w:name="_Toc110418952"/>
      <w:bookmarkStart w:id="956" w:name="_Toc110419091"/>
      <w:bookmarkStart w:id="957" w:name="_Toc118298927"/>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杂质、污染物和添加剂</w:t>
      </w:r>
      <w:bookmarkEnd w:id="955"/>
      <w:bookmarkEnd w:id="956"/>
      <w:bookmarkEnd w:id="957"/>
    </w:p>
    <w:p w14:paraId="55B45B56"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对胶原蛋白材料工艺相关杂质以及外源污染物等进行研究，如：细胞基质来源、细胞培养来源和下游工艺。应对潜在的工艺相关杂质（如宿主细胞蛋白质、宿主细胞</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、细胞培养残留物、下游工艺的残留物等）进行鉴别、评估，并进行定性和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或定量分析，并采用适宜的方法评价其对生物学功能的影响。工艺相关杂质来源于生产工艺，可分三大类：来源于细胞基质、培养基和下游工艺。细菌内毒素、微生物限度和无菌性，是常规的污染物控制要求。</w:t>
      </w:r>
    </w:p>
    <w:p w14:paraId="0320E8DC"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58" w:name="_Toc110419092"/>
      <w:bookmarkStart w:id="959" w:name="_Toc110418953"/>
      <w:bookmarkStart w:id="960" w:name="_Toc118298928"/>
      <w:r>
        <w:rPr>
          <w:rFonts w:ascii="Times New Roman" w:eastAsia="仿宋_GB2312" w:hAnsi="Times New Roman" w:cs="Times New Roman"/>
          <w:kern w:val="0"/>
          <w:sz w:val="32"/>
          <w:szCs w:val="32"/>
        </w:rPr>
        <w:t>5.1</w:t>
      </w:r>
      <w:r>
        <w:rPr>
          <w:rFonts w:ascii="Times New Roman" w:eastAsia="仿宋_GB2312" w:hAnsi="Times New Roman" w:cs="Times New Roman"/>
          <w:kern w:val="0"/>
          <w:sz w:val="32"/>
          <w:szCs w:val="32"/>
        </w:rPr>
        <w:t>源于细胞基质的杂质</w:t>
      </w:r>
      <w:bookmarkEnd w:id="958"/>
      <w:bookmarkEnd w:id="959"/>
      <w:bookmarkEnd w:id="960"/>
      <w:r>
        <w:rPr>
          <w:rFonts w:ascii="Times New Roman" w:eastAsia="仿宋_GB2312" w:hAnsi="Times New Roman" w:cs="Times New Roman"/>
          <w:kern w:val="0"/>
          <w:sz w:val="32"/>
          <w:szCs w:val="32"/>
        </w:rPr>
        <w:t xml:space="preserve"> </w:t>
      </w:r>
    </w:p>
    <w:p w14:paraId="2091E1A4"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来源于细胞基质的杂质包括源于宿主生物体的蛋白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多肽；核酸（宿主细胞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载体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多糖及病毒。对于宿主细胞蛋白，一般应用能检测出较宽范围蛋白杂质的灵敏的免疫检测方法。应用不含目的基因的生物体粗提物，即不含胶原蛋白编码基因的生产用细胞，制备上述试验使用的多克隆抗体。可通过对胶原蛋白材料的直接分析方法（如杂交技术法）检测宿主细胞的</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水平，和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或通过标记实验（实验室规模）检测证实通过纯化工艺能去除核酸。对于有意导入的病毒，应验证生产工艺中去除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灭活病毒的能力。</w:t>
      </w:r>
    </w:p>
    <w:p w14:paraId="178A2062"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61" w:name="_Toc110419093"/>
      <w:bookmarkStart w:id="962" w:name="_Toc110418954"/>
      <w:bookmarkStart w:id="963" w:name="_Toc118298929"/>
      <w:r>
        <w:rPr>
          <w:rFonts w:ascii="Times New Roman" w:eastAsia="仿宋_GB2312" w:hAnsi="Times New Roman" w:cs="Times New Roman"/>
          <w:sz w:val="32"/>
          <w:szCs w:val="32"/>
        </w:rPr>
        <w:t>5.1.1</w:t>
      </w:r>
      <w:r>
        <w:rPr>
          <w:rFonts w:ascii="Times New Roman" w:eastAsia="仿宋_GB2312" w:hAnsi="Times New Roman" w:cs="Times New Roman"/>
          <w:sz w:val="32"/>
          <w:szCs w:val="32"/>
        </w:rPr>
        <w:t>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w:t>
      </w:r>
      <w:bookmarkEnd w:id="961"/>
      <w:bookmarkEnd w:id="962"/>
      <w:bookmarkEnd w:id="963"/>
    </w:p>
    <w:p w14:paraId="290904E1"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残留量测定法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荧光染色法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定量</w:t>
      </w:r>
      <w:r>
        <w:rPr>
          <w:rFonts w:ascii="Times New Roman" w:eastAsia="仿宋_GB2312" w:hAnsi="Times New Roman" w:cs="Times New Roman"/>
          <w:sz w:val="32"/>
          <w:szCs w:val="32"/>
        </w:rPr>
        <w:t>PCR</w:t>
      </w:r>
      <w:r>
        <w:rPr>
          <w:rFonts w:ascii="Times New Roman" w:eastAsia="仿宋_GB2312" w:hAnsi="Times New Roman" w:cs="Times New Roman"/>
          <w:sz w:val="32"/>
          <w:szCs w:val="32"/>
        </w:rPr>
        <w:t>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进行测定，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荧光染色法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的样品加标回收率应满足</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定量</w:t>
      </w:r>
      <w:r>
        <w:rPr>
          <w:rFonts w:ascii="Times New Roman" w:eastAsia="仿宋_GB2312" w:hAnsi="Times New Roman" w:cs="Times New Roman"/>
          <w:sz w:val="32"/>
          <w:szCs w:val="32"/>
        </w:rPr>
        <w:t>PCR</w:t>
      </w:r>
      <w:r>
        <w:rPr>
          <w:rFonts w:ascii="Times New Roman" w:eastAsia="仿宋_GB2312" w:hAnsi="Times New Roman" w:cs="Times New Roman"/>
          <w:sz w:val="32"/>
          <w:szCs w:val="32"/>
        </w:rPr>
        <w:t>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的样</w:t>
      </w:r>
      <w:r>
        <w:rPr>
          <w:rFonts w:ascii="Times New Roman" w:eastAsia="仿宋_GB2312" w:hAnsi="Times New Roman" w:cs="Times New Roman"/>
          <w:sz w:val="32"/>
          <w:szCs w:val="32"/>
        </w:rPr>
        <w:lastRenderedPageBreak/>
        <w:t>品加标回收率应满足</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，应规定残留限量。如果样品中外源性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残留量低于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荧光染色法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的检测限，则应采用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定量</w:t>
      </w:r>
      <w:r>
        <w:rPr>
          <w:rFonts w:ascii="Times New Roman" w:eastAsia="仿宋_GB2312" w:hAnsi="Times New Roman" w:cs="Times New Roman"/>
          <w:sz w:val="32"/>
          <w:szCs w:val="32"/>
        </w:rPr>
        <w:t>PCR</w:t>
      </w:r>
      <w:r>
        <w:rPr>
          <w:rFonts w:ascii="Times New Roman" w:eastAsia="仿宋_GB2312" w:hAnsi="Times New Roman" w:cs="Times New Roman"/>
          <w:sz w:val="32"/>
          <w:szCs w:val="32"/>
        </w:rPr>
        <w:t>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进行测定。</w:t>
      </w:r>
    </w:p>
    <w:p w14:paraId="5A0CE4D5"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宜根据</w:t>
      </w:r>
      <w:r>
        <w:rPr>
          <w:rFonts w:ascii="Times New Roman" w:eastAsia="仿宋_GB2312" w:hAnsi="Times New Roman" w:cs="Times New Roman" w:hint="eastAsia"/>
          <w:sz w:val="32"/>
          <w:szCs w:val="32"/>
        </w:rPr>
        <w:t>医疗器械产品的</w:t>
      </w:r>
      <w:r>
        <w:rPr>
          <w:rFonts w:ascii="Times New Roman" w:eastAsia="仿宋_GB2312" w:hAnsi="Times New Roman" w:cs="Times New Roman"/>
          <w:sz w:val="32"/>
          <w:szCs w:val="32"/>
        </w:rPr>
        <w:t>预期临床用途（作为植人物</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体内使用，还是作为敷料等在体表、粘膜使用）、使用量等，确定含重组胶原蛋白的材料临床最大使用量的外源性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残留量限值。如果重组胶原蛋白产品预期为体内植人剂，推荐参考生物制品外源性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残留限量要求，结合残留</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宿主类型及其风险程度设定每人每次最大使用量限值。</w:t>
      </w:r>
    </w:p>
    <w:p w14:paraId="3BB3A8F4"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建议参考生物制品中大肠杆菌或酵母菌表达的基因工程重组生物制品的外源性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残留量限度，如注射用生物制品</w:t>
      </w:r>
      <w:r>
        <w:rPr>
          <w:rFonts w:ascii="Times New Roman" w:eastAsia="仿宋_GB2312" w:hAnsi="Times New Roman" w:cs="Times New Roman"/>
          <w:sz w:val="32"/>
          <w:szCs w:val="32"/>
        </w:rPr>
        <w:t>≤10ng/</w:t>
      </w:r>
      <w:r>
        <w:rPr>
          <w:rFonts w:ascii="Times New Roman" w:eastAsia="仿宋_GB2312" w:hAnsi="Times New Roman" w:cs="Times New Roman"/>
          <w:sz w:val="32"/>
          <w:szCs w:val="32"/>
        </w:rPr>
        <w:t>剂，</w:t>
      </w:r>
      <w:r>
        <w:rPr>
          <w:rFonts w:ascii="Times New Roman" w:eastAsia="仿宋_GB2312" w:hAnsi="Times New Roman" w:cs="Times New Roman"/>
          <w:sz w:val="32"/>
          <w:szCs w:val="32"/>
        </w:rPr>
        <w:t>CHO</w:t>
      </w:r>
      <w:r>
        <w:rPr>
          <w:rFonts w:ascii="Times New Roman" w:eastAsia="仿宋_GB2312" w:hAnsi="Times New Roman" w:cs="Times New Roman"/>
          <w:sz w:val="32"/>
          <w:szCs w:val="32"/>
        </w:rPr>
        <w:t>细胞表达的基因工程重组产品外源性</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残留量</w:t>
      </w:r>
      <w:r>
        <w:rPr>
          <w:rFonts w:ascii="Times New Roman" w:eastAsia="仿宋_GB2312" w:hAnsi="Times New Roman" w:cs="Times New Roman"/>
          <w:sz w:val="32"/>
          <w:szCs w:val="32"/>
        </w:rPr>
        <w:t>≤100pg/</w:t>
      </w:r>
      <w:r>
        <w:rPr>
          <w:rFonts w:ascii="Times New Roman" w:eastAsia="仿宋_GB2312" w:hAnsi="Times New Roman" w:cs="Times New Roman"/>
          <w:sz w:val="32"/>
          <w:szCs w:val="32"/>
        </w:rPr>
        <w:t>剂</w:t>
      </w:r>
      <w:r>
        <w:rPr>
          <w:rFonts w:ascii="Times New Roman" w:eastAsia="仿宋_GB2312" w:hAnsi="Times New Roman" w:cs="Times New Roman"/>
          <w:sz w:val="32"/>
          <w:szCs w:val="32"/>
        </w:rPr>
        <w:t>(10000IU</w:t>
      </w:r>
      <w:r>
        <w:rPr>
          <w:rFonts w:ascii="Times New Roman" w:eastAsia="仿宋_GB2312" w:hAnsi="Times New Roman" w:cs="Times New Roman"/>
          <w:sz w:val="32"/>
          <w:szCs w:val="32"/>
        </w:rPr>
        <w:t>）等。</w:t>
      </w:r>
    </w:p>
    <w:p w14:paraId="76656FDB"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64" w:name="_Toc110419094"/>
      <w:bookmarkStart w:id="965" w:name="_Toc110418955"/>
      <w:bookmarkStart w:id="966" w:name="_Toc118298930"/>
      <w:r>
        <w:rPr>
          <w:rFonts w:ascii="Times New Roman" w:eastAsia="仿宋_GB2312" w:hAnsi="Times New Roman" w:cs="Times New Roman"/>
          <w:sz w:val="32"/>
          <w:szCs w:val="32"/>
        </w:rPr>
        <w:t>5.1.2</w:t>
      </w:r>
      <w:r>
        <w:rPr>
          <w:rFonts w:ascii="Times New Roman" w:eastAsia="仿宋_GB2312" w:hAnsi="Times New Roman" w:cs="Times New Roman"/>
          <w:sz w:val="32"/>
          <w:szCs w:val="32"/>
        </w:rPr>
        <w:t>宿主细胞蛋白质残留量</w:t>
      </w:r>
      <w:bookmarkEnd w:id="964"/>
      <w:bookmarkEnd w:id="965"/>
      <w:bookmarkEnd w:id="966"/>
    </w:p>
    <w:p w14:paraId="2C810EE2"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67" w:name="_Toc110419095"/>
      <w:bookmarkStart w:id="968" w:name="_Toc110418956"/>
      <w:bookmarkStart w:id="969" w:name="_Toc118298931"/>
      <w:r>
        <w:rPr>
          <w:rFonts w:ascii="Times New Roman" w:eastAsia="仿宋_GB2312" w:hAnsi="Times New Roman" w:cs="Times New Roman"/>
          <w:b w:val="0"/>
          <w:sz w:val="32"/>
          <w:szCs w:val="32"/>
        </w:rPr>
        <w:t>5.1.2.1</w:t>
      </w:r>
      <w:r>
        <w:rPr>
          <w:rFonts w:ascii="Times New Roman" w:eastAsia="仿宋_GB2312" w:hAnsi="Times New Roman" w:cs="Times New Roman"/>
          <w:b w:val="0"/>
          <w:sz w:val="32"/>
          <w:szCs w:val="32"/>
        </w:rPr>
        <w:t>大肠杆菌蛋白质残留量</w:t>
      </w:r>
      <w:bookmarkEnd w:id="967"/>
      <w:bookmarkEnd w:id="968"/>
      <w:bookmarkEnd w:id="969"/>
    </w:p>
    <w:p w14:paraId="6E24C459"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大肠埃希菌菌体蛋白质残留量测定法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或采用经验证的酶联免疫试剂盒进行测定，其结果应在总蛋白的</w:t>
      </w:r>
      <w:r>
        <w:rPr>
          <w:rFonts w:ascii="Times New Roman" w:eastAsia="仿宋_GB2312" w:hAnsi="Times New Roman" w:cs="Times New Roman"/>
          <w:sz w:val="32"/>
          <w:szCs w:val="32"/>
        </w:rPr>
        <w:t>0.05%</w:t>
      </w:r>
      <w:r>
        <w:rPr>
          <w:rFonts w:ascii="Times New Roman" w:eastAsia="仿宋_GB2312" w:hAnsi="Times New Roman" w:cs="Times New Roman"/>
          <w:sz w:val="32"/>
          <w:szCs w:val="32"/>
        </w:rPr>
        <w:t>以下（体内植人）。</w:t>
      </w:r>
    </w:p>
    <w:p w14:paraId="138D78C8"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70" w:name="_Toc110419096"/>
      <w:bookmarkStart w:id="971" w:name="_Toc110418957"/>
      <w:bookmarkStart w:id="972" w:name="_Toc118298932"/>
      <w:r>
        <w:rPr>
          <w:rFonts w:ascii="Times New Roman" w:eastAsia="仿宋_GB2312" w:hAnsi="Times New Roman" w:cs="Times New Roman"/>
          <w:b w:val="0"/>
          <w:sz w:val="32"/>
          <w:szCs w:val="32"/>
        </w:rPr>
        <w:t>5.1.2.2</w:t>
      </w:r>
      <w:r>
        <w:rPr>
          <w:rFonts w:ascii="Times New Roman" w:eastAsia="仿宋_GB2312" w:hAnsi="Times New Roman" w:cs="Times New Roman"/>
          <w:b w:val="0"/>
          <w:sz w:val="32"/>
          <w:szCs w:val="32"/>
        </w:rPr>
        <w:t>酵母蛋白质残留量</w:t>
      </w:r>
      <w:bookmarkEnd w:id="970"/>
      <w:bookmarkEnd w:id="971"/>
      <w:bookmarkEnd w:id="972"/>
    </w:p>
    <w:p w14:paraId="355F3A3E"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酵母工程茵茵体蛋白质残留量测定法</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或采用经验证的酶联免疫试剂盒进行测定，其结果应在总蛋白的</w:t>
      </w:r>
      <w:r>
        <w:rPr>
          <w:rFonts w:ascii="Times New Roman" w:eastAsia="仿宋_GB2312" w:hAnsi="Times New Roman" w:cs="Times New Roman"/>
          <w:sz w:val="32"/>
          <w:szCs w:val="32"/>
        </w:rPr>
        <w:t>0.05%</w:t>
      </w:r>
      <w:r>
        <w:rPr>
          <w:rFonts w:ascii="Times New Roman" w:eastAsia="仿宋_GB2312" w:hAnsi="Times New Roman" w:cs="Times New Roman"/>
          <w:sz w:val="32"/>
          <w:szCs w:val="32"/>
        </w:rPr>
        <w:t>以下（体内植入）。</w:t>
      </w:r>
    </w:p>
    <w:p w14:paraId="214A2F19"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73" w:name="_Toc110419097"/>
      <w:bookmarkStart w:id="974" w:name="_Toc110418958"/>
      <w:bookmarkStart w:id="975" w:name="_Toc118298933"/>
      <w:r>
        <w:rPr>
          <w:rFonts w:ascii="Times New Roman" w:eastAsia="仿宋_GB2312" w:hAnsi="Times New Roman" w:cs="Times New Roman"/>
          <w:b w:val="0"/>
          <w:sz w:val="32"/>
          <w:szCs w:val="32"/>
        </w:rPr>
        <w:t>5.1.2.3 CHO</w:t>
      </w:r>
      <w:r>
        <w:rPr>
          <w:rFonts w:ascii="Times New Roman" w:eastAsia="仿宋_GB2312" w:hAnsi="Times New Roman" w:cs="Times New Roman"/>
          <w:b w:val="0"/>
          <w:sz w:val="32"/>
          <w:szCs w:val="32"/>
        </w:rPr>
        <w:t>细胞蛋白质残留量</w:t>
      </w:r>
      <w:bookmarkEnd w:id="973"/>
      <w:bookmarkEnd w:id="974"/>
      <w:bookmarkEnd w:id="975"/>
    </w:p>
    <w:p w14:paraId="35FD8C01"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采用经验证的酶联免疫试剂盒进行测定，</w:t>
      </w:r>
      <w:r>
        <w:rPr>
          <w:rFonts w:ascii="Times New Roman" w:eastAsia="仿宋_GB2312" w:hAnsi="Times New Roman" w:cs="Times New Roman"/>
          <w:sz w:val="32"/>
          <w:szCs w:val="32"/>
        </w:rPr>
        <w:t>CHO</w:t>
      </w:r>
      <w:r>
        <w:rPr>
          <w:rFonts w:ascii="Times New Roman" w:eastAsia="仿宋_GB2312" w:hAnsi="Times New Roman" w:cs="Times New Roman"/>
          <w:sz w:val="32"/>
          <w:szCs w:val="32"/>
        </w:rPr>
        <w:t>细胞蛋白质残留量应在总蛋白的</w:t>
      </w:r>
      <w:r>
        <w:rPr>
          <w:rFonts w:ascii="Times New Roman" w:eastAsia="仿宋_GB2312" w:hAnsi="Times New Roman" w:cs="Times New Roman"/>
          <w:sz w:val="32"/>
          <w:szCs w:val="32"/>
        </w:rPr>
        <w:t>0.05%</w:t>
      </w:r>
      <w:r>
        <w:rPr>
          <w:rFonts w:ascii="Times New Roman" w:eastAsia="仿宋_GB2312" w:hAnsi="Times New Roman" w:cs="Times New Roman"/>
          <w:sz w:val="32"/>
          <w:szCs w:val="32"/>
        </w:rPr>
        <w:t>以下（体内植入）。</w:t>
      </w:r>
    </w:p>
    <w:p w14:paraId="5AF0C57F"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76" w:name="_Toc110419098"/>
      <w:bookmarkStart w:id="977" w:name="_Toc110418959"/>
      <w:bookmarkStart w:id="978" w:name="_Toc118298934"/>
      <w:r>
        <w:rPr>
          <w:rFonts w:ascii="Times New Roman" w:eastAsia="仿宋_GB2312" w:hAnsi="Times New Roman" w:cs="Times New Roman"/>
          <w:sz w:val="32"/>
          <w:szCs w:val="32"/>
        </w:rPr>
        <w:t>5.1.3</w:t>
      </w:r>
      <w:r w:rsidR="001A693D">
        <w:rPr>
          <w:rFonts w:ascii="Times New Roman" w:eastAsia="仿宋_GB2312" w:hAnsi="Times New Roman" w:cs="Times New Roman" w:hint="eastAsia"/>
          <w:sz w:val="32"/>
          <w:szCs w:val="32"/>
        </w:rPr>
        <w:t>促炎性</w:t>
      </w:r>
      <w:r w:rsidR="001A693D">
        <w:rPr>
          <w:rFonts w:ascii="Times New Roman" w:eastAsia="仿宋_GB2312" w:hAnsi="Times New Roman" w:cs="Times New Roman"/>
          <w:sz w:val="32"/>
          <w:szCs w:val="32"/>
        </w:rPr>
        <w:t>污染物（</w:t>
      </w:r>
      <w:r>
        <w:rPr>
          <w:rFonts w:ascii="Times New Roman" w:eastAsia="仿宋_GB2312" w:hAnsi="Times New Roman" w:cs="Times New Roman"/>
          <w:sz w:val="32"/>
          <w:szCs w:val="32"/>
        </w:rPr>
        <w:t>肽聚糖</w:t>
      </w:r>
      <w:bookmarkEnd w:id="976"/>
      <w:bookmarkEnd w:id="977"/>
      <w:r w:rsidR="001A693D">
        <w:rPr>
          <w:rFonts w:ascii="Times New Roman" w:eastAsia="仿宋_GB2312" w:hAnsi="Times New Roman" w:cs="Times New Roman"/>
          <w:sz w:val="32"/>
          <w:szCs w:val="32"/>
        </w:rPr>
        <w:t>）</w:t>
      </w:r>
      <w:bookmarkEnd w:id="978"/>
    </w:p>
    <w:p w14:paraId="61D58FBF"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采用经验证的方法或经验证的市售细菌肽聚糖检测试剂盒（</w:t>
      </w:r>
      <w:r>
        <w:rPr>
          <w:rFonts w:ascii="Times New Roman" w:eastAsia="仿宋_GB2312" w:hAnsi="Times New Roman" w:cs="Times New Roman"/>
          <w:sz w:val="32"/>
          <w:szCs w:val="32"/>
        </w:rPr>
        <w:t>ELISA</w:t>
      </w:r>
      <w:r>
        <w:rPr>
          <w:rFonts w:ascii="Times New Roman" w:eastAsia="仿宋_GB2312" w:hAnsi="Times New Roman" w:cs="Times New Roman"/>
          <w:sz w:val="32"/>
          <w:szCs w:val="32"/>
        </w:rPr>
        <w:t>）检测残留肽聚糖，应根据其致热反应风险规定可接受的限量要求。</w:t>
      </w:r>
    </w:p>
    <w:p w14:paraId="58F880D4"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79" w:name="_Toc110418960"/>
      <w:bookmarkStart w:id="980" w:name="_Toc110419099"/>
      <w:bookmarkStart w:id="981" w:name="_Toc118298935"/>
      <w:r>
        <w:rPr>
          <w:rFonts w:ascii="Times New Roman" w:eastAsia="仿宋_GB2312" w:hAnsi="Times New Roman" w:cs="Times New Roman"/>
          <w:kern w:val="0"/>
          <w:sz w:val="32"/>
          <w:szCs w:val="32"/>
        </w:rPr>
        <w:t xml:space="preserve">5.2 </w:t>
      </w:r>
      <w:r>
        <w:rPr>
          <w:rFonts w:ascii="Times New Roman" w:eastAsia="仿宋_GB2312" w:hAnsi="Times New Roman" w:cs="Times New Roman"/>
          <w:kern w:val="0"/>
          <w:sz w:val="32"/>
          <w:szCs w:val="32"/>
        </w:rPr>
        <w:t>源于培养基的杂质</w:t>
      </w:r>
      <w:bookmarkEnd w:id="979"/>
      <w:bookmarkEnd w:id="980"/>
      <w:bookmarkEnd w:id="981"/>
    </w:p>
    <w:p w14:paraId="50733B2D"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来源于培养基的杂质包括诱导剂（多核苷酸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病毒）、抗生素、血清及其他培养基组分。应根据工艺中采用的表达体系和使用的抗生素类型，采用经验证的方法测定残余抗生素含量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活性，残余抗生素含量应</w:t>
      </w:r>
      <w:r>
        <w:rPr>
          <w:rFonts w:ascii="Times New Roman" w:eastAsia="仿宋_GB2312" w:hAnsi="Times New Roman" w:cs="Times New Roman"/>
          <w:sz w:val="32"/>
          <w:szCs w:val="32"/>
        </w:rPr>
        <w:t>≤50ng/mg</w:t>
      </w:r>
      <w:r>
        <w:rPr>
          <w:rFonts w:ascii="Times New Roman" w:eastAsia="仿宋_GB2312" w:hAnsi="Times New Roman" w:cs="Times New Roman"/>
          <w:sz w:val="32"/>
          <w:szCs w:val="32"/>
        </w:rPr>
        <w:t>，不应有残余抗生素活性。</w:t>
      </w:r>
    </w:p>
    <w:p w14:paraId="6FB21858"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残余抗生素含量的测定按照</w:t>
      </w:r>
      <w:r>
        <w:rPr>
          <w:rFonts w:ascii="Times New Roman" w:eastAsia="仿宋_GB2312"/>
          <w:kern w:val="2"/>
          <w:sz w:val="32"/>
          <w:szCs w:val="32"/>
        </w:rPr>
        <w:t>YY/T 1849</w:t>
      </w:r>
      <w:r>
        <w:rPr>
          <w:rFonts w:ascii="Times New Roman" w:eastAsia="仿宋_GB2312"/>
          <w:kern w:val="2"/>
          <w:sz w:val="32"/>
          <w:szCs w:val="32"/>
        </w:rPr>
        <w:t>《重组胶原蛋白》中描述的方法或其他经验证的方法进行检测</w:t>
      </w:r>
      <w:r>
        <w:rPr>
          <w:rFonts w:ascii="Times New Roman" w:eastAsia="仿宋_GB2312"/>
          <w:sz w:val="32"/>
          <w:szCs w:val="32"/>
        </w:rPr>
        <w:t>，</w:t>
      </w:r>
      <w:r>
        <w:rPr>
          <w:rFonts w:ascii="Times New Roman" w:eastAsia="仿宋_GB2312"/>
          <w:bCs/>
          <w:sz w:val="32"/>
          <w:szCs w:val="32"/>
        </w:rPr>
        <w:t>残余抗生素活性</w:t>
      </w:r>
      <w:r>
        <w:rPr>
          <w:rFonts w:ascii="Times New Roman" w:eastAsia="仿宋_GB2312"/>
          <w:sz w:val="32"/>
          <w:szCs w:val="32"/>
        </w:rPr>
        <w:t>按照《中华人民共和国药典》</w:t>
      </w:r>
      <w:r>
        <w:rPr>
          <w:rFonts w:ascii="Times New Roman" w:eastAsia="仿宋_GB2312"/>
          <w:sz w:val="32"/>
          <w:szCs w:val="32"/>
        </w:rPr>
        <w:t xml:space="preserve"> </w:t>
      </w:r>
      <w:r>
        <w:rPr>
          <w:rFonts w:ascii="Times New Roman" w:eastAsia="仿宋_GB2312"/>
          <w:sz w:val="32"/>
          <w:szCs w:val="32"/>
        </w:rPr>
        <w:t>四部通则</w:t>
      </w:r>
      <w:r>
        <w:rPr>
          <w:rFonts w:ascii="Times New Roman" w:eastAsia="仿宋_GB2312"/>
          <w:sz w:val="32"/>
          <w:szCs w:val="32"/>
        </w:rPr>
        <w:t xml:space="preserve"> </w:t>
      </w:r>
      <w:r>
        <w:rPr>
          <w:rFonts w:ascii="Times New Roman" w:eastAsia="仿宋_GB2312"/>
          <w:sz w:val="32"/>
          <w:szCs w:val="32"/>
        </w:rPr>
        <w:t>生物活性测定法中抗生素微生物检定法或《中华人民共和国药典》</w:t>
      </w:r>
      <w:r>
        <w:rPr>
          <w:rFonts w:ascii="Times New Roman" w:eastAsia="仿宋_GB2312"/>
          <w:sz w:val="32"/>
          <w:szCs w:val="32"/>
        </w:rPr>
        <w:t xml:space="preserve"> </w:t>
      </w:r>
      <w:r>
        <w:rPr>
          <w:rFonts w:ascii="Times New Roman" w:eastAsia="仿宋_GB2312"/>
          <w:sz w:val="32"/>
          <w:szCs w:val="32"/>
        </w:rPr>
        <w:t>四部通则</w:t>
      </w:r>
      <w:r>
        <w:rPr>
          <w:rFonts w:ascii="Times New Roman" w:eastAsia="仿宋_GB2312"/>
          <w:sz w:val="32"/>
          <w:szCs w:val="32"/>
        </w:rPr>
        <w:t xml:space="preserve"> </w:t>
      </w:r>
      <w:r>
        <w:rPr>
          <w:rFonts w:ascii="Times New Roman" w:eastAsia="仿宋_GB2312"/>
          <w:sz w:val="32"/>
          <w:szCs w:val="32"/>
        </w:rPr>
        <w:t>抗生素残留量检查法</w:t>
      </w:r>
      <w:r>
        <w:rPr>
          <w:rFonts w:ascii="Times New Roman" w:eastAsia="仿宋_GB2312"/>
          <w:kern w:val="2"/>
          <w:sz w:val="32"/>
          <w:szCs w:val="32"/>
        </w:rPr>
        <w:t>进行检测</w:t>
      </w:r>
      <w:r>
        <w:rPr>
          <w:rFonts w:ascii="Times New Roman" w:eastAsia="仿宋_GB2312"/>
          <w:sz w:val="32"/>
          <w:szCs w:val="32"/>
        </w:rPr>
        <w:t>。</w:t>
      </w:r>
    </w:p>
    <w:p w14:paraId="1E5CD07F"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982" w:name="_Toc110418961"/>
      <w:bookmarkStart w:id="983" w:name="_Toc110419100"/>
      <w:bookmarkStart w:id="984" w:name="_Toc118298936"/>
      <w:r>
        <w:rPr>
          <w:rFonts w:ascii="Times New Roman" w:eastAsia="仿宋_GB2312" w:hAnsi="Times New Roman" w:cs="Times New Roman"/>
          <w:kern w:val="0"/>
          <w:sz w:val="32"/>
          <w:szCs w:val="32"/>
        </w:rPr>
        <w:t xml:space="preserve">5.3 </w:t>
      </w:r>
      <w:r>
        <w:rPr>
          <w:rFonts w:ascii="Times New Roman" w:eastAsia="仿宋_GB2312" w:hAnsi="Times New Roman" w:cs="Times New Roman"/>
          <w:kern w:val="0"/>
          <w:sz w:val="32"/>
          <w:szCs w:val="32"/>
        </w:rPr>
        <w:t>源于下游工艺产生的杂质</w:t>
      </w:r>
      <w:bookmarkEnd w:id="982"/>
      <w:bookmarkEnd w:id="983"/>
      <w:bookmarkEnd w:id="984"/>
    </w:p>
    <w:p w14:paraId="69B75A99"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来源于下游工艺产生的杂质一般包括酶、化学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生化处理试剂（如溴化氰、胍、氧化剂和还原剂）、无机盐（如重金属、砷、非有色金属离子）、溶剂、载体</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配体（如单克隆抗体），及其他可滤过的物质。需结合实际情况制定相关理化指标。</w:t>
      </w:r>
    </w:p>
    <w:p w14:paraId="3A1B7DD8"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85" w:name="_Toc110419101"/>
      <w:bookmarkStart w:id="986" w:name="_Toc110418962"/>
      <w:bookmarkStart w:id="987" w:name="_Toc118298937"/>
      <w:r>
        <w:rPr>
          <w:rFonts w:ascii="Times New Roman" w:eastAsia="仿宋_GB2312" w:hAnsi="Times New Roman" w:cs="Times New Roman"/>
          <w:sz w:val="32"/>
          <w:szCs w:val="32"/>
        </w:rPr>
        <w:t xml:space="preserve">5.3.1 </w:t>
      </w:r>
      <w:r>
        <w:rPr>
          <w:rFonts w:ascii="Times New Roman" w:eastAsia="仿宋_GB2312" w:hAnsi="Times New Roman" w:cs="Times New Roman"/>
          <w:sz w:val="32"/>
          <w:szCs w:val="32"/>
        </w:rPr>
        <w:t>添加剂</w:t>
      </w:r>
      <w:bookmarkEnd w:id="985"/>
      <w:bookmarkEnd w:id="986"/>
      <w:bookmarkEnd w:id="987"/>
    </w:p>
    <w:p w14:paraId="4BB78E47" w14:textId="77777777" w:rsidR="001B6A5B" w:rsidRDefault="00A41FA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如果使用了防腐剂、冻干保护剂等添加剂，应给出其限量要求和检测方法。</w:t>
      </w:r>
    </w:p>
    <w:p w14:paraId="5BDA0638" w14:textId="77777777" w:rsidR="001B6A5B" w:rsidRDefault="00A41FA1">
      <w:pPr>
        <w:spacing w:line="520" w:lineRule="exact"/>
        <w:ind w:firstLineChars="200" w:firstLine="640"/>
        <w:outlineLvl w:val="4"/>
        <w:rPr>
          <w:rFonts w:ascii="Times New Roman" w:eastAsia="仿宋_GB2312" w:hAnsi="Times New Roman" w:cs="Times New Roman"/>
          <w:sz w:val="32"/>
          <w:szCs w:val="32"/>
        </w:rPr>
      </w:pPr>
      <w:bookmarkStart w:id="988" w:name="_Toc110419102"/>
      <w:bookmarkStart w:id="989" w:name="_Toc110418963"/>
      <w:bookmarkStart w:id="990" w:name="_Toc118298938"/>
      <w:r>
        <w:rPr>
          <w:rFonts w:ascii="Times New Roman" w:eastAsia="仿宋_GB2312" w:hAnsi="Times New Roman" w:cs="Times New Roman"/>
          <w:sz w:val="32"/>
          <w:szCs w:val="32"/>
        </w:rPr>
        <w:t xml:space="preserve">5.3.2 </w:t>
      </w:r>
      <w:r>
        <w:rPr>
          <w:rFonts w:ascii="Times New Roman" w:eastAsia="仿宋_GB2312" w:hAnsi="Times New Roman" w:cs="Times New Roman"/>
          <w:sz w:val="32"/>
          <w:szCs w:val="32"/>
        </w:rPr>
        <w:t>重金属及微量元素含量应符合以下规定。</w:t>
      </w:r>
      <w:bookmarkEnd w:id="988"/>
      <w:bookmarkEnd w:id="989"/>
      <w:bookmarkEnd w:id="990"/>
    </w:p>
    <w:p w14:paraId="562D76AC"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91" w:name="_Toc110418964"/>
      <w:bookmarkStart w:id="992" w:name="_Toc110419103"/>
      <w:bookmarkStart w:id="993" w:name="_Toc118298939"/>
      <w:r>
        <w:rPr>
          <w:rFonts w:ascii="Times New Roman" w:eastAsia="仿宋_GB2312" w:hAnsi="Times New Roman" w:cs="Times New Roman"/>
          <w:b w:val="0"/>
          <w:sz w:val="32"/>
          <w:szCs w:val="32"/>
        </w:rPr>
        <w:t>5.3.2.1</w:t>
      </w:r>
      <w:r>
        <w:rPr>
          <w:rFonts w:ascii="Times New Roman" w:eastAsia="仿宋_GB2312" w:hAnsi="Times New Roman" w:cs="Times New Roman"/>
          <w:b w:val="0"/>
          <w:sz w:val="32"/>
          <w:szCs w:val="32"/>
        </w:rPr>
        <w:t>重金属元素</w:t>
      </w:r>
      <w:bookmarkEnd w:id="991"/>
      <w:bookmarkEnd w:id="992"/>
      <w:bookmarkEnd w:id="993"/>
    </w:p>
    <w:p w14:paraId="292E86A4"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对工艺中添加的重金属元素，应符合规定限值。</w:t>
      </w:r>
    </w:p>
    <w:p w14:paraId="78F01977"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94" w:name="_Toc110418965"/>
      <w:bookmarkStart w:id="995" w:name="_Toc110419104"/>
      <w:bookmarkStart w:id="996" w:name="_Toc118298940"/>
      <w:r>
        <w:rPr>
          <w:rFonts w:ascii="Times New Roman" w:eastAsia="仿宋_GB2312" w:hAnsi="Times New Roman" w:cs="Times New Roman"/>
          <w:b w:val="0"/>
          <w:sz w:val="32"/>
          <w:szCs w:val="32"/>
        </w:rPr>
        <w:lastRenderedPageBreak/>
        <w:t>5.3.2.2</w:t>
      </w:r>
      <w:r>
        <w:rPr>
          <w:rFonts w:ascii="Times New Roman" w:eastAsia="仿宋_GB2312" w:hAnsi="Times New Roman" w:cs="Times New Roman"/>
          <w:b w:val="0"/>
          <w:sz w:val="32"/>
          <w:szCs w:val="32"/>
        </w:rPr>
        <w:t>重金属含量</w:t>
      </w:r>
      <w:bookmarkEnd w:id="994"/>
      <w:bookmarkEnd w:id="995"/>
      <w:bookmarkEnd w:id="996"/>
    </w:p>
    <w:p w14:paraId="2E0DECE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重金属总量（以</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计）应</w:t>
      </w:r>
      <w:r>
        <w:rPr>
          <w:rFonts w:ascii="Times New Roman" w:eastAsia="仿宋_GB2312" w:hAnsi="Times New Roman" w:cs="Times New Roman"/>
          <w:sz w:val="32"/>
          <w:szCs w:val="32"/>
        </w:rPr>
        <w:t>≤10μg/g</w:t>
      </w:r>
      <w:r>
        <w:rPr>
          <w:rFonts w:ascii="Times New Roman" w:eastAsia="仿宋_GB2312" w:hAnsi="Times New Roman" w:cs="Times New Roman"/>
          <w:sz w:val="32"/>
          <w:szCs w:val="32"/>
        </w:rPr>
        <w:t>。</w:t>
      </w:r>
    </w:p>
    <w:p w14:paraId="674651BA" w14:textId="77777777" w:rsidR="001B6A5B" w:rsidRDefault="00A41FA1">
      <w:pPr>
        <w:pStyle w:val="6"/>
        <w:spacing w:before="0" w:after="0" w:line="520" w:lineRule="exact"/>
        <w:ind w:firstLineChars="200" w:firstLine="640"/>
        <w:rPr>
          <w:rFonts w:ascii="Times New Roman" w:eastAsia="仿宋_GB2312" w:hAnsi="Times New Roman" w:cs="Times New Roman"/>
          <w:b w:val="0"/>
          <w:sz w:val="32"/>
          <w:szCs w:val="32"/>
        </w:rPr>
      </w:pPr>
      <w:bookmarkStart w:id="997" w:name="_Toc110418966"/>
      <w:bookmarkStart w:id="998" w:name="_Toc110419105"/>
      <w:bookmarkStart w:id="999" w:name="_Toc118298941"/>
      <w:r>
        <w:rPr>
          <w:rFonts w:ascii="Times New Roman" w:eastAsia="仿宋_GB2312" w:hAnsi="Times New Roman" w:cs="Times New Roman"/>
          <w:b w:val="0"/>
          <w:sz w:val="32"/>
          <w:szCs w:val="32"/>
        </w:rPr>
        <w:t>5.3.2.3</w:t>
      </w:r>
      <w:r>
        <w:rPr>
          <w:rFonts w:ascii="Times New Roman" w:eastAsia="仿宋_GB2312" w:hAnsi="Times New Roman" w:cs="Times New Roman"/>
          <w:b w:val="0"/>
          <w:sz w:val="32"/>
          <w:szCs w:val="32"/>
        </w:rPr>
        <w:t>微量元素含量</w:t>
      </w:r>
      <w:bookmarkEnd w:id="997"/>
      <w:bookmarkEnd w:id="998"/>
      <w:bookmarkEnd w:id="999"/>
    </w:p>
    <w:p w14:paraId="0FBA376C"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微量元素含量：砷（</w:t>
      </w:r>
      <w:r>
        <w:rPr>
          <w:rFonts w:ascii="Times New Roman" w:eastAsia="仿宋_GB2312" w:hAnsi="Times New Roman" w:cs="Times New Roman"/>
          <w:sz w:val="32"/>
          <w:szCs w:val="32"/>
        </w:rPr>
        <w:t>As</w:t>
      </w:r>
      <w:r>
        <w:rPr>
          <w:rFonts w:ascii="Times New Roman" w:eastAsia="仿宋_GB2312" w:hAnsi="Times New Roman" w:cs="Times New Roman"/>
          <w:sz w:val="32"/>
          <w:szCs w:val="32"/>
        </w:rPr>
        <w:t>）</w:t>
      </w:r>
      <w:r>
        <w:rPr>
          <w:rFonts w:ascii="Times New Roman" w:eastAsia="仿宋_GB2312" w:hAnsi="Times New Roman" w:cs="Times New Roman"/>
          <w:sz w:val="32"/>
          <w:szCs w:val="32"/>
        </w:rPr>
        <w:t>≤1 μg/g</w:t>
      </w:r>
      <w:r>
        <w:rPr>
          <w:rFonts w:ascii="Times New Roman" w:eastAsia="仿宋_GB2312" w:hAnsi="Times New Roman" w:cs="Times New Roman"/>
          <w:sz w:val="32"/>
          <w:szCs w:val="32"/>
        </w:rPr>
        <w:t>，汞（</w:t>
      </w:r>
      <w:r>
        <w:rPr>
          <w:rFonts w:ascii="Times New Roman" w:eastAsia="仿宋_GB2312" w:hAnsi="Times New Roman" w:cs="Times New Roman"/>
          <w:sz w:val="32"/>
          <w:szCs w:val="32"/>
        </w:rPr>
        <w:t>Hg</w:t>
      </w:r>
      <w:r>
        <w:rPr>
          <w:rFonts w:ascii="Times New Roman" w:eastAsia="仿宋_GB2312" w:hAnsi="Times New Roman" w:cs="Times New Roman"/>
          <w:sz w:val="32"/>
          <w:szCs w:val="32"/>
        </w:rPr>
        <w:t>）</w:t>
      </w:r>
      <w:r>
        <w:rPr>
          <w:rFonts w:ascii="Times New Roman" w:eastAsia="仿宋_GB2312" w:hAnsi="Times New Roman" w:cs="Times New Roman"/>
          <w:sz w:val="32"/>
          <w:szCs w:val="32"/>
        </w:rPr>
        <w:t>≤4 μg/g</w:t>
      </w:r>
      <w:r>
        <w:rPr>
          <w:rFonts w:ascii="Times New Roman" w:eastAsia="仿宋_GB2312" w:hAnsi="Times New Roman" w:cs="Times New Roman"/>
          <w:sz w:val="32"/>
          <w:szCs w:val="32"/>
        </w:rPr>
        <w:t>，铅（</w:t>
      </w:r>
      <w:r>
        <w:rPr>
          <w:rFonts w:ascii="Times New Roman" w:eastAsia="仿宋_GB2312" w:hAnsi="Times New Roman" w:cs="Times New Roman"/>
          <w:sz w:val="32"/>
          <w:szCs w:val="32"/>
        </w:rPr>
        <w:t>Pb</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≤10μg/g</w:t>
      </w:r>
      <w:r>
        <w:rPr>
          <w:rFonts w:ascii="Times New Roman" w:eastAsia="仿宋_GB2312" w:hAnsi="Times New Roman" w:cs="Times New Roman"/>
          <w:sz w:val="32"/>
          <w:szCs w:val="32"/>
        </w:rPr>
        <w:t>，铬（</w:t>
      </w:r>
      <w:r>
        <w:rPr>
          <w:rFonts w:ascii="Times New Roman" w:eastAsia="仿宋_GB2312" w:hAnsi="Times New Roman" w:cs="Times New Roman"/>
          <w:sz w:val="32"/>
          <w:szCs w:val="32"/>
        </w:rPr>
        <w:t>Cr</w:t>
      </w:r>
      <w:r>
        <w:rPr>
          <w:rFonts w:ascii="Times New Roman" w:eastAsia="仿宋_GB2312" w:hAnsi="Times New Roman" w:cs="Times New Roman"/>
          <w:sz w:val="32"/>
          <w:szCs w:val="32"/>
        </w:rPr>
        <w:t>）、镉（</w:t>
      </w:r>
      <w:r>
        <w:rPr>
          <w:rFonts w:ascii="Times New Roman" w:eastAsia="仿宋_GB2312" w:hAnsi="Times New Roman" w:cs="Times New Roman"/>
          <w:sz w:val="32"/>
          <w:szCs w:val="32"/>
        </w:rPr>
        <w:t>Cd</w:t>
      </w:r>
      <w:r>
        <w:rPr>
          <w:rFonts w:ascii="Times New Roman" w:eastAsia="仿宋_GB2312" w:hAnsi="Times New Roman" w:cs="Times New Roman"/>
          <w:sz w:val="32"/>
          <w:szCs w:val="32"/>
        </w:rPr>
        <w:t>）、铜（</w:t>
      </w:r>
      <w:r>
        <w:rPr>
          <w:rFonts w:ascii="Times New Roman" w:eastAsia="仿宋_GB2312" w:hAnsi="Times New Roman" w:cs="Times New Roman"/>
          <w:sz w:val="32"/>
          <w:szCs w:val="32"/>
        </w:rPr>
        <w:t>Cu</w:t>
      </w:r>
      <w:r>
        <w:rPr>
          <w:rFonts w:ascii="Times New Roman" w:eastAsia="仿宋_GB2312" w:hAnsi="Times New Roman" w:cs="Times New Roman"/>
          <w:sz w:val="32"/>
          <w:szCs w:val="32"/>
        </w:rPr>
        <w:t>）、钼（</w:t>
      </w:r>
      <w:r>
        <w:rPr>
          <w:rFonts w:ascii="Times New Roman" w:eastAsia="仿宋_GB2312" w:hAnsi="Times New Roman" w:cs="Times New Roman"/>
          <w:sz w:val="32"/>
          <w:szCs w:val="32"/>
        </w:rPr>
        <w:t>Mo</w:t>
      </w:r>
      <w:r>
        <w:rPr>
          <w:rFonts w:ascii="Times New Roman" w:eastAsia="仿宋_GB2312" w:hAnsi="Times New Roman" w:cs="Times New Roman"/>
          <w:sz w:val="32"/>
          <w:szCs w:val="32"/>
        </w:rPr>
        <w:t>）、铁（</w:t>
      </w:r>
      <w:r>
        <w:rPr>
          <w:rFonts w:ascii="Times New Roman" w:eastAsia="仿宋_GB2312" w:hAnsi="Times New Roman" w:cs="Times New Roman"/>
          <w:sz w:val="32"/>
          <w:szCs w:val="32"/>
        </w:rPr>
        <w:t>Fe</w:t>
      </w:r>
      <w:r>
        <w:rPr>
          <w:rFonts w:ascii="Times New Roman" w:eastAsia="仿宋_GB2312" w:hAnsi="Times New Roman" w:cs="Times New Roman"/>
          <w:sz w:val="32"/>
          <w:szCs w:val="32"/>
        </w:rPr>
        <w:t>）、镍（</w:t>
      </w:r>
      <w:r>
        <w:rPr>
          <w:rFonts w:ascii="Times New Roman" w:eastAsia="仿宋_GB2312" w:hAnsi="Times New Roman" w:cs="Times New Roman"/>
          <w:sz w:val="32"/>
          <w:szCs w:val="32"/>
        </w:rPr>
        <w:t>Ni</w:t>
      </w:r>
      <w:r>
        <w:rPr>
          <w:rFonts w:ascii="Times New Roman" w:eastAsia="仿宋_GB2312" w:hAnsi="Times New Roman" w:cs="Times New Roman"/>
          <w:sz w:val="32"/>
          <w:szCs w:val="32"/>
        </w:rPr>
        <w:t>）总量应</w:t>
      </w:r>
      <w:r>
        <w:rPr>
          <w:rFonts w:ascii="Times New Roman" w:eastAsia="仿宋_GB2312" w:hAnsi="Times New Roman" w:cs="Times New Roman"/>
          <w:sz w:val="32"/>
          <w:szCs w:val="32"/>
        </w:rPr>
        <w:t>≤50μg/g</w:t>
      </w:r>
      <w:r>
        <w:rPr>
          <w:rFonts w:ascii="Times New Roman" w:eastAsia="仿宋_GB2312" w:hAnsi="Times New Roman" w:cs="Times New Roman"/>
          <w:sz w:val="32"/>
          <w:szCs w:val="32"/>
        </w:rPr>
        <w:t>。</w:t>
      </w:r>
    </w:p>
    <w:p w14:paraId="75ECDE75"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00" w:name="_Toc110418967"/>
      <w:bookmarkStart w:id="1001" w:name="_Toc110419106"/>
      <w:bookmarkStart w:id="1002" w:name="_Toc118298942"/>
      <w:r>
        <w:rPr>
          <w:rFonts w:ascii="Times New Roman" w:eastAsia="仿宋_GB2312" w:hAnsi="Times New Roman" w:cs="Times New Roman"/>
          <w:kern w:val="0"/>
          <w:sz w:val="32"/>
          <w:szCs w:val="32"/>
        </w:rPr>
        <w:t xml:space="preserve">5.4 </w:t>
      </w:r>
      <w:r>
        <w:rPr>
          <w:rFonts w:ascii="Times New Roman" w:eastAsia="仿宋_GB2312" w:hAnsi="Times New Roman" w:cs="Times New Roman"/>
          <w:kern w:val="0"/>
          <w:sz w:val="32"/>
          <w:szCs w:val="32"/>
        </w:rPr>
        <w:t>细菌内毒素</w:t>
      </w:r>
      <w:bookmarkEnd w:id="1000"/>
      <w:bookmarkEnd w:id="1001"/>
      <w:bookmarkEnd w:id="1002"/>
    </w:p>
    <w:p w14:paraId="1B1F1F80"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关于细菌内毒素相关限值需结合医疗器械终产品的用途及用法进行设定。</w:t>
      </w:r>
    </w:p>
    <w:p w14:paraId="140821AF"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03" w:name="_Toc110418968"/>
      <w:bookmarkStart w:id="1004" w:name="_Toc110419107"/>
      <w:bookmarkStart w:id="1005" w:name="_Toc118298943"/>
      <w:r>
        <w:rPr>
          <w:rFonts w:ascii="Times New Roman" w:eastAsia="仿宋_GB2312" w:hAnsi="Times New Roman" w:cs="Times New Roman"/>
          <w:kern w:val="0"/>
          <w:sz w:val="32"/>
          <w:szCs w:val="32"/>
        </w:rPr>
        <w:t xml:space="preserve">5.5 </w:t>
      </w:r>
      <w:r>
        <w:rPr>
          <w:rFonts w:ascii="Times New Roman" w:eastAsia="仿宋_GB2312" w:hAnsi="Times New Roman" w:cs="Times New Roman"/>
          <w:kern w:val="0"/>
          <w:sz w:val="32"/>
          <w:szCs w:val="32"/>
        </w:rPr>
        <w:t>微生物限度</w:t>
      </w:r>
      <w:bookmarkEnd w:id="1003"/>
      <w:bookmarkEnd w:id="1004"/>
      <w:bookmarkEnd w:id="1005"/>
    </w:p>
    <w:p w14:paraId="1700E22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b/>
        <w:t xml:space="preserve">    </w:t>
      </w:r>
      <w:r>
        <w:rPr>
          <w:rFonts w:ascii="Times New Roman" w:eastAsia="仿宋_GB2312" w:hAnsi="Times New Roman" w:cs="Times New Roman"/>
          <w:sz w:val="32"/>
          <w:szCs w:val="32"/>
        </w:rPr>
        <w:t>若</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以微生物限度</w:t>
      </w:r>
      <w:r>
        <w:rPr>
          <w:rFonts w:ascii="Times New Roman" w:eastAsia="仿宋_GB2312" w:hAnsi="Times New Roman" w:cs="Times New Roman" w:hint="eastAsia"/>
          <w:sz w:val="32"/>
          <w:szCs w:val="32"/>
        </w:rPr>
        <w:t>控制状态</w:t>
      </w:r>
      <w:r>
        <w:rPr>
          <w:rFonts w:ascii="Times New Roman" w:eastAsia="仿宋_GB2312" w:hAnsi="Times New Roman" w:cs="Times New Roman"/>
          <w:sz w:val="32"/>
          <w:szCs w:val="32"/>
        </w:rPr>
        <w:t>提供，按照《中华人民共和国药典》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非无菌产品微生物限度检查：微生物计数法和、非无菌产品微生物限度检查：控制菌检查法进行检测，结果应符合相关要求。</w:t>
      </w:r>
    </w:p>
    <w:p w14:paraId="17F1F3FA"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06" w:name="_Toc110418969"/>
      <w:bookmarkStart w:id="1007" w:name="_Toc110419108"/>
      <w:bookmarkStart w:id="1008" w:name="_Toc118298944"/>
      <w:r>
        <w:rPr>
          <w:rFonts w:ascii="Times New Roman" w:eastAsia="仿宋_GB2312" w:hAnsi="Times New Roman" w:cs="Times New Roman"/>
          <w:kern w:val="0"/>
          <w:sz w:val="32"/>
          <w:szCs w:val="32"/>
        </w:rPr>
        <w:t xml:space="preserve">5.6 </w:t>
      </w:r>
      <w:r>
        <w:rPr>
          <w:rFonts w:ascii="Times New Roman" w:eastAsia="仿宋_GB2312" w:hAnsi="Times New Roman" w:cs="Times New Roman"/>
          <w:kern w:val="0"/>
          <w:sz w:val="32"/>
          <w:szCs w:val="32"/>
        </w:rPr>
        <w:t>无菌性</w:t>
      </w:r>
      <w:bookmarkEnd w:id="1006"/>
      <w:bookmarkEnd w:id="1007"/>
      <w:bookmarkEnd w:id="1008"/>
    </w:p>
    <w:p w14:paraId="38297B90"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若胶原蛋白材料以无菌</w:t>
      </w:r>
      <w:r>
        <w:rPr>
          <w:rFonts w:ascii="Times New Roman" w:eastAsia="仿宋_GB2312" w:hint="eastAsia"/>
          <w:sz w:val="32"/>
          <w:szCs w:val="32"/>
        </w:rPr>
        <w:t>状态</w:t>
      </w:r>
      <w:r>
        <w:rPr>
          <w:rFonts w:ascii="Times New Roman" w:eastAsia="仿宋_GB2312"/>
          <w:sz w:val="32"/>
          <w:szCs w:val="32"/>
        </w:rPr>
        <w:t>提供，按照《中华人民共和国药典》</w:t>
      </w:r>
      <w:r>
        <w:rPr>
          <w:rFonts w:ascii="Times New Roman" w:eastAsia="仿宋_GB2312"/>
          <w:sz w:val="32"/>
          <w:szCs w:val="32"/>
        </w:rPr>
        <w:t xml:space="preserve"> </w:t>
      </w:r>
      <w:r>
        <w:rPr>
          <w:rFonts w:ascii="Times New Roman" w:eastAsia="仿宋_GB2312"/>
          <w:sz w:val="32"/>
          <w:szCs w:val="32"/>
        </w:rPr>
        <w:t>四部通则</w:t>
      </w:r>
      <w:r>
        <w:rPr>
          <w:rFonts w:ascii="Times New Roman" w:eastAsia="仿宋_GB2312"/>
          <w:sz w:val="32"/>
          <w:szCs w:val="32"/>
        </w:rPr>
        <w:t xml:space="preserve"> </w:t>
      </w:r>
      <w:r>
        <w:rPr>
          <w:rFonts w:ascii="Times New Roman" w:eastAsia="仿宋_GB2312"/>
          <w:sz w:val="32"/>
          <w:szCs w:val="32"/>
        </w:rPr>
        <w:t>无菌检查法进行检测，结果应无菌。</w:t>
      </w:r>
    </w:p>
    <w:p w14:paraId="2A761091"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09" w:name="_Toc110418970"/>
      <w:bookmarkStart w:id="1010" w:name="_Toc110419109"/>
      <w:bookmarkStart w:id="1011" w:name="_Toc118298945"/>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分子变异体</w:t>
      </w:r>
      <w:bookmarkEnd w:id="1009"/>
      <w:bookmarkEnd w:id="1010"/>
      <w:bookmarkEnd w:id="1011"/>
    </w:p>
    <w:p w14:paraId="0E664892"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建议对胶原蛋白材料的各种分子变异体进行分离、鉴别和分析。如变异体的功能与目标产物一致时可不做杂质考虑。应考虑在生产和</w:t>
      </w:r>
      <w:r>
        <w:rPr>
          <w:rFonts w:ascii="Times New Roman" w:eastAsia="仿宋_GB2312"/>
          <w:sz w:val="32"/>
          <w:szCs w:val="32"/>
        </w:rPr>
        <w:t>/</w:t>
      </w:r>
      <w:r>
        <w:rPr>
          <w:rFonts w:ascii="Times New Roman" w:eastAsia="仿宋_GB2312"/>
          <w:sz w:val="32"/>
          <w:szCs w:val="32"/>
        </w:rPr>
        <w:t>或贮存期间胶原蛋白材料降解产物是否显著增加及其与免疫原性的相关性。以下为最常见的目的胶原蛋白材料的分子变异体，并列出了相应的检测方法：</w:t>
      </w:r>
    </w:p>
    <w:p w14:paraId="04FABDDE"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12" w:name="_Toc110418971"/>
      <w:bookmarkStart w:id="1013" w:name="_Toc110419110"/>
      <w:bookmarkStart w:id="1014" w:name="_Toc118298946"/>
      <w:r>
        <w:rPr>
          <w:rFonts w:ascii="Times New Roman" w:eastAsia="仿宋_GB2312" w:hAnsi="Times New Roman" w:cs="Times New Roman"/>
          <w:kern w:val="0"/>
          <w:sz w:val="32"/>
          <w:szCs w:val="32"/>
        </w:rPr>
        <w:t xml:space="preserve">6.1 </w:t>
      </w:r>
      <w:r>
        <w:rPr>
          <w:rFonts w:ascii="Times New Roman" w:eastAsia="仿宋_GB2312" w:hAnsi="Times New Roman" w:cs="Times New Roman"/>
          <w:kern w:val="0"/>
          <w:sz w:val="32"/>
          <w:szCs w:val="32"/>
        </w:rPr>
        <w:t>化学修饰类型</w:t>
      </w:r>
      <w:bookmarkEnd w:id="1012"/>
      <w:bookmarkEnd w:id="1013"/>
      <w:bookmarkEnd w:id="1014"/>
    </w:p>
    <w:p w14:paraId="2252A34D"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lastRenderedPageBreak/>
        <w:t>应考虑脱酰胺、异构化、错配</w:t>
      </w:r>
      <w:r>
        <w:rPr>
          <w:rFonts w:ascii="Times New Roman" w:eastAsia="仿宋_GB2312"/>
          <w:sz w:val="32"/>
          <w:szCs w:val="32"/>
        </w:rPr>
        <w:t>S-S</w:t>
      </w:r>
      <w:r>
        <w:rPr>
          <w:rFonts w:ascii="Times New Roman" w:eastAsia="仿宋_GB2312"/>
          <w:sz w:val="32"/>
          <w:szCs w:val="32"/>
        </w:rPr>
        <w:t>连接和氧化形式的分离和鉴别。对这些变异体的分离和鉴别，可应用层析法和</w:t>
      </w:r>
      <w:r>
        <w:rPr>
          <w:rFonts w:ascii="Times New Roman" w:eastAsia="仿宋_GB2312"/>
          <w:sz w:val="32"/>
          <w:szCs w:val="32"/>
        </w:rPr>
        <w:t>/</w:t>
      </w:r>
      <w:r>
        <w:rPr>
          <w:rFonts w:ascii="Times New Roman" w:eastAsia="仿宋_GB2312"/>
          <w:sz w:val="32"/>
          <w:szCs w:val="32"/>
        </w:rPr>
        <w:t>或电泳法（如</w:t>
      </w:r>
      <w:r>
        <w:rPr>
          <w:rFonts w:ascii="Times New Roman" w:eastAsia="仿宋_GB2312"/>
          <w:sz w:val="32"/>
          <w:szCs w:val="32"/>
        </w:rPr>
        <w:t>HPLC</w:t>
      </w:r>
      <w:r>
        <w:rPr>
          <w:rFonts w:ascii="Times New Roman" w:eastAsia="仿宋_GB2312"/>
          <w:sz w:val="32"/>
          <w:szCs w:val="32"/>
        </w:rPr>
        <w:t>、毛细管电泳、质谱法、圆二色谱）。</w:t>
      </w:r>
    </w:p>
    <w:p w14:paraId="574F768C"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15" w:name="_Toc110418972"/>
      <w:bookmarkStart w:id="1016" w:name="_Toc110419111"/>
      <w:bookmarkStart w:id="1017" w:name="_Toc118298947"/>
      <w:r>
        <w:rPr>
          <w:rFonts w:ascii="Times New Roman" w:eastAsia="仿宋_GB2312" w:hAnsi="Times New Roman" w:cs="Times New Roman"/>
          <w:kern w:val="0"/>
          <w:sz w:val="32"/>
          <w:szCs w:val="32"/>
        </w:rPr>
        <w:t xml:space="preserve">6.2 </w:t>
      </w:r>
      <w:r>
        <w:rPr>
          <w:rFonts w:ascii="Times New Roman" w:eastAsia="仿宋_GB2312" w:hAnsi="Times New Roman" w:cs="Times New Roman"/>
          <w:kern w:val="0"/>
          <w:sz w:val="32"/>
          <w:szCs w:val="32"/>
        </w:rPr>
        <w:t>降解物和聚合体</w:t>
      </w:r>
      <w:bookmarkEnd w:id="1015"/>
      <w:bookmarkEnd w:id="1016"/>
      <w:bookmarkEnd w:id="1017"/>
    </w:p>
    <w:p w14:paraId="1E83ADD5"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降解物和聚合体：聚合体包括二聚体和多聚体，可用分子筛层析法（如</w:t>
      </w:r>
      <w:r>
        <w:rPr>
          <w:rFonts w:ascii="Times New Roman" w:eastAsia="仿宋_GB2312"/>
          <w:sz w:val="32"/>
          <w:szCs w:val="32"/>
        </w:rPr>
        <w:t>SE-HPLC</w:t>
      </w:r>
      <w:r>
        <w:rPr>
          <w:rFonts w:ascii="Times New Roman" w:eastAsia="仿宋_GB2312"/>
          <w:sz w:val="32"/>
          <w:szCs w:val="32"/>
        </w:rPr>
        <w:t>）进行定量；应建立降解物的判定标准，并对稳定性试验产生的降解产物进行监测。</w:t>
      </w:r>
    </w:p>
    <w:p w14:paraId="3CB0771B"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18" w:name="_Toc110418973"/>
      <w:bookmarkStart w:id="1019" w:name="_Toc110419112"/>
      <w:bookmarkStart w:id="1020" w:name="_Toc118298948"/>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热稳定性</w:t>
      </w:r>
      <w:bookmarkEnd w:id="1018"/>
      <w:bookmarkEnd w:id="1019"/>
      <w:bookmarkEnd w:id="1020"/>
    </w:p>
    <w:p w14:paraId="58D61F86"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如果重组胶原蛋白是多聚体，可采用差示扫描量热分析（</w:t>
      </w:r>
      <w:r>
        <w:rPr>
          <w:rFonts w:ascii="Times New Roman" w:eastAsia="仿宋_GB2312" w:hAnsi="Times New Roman" w:cs="Times New Roman"/>
          <w:sz w:val="32"/>
          <w:szCs w:val="32"/>
        </w:rPr>
        <w:t>DSC</w:t>
      </w:r>
      <w:r>
        <w:rPr>
          <w:rFonts w:ascii="Times New Roman" w:eastAsia="仿宋_GB2312" w:hAnsi="Times New Roman" w:cs="Times New Roman"/>
          <w:sz w:val="32"/>
          <w:szCs w:val="32"/>
        </w:rPr>
        <w:t>）进行解聚温度分析。可参考《中华人民共和国药典》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w:t>
      </w:r>
    </w:p>
    <w:p w14:paraId="298433EB"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如果是单链的蛋白肽，可参考《中华人民共和国药典》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人免疫球蛋白</w:t>
      </w:r>
      <w:r>
        <w:rPr>
          <w:rFonts w:ascii="Times New Roman" w:eastAsia="仿宋_GB2312" w:hAnsi="Times New Roman" w:cs="Times New Roman"/>
          <w:sz w:val="32"/>
          <w:szCs w:val="32"/>
        </w:rPr>
        <w:t>3.3.2.4</w:t>
      </w:r>
      <w:r>
        <w:rPr>
          <w:rFonts w:ascii="Times New Roman" w:eastAsia="仿宋_GB2312" w:hAnsi="Times New Roman" w:cs="Times New Roman"/>
          <w:sz w:val="32"/>
          <w:szCs w:val="32"/>
        </w:rPr>
        <w:t>热稳定性试验，将供试品置（</w:t>
      </w:r>
      <w:r>
        <w:rPr>
          <w:rFonts w:ascii="Times New Roman" w:eastAsia="仿宋_GB2312" w:hAnsi="Times New Roman" w:cs="Times New Roman"/>
          <w:sz w:val="32"/>
          <w:szCs w:val="32"/>
        </w:rPr>
        <w:t>57±0.5</w:t>
      </w:r>
      <w:r>
        <w:rPr>
          <w:rFonts w:ascii="Times New Roman" w:eastAsia="仿宋_GB2312" w:hAnsi="Times New Roman" w:cs="Times New Roman"/>
          <w:sz w:val="32"/>
          <w:szCs w:val="32"/>
        </w:rPr>
        <w:t>）</w:t>
      </w:r>
      <w:r>
        <w:rPr>
          <w:rFonts w:eastAsia="宋体" w:hAnsi="Times New Roman" w:cs="Times New Roman"/>
          <w:sz w:val="32"/>
          <w:szCs w:val="32"/>
        </w:rPr>
        <w:t>℃</w:t>
      </w:r>
      <w:r>
        <w:rPr>
          <w:rFonts w:ascii="Times New Roman" w:eastAsia="仿宋_GB2312" w:hAnsi="Times New Roman" w:cs="Times New Roman"/>
          <w:sz w:val="32"/>
          <w:szCs w:val="32"/>
        </w:rPr>
        <w:t>水浴中保温</w:t>
      </w:r>
      <w:r>
        <w:rPr>
          <w:rFonts w:ascii="Times New Roman" w:eastAsia="仿宋_GB2312" w:hAnsi="Times New Roman" w:cs="Times New Roman"/>
          <w:sz w:val="32"/>
          <w:szCs w:val="32"/>
        </w:rPr>
        <w:t>4 h</w:t>
      </w:r>
      <w:r>
        <w:rPr>
          <w:rFonts w:ascii="Times New Roman" w:eastAsia="仿宋_GB2312" w:hAnsi="Times New Roman" w:cs="Times New Roman"/>
          <w:sz w:val="32"/>
          <w:szCs w:val="32"/>
        </w:rPr>
        <w:t>后，用可见异物检查装置，肉眼观察应无凝胶化或絮状物。</w:t>
      </w:r>
    </w:p>
    <w:p w14:paraId="4FC888D9"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21" w:name="_Toc110418974"/>
      <w:bookmarkStart w:id="1022" w:name="_Toc110419113"/>
      <w:bookmarkStart w:id="1023" w:name="_Toc118298949"/>
      <w:r>
        <w:rPr>
          <w:rFonts w:ascii="Times New Roman" w:eastAsia="仿宋_GB2312" w:hAnsi="Times New Roman" w:cs="Times New Roman"/>
          <w:kern w:val="0"/>
          <w:sz w:val="32"/>
          <w:szCs w:val="32"/>
        </w:rPr>
        <w:t>8</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降解特性及产物</w:t>
      </w:r>
      <w:bookmarkEnd w:id="1021"/>
      <w:bookmarkEnd w:id="1022"/>
      <w:bookmarkEnd w:id="1023"/>
    </w:p>
    <w:p w14:paraId="5B36DBCD"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应对</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降解特性进行研究，可采用</w:t>
      </w:r>
      <w:r>
        <w:rPr>
          <w:rFonts w:ascii="Times New Roman" w:eastAsia="仿宋_GB2312" w:hAnsi="Times New Roman" w:cs="Times New Roman"/>
          <w:sz w:val="32"/>
          <w:szCs w:val="32"/>
        </w:rPr>
        <w:t>GPC</w:t>
      </w:r>
      <w:r>
        <w:rPr>
          <w:rFonts w:ascii="Times New Roman" w:eastAsia="仿宋_GB2312" w:hAnsi="Times New Roman" w:cs="Times New Roman"/>
          <w:sz w:val="32"/>
          <w:szCs w:val="32"/>
        </w:rPr>
        <w:t>测定降解产物的分子量分布及分子量，水解</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酶解产物可使用氨基酸分析仪、高效液相色谱或其他适宜的方法测定。</w:t>
      </w:r>
    </w:p>
    <w:p w14:paraId="629B21AF"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24" w:name="_Toc110419114"/>
      <w:bookmarkStart w:id="1025" w:name="_Toc110418975"/>
      <w:bookmarkStart w:id="1026" w:name="_Toc118298950"/>
      <w:r>
        <w:rPr>
          <w:rFonts w:ascii="Times New Roman" w:eastAsia="仿宋_GB2312" w:hAnsi="Times New Roman" w:cs="Times New Roman"/>
          <w:kern w:val="0"/>
          <w:sz w:val="32"/>
          <w:szCs w:val="32"/>
        </w:rPr>
        <w:t>9</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其</w:t>
      </w:r>
      <w:r w:rsidR="00952120">
        <w:rPr>
          <w:rFonts w:ascii="Times New Roman" w:eastAsia="仿宋_GB2312" w:hAnsi="Times New Roman" w:cs="Times New Roman" w:hint="eastAsia"/>
          <w:kern w:val="0"/>
          <w:sz w:val="32"/>
          <w:szCs w:val="32"/>
        </w:rPr>
        <w:t>它</w:t>
      </w:r>
      <w:r>
        <w:rPr>
          <w:rFonts w:ascii="Times New Roman" w:eastAsia="仿宋_GB2312" w:hAnsi="Times New Roman" w:cs="Times New Roman"/>
          <w:kern w:val="0"/>
          <w:sz w:val="32"/>
          <w:szCs w:val="32"/>
        </w:rPr>
        <w:t>理化指标</w:t>
      </w:r>
      <w:bookmarkEnd w:id="1024"/>
      <w:bookmarkEnd w:id="1025"/>
      <w:bookmarkEnd w:id="1026"/>
    </w:p>
    <w:p w14:paraId="74682B16"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其它性能指标宜根据医疗器械终产品特性及相关通用要求制定，</w:t>
      </w:r>
      <w:r>
        <w:rPr>
          <w:rFonts w:ascii="Times New Roman" w:eastAsia="仿宋_GB2312" w:hAnsi="Times New Roman" w:cs="Times New Roman" w:hint="eastAsia"/>
          <w:sz w:val="32"/>
          <w:szCs w:val="32"/>
        </w:rPr>
        <w:t>在适用时，需</w:t>
      </w:r>
      <w:r>
        <w:rPr>
          <w:rFonts w:ascii="Times New Roman" w:eastAsia="仿宋_GB2312" w:hAnsi="Times New Roman" w:cs="Times New Roman"/>
          <w:sz w:val="32"/>
          <w:szCs w:val="32"/>
        </w:rPr>
        <w:t>对相关性能指标检测方法使用的对照品进行性能研究，对照品技术参数应明确</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性能稳定。用于理化测定等方面的对照品，应进行必要的分析鉴定，包括但不限于：</w:t>
      </w:r>
    </w:p>
    <w:p w14:paraId="5B49D623"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27" w:name="_Toc110418976"/>
      <w:bookmarkStart w:id="1028" w:name="_Toc110419115"/>
      <w:bookmarkStart w:id="1029" w:name="_Toc118298951"/>
      <w:r>
        <w:rPr>
          <w:rFonts w:ascii="Times New Roman" w:eastAsia="仿宋_GB2312" w:hAnsi="Times New Roman" w:cs="Times New Roman"/>
          <w:kern w:val="0"/>
          <w:sz w:val="32"/>
          <w:szCs w:val="32"/>
        </w:rPr>
        <w:t xml:space="preserve">9.1 </w:t>
      </w:r>
      <w:r>
        <w:rPr>
          <w:rFonts w:ascii="Times New Roman" w:eastAsia="仿宋_GB2312" w:hAnsi="Times New Roman" w:cs="Times New Roman"/>
          <w:kern w:val="0"/>
          <w:sz w:val="32"/>
          <w:szCs w:val="32"/>
        </w:rPr>
        <w:t>外观（如性状、颜色）</w:t>
      </w:r>
      <w:bookmarkEnd w:id="1027"/>
      <w:bookmarkEnd w:id="1028"/>
      <w:bookmarkEnd w:id="1029"/>
    </w:p>
    <w:p w14:paraId="3AA8F354"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用肉眼直接观测，应为白色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淡黄色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无色透明液体或凝胶，或白色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类白色冻干粉或海绵状固体。</w:t>
      </w:r>
      <w:r>
        <w:rPr>
          <w:rFonts w:ascii="Times New Roman" w:eastAsia="仿宋_GB2312" w:hAnsi="Times New Roman" w:cs="Times New Roman"/>
          <w:sz w:val="32"/>
          <w:szCs w:val="32"/>
        </w:rPr>
        <w:t xml:space="preserve"> </w:t>
      </w:r>
    </w:p>
    <w:p w14:paraId="7E8BA598"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注：随着行业发展，可能存在其他外观要求，应根据原材料具体形态规定外观要求。</w:t>
      </w:r>
    </w:p>
    <w:p w14:paraId="4E5CAE61"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30" w:name="_Toc110418977"/>
      <w:bookmarkStart w:id="1031" w:name="_Toc110419116"/>
      <w:bookmarkStart w:id="1032" w:name="_Toc118298952"/>
      <w:r>
        <w:rPr>
          <w:rFonts w:ascii="Times New Roman" w:eastAsia="仿宋_GB2312" w:hAnsi="Times New Roman" w:cs="Times New Roman"/>
          <w:kern w:val="0"/>
          <w:sz w:val="32"/>
          <w:szCs w:val="32"/>
        </w:rPr>
        <w:t xml:space="preserve">9.2 </w:t>
      </w:r>
      <w:r>
        <w:rPr>
          <w:rFonts w:ascii="Times New Roman" w:eastAsia="仿宋_GB2312" w:hAnsi="Times New Roman" w:cs="Times New Roman"/>
          <w:kern w:val="0"/>
          <w:sz w:val="32"/>
          <w:szCs w:val="32"/>
        </w:rPr>
        <w:t>可见异物</w:t>
      </w:r>
      <w:bookmarkEnd w:id="1030"/>
      <w:bookmarkEnd w:id="1031"/>
      <w:bookmarkEnd w:id="1032"/>
    </w:p>
    <w:p w14:paraId="549AAA4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可见异物检查法第一法（灯检法）进行检测，应无明显异物。</w:t>
      </w:r>
    </w:p>
    <w:p w14:paraId="4C848831"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33" w:name="_Toc110418978"/>
      <w:bookmarkStart w:id="1034" w:name="_Toc110419117"/>
      <w:bookmarkStart w:id="1035" w:name="_Toc118298953"/>
      <w:r>
        <w:rPr>
          <w:rFonts w:ascii="Times New Roman" w:eastAsia="仿宋_GB2312" w:hAnsi="Times New Roman" w:cs="Times New Roman"/>
          <w:kern w:val="0"/>
          <w:sz w:val="32"/>
          <w:szCs w:val="32"/>
        </w:rPr>
        <w:t xml:space="preserve">9.3 </w:t>
      </w:r>
      <w:r>
        <w:rPr>
          <w:rFonts w:ascii="Times New Roman" w:eastAsia="仿宋_GB2312" w:hAnsi="Times New Roman" w:cs="Times New Roman"/>
          <w:kern w:val="0"/>
          <w:sz w:val="32"/>
          <w:szCs w:val="32"/>
        </w:rPr>
        <w:t>溶解性</w:t>
      </w:r>
      <w:bookmarkEnd w:id="1033"/>
      <w:bookmarkEnd w:id="1034"/>
      <w:bookmarkEnd w:id="1035"/>
    </w:p>
    <w:p w14:paraId="1369A46F"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应根据供试品的溶解特性，对供试品在水、稀酸或中性盐溶液中的溶解程度进行表征和阐述。称取适量样品，于</w:t>
      </w:r>
      <w:r>
        <w:rPr>
          <w:rFonts w:ascii="Times New Roman" w:eastAsia="仿宋_GB2312" w:hAnsi="Times New Roman" w:cs="Times New Roman"/>
          <w:sz w:val="32"/>
          <w:szCs w:val="32"/>
        </w:rPr>
        <w:t>25</w:t>
      </w:r>
      <w:r>
        <w:rPr>
          <w:rFonts w:eastAsia="宋体" w:hAnsi="Times New Roman" w:cs="Times New Roman"/>
          <w:sz w:val="32"/>
          <w:szCs w:val="32"/>
        </w:rPr>
        <w:t>℃</w:t>
      </w:r>
      <w:r>
        <w:rPr>
          <w:rFonts w:ascii="Times New Roman" w:eastAsia="仿宋_GB2312" w:hAnsi="Times New Roman" w:cs="Times New Roman"/>
          <w:sz w:val="32"/>
          <w:szCs w:val="32"/>
        </w:rPr>
        <w:t>±2</w:t>
      </w:r>
      <w:r>
        <w:rPr>
          <w:rFonts w:eastAsia="宋体" w:hAnsi="Times New Roman" w:cs="Times New Roman"/>
          <w:sz w:val="32"/>
          <w:szCs w:val="32"/>
        </w:rPr>
        <w:t>℃</w:t>
      </w:r>
      <w:r w:rsidR="001A693D">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定体积的溶剂中，每隔</w:t>
      </w:r>
      <w:r>
        <w:rPr>
          <w:rFonts w:ascii="Times New Roman" w:eastAsia="仿宋_GB2312" w:hAnsi="Times New Roman" w:cs="Times New Roman"/>
          <w:sz w:val="32"/>
          <w:szCs w:val="32"/>
        </w:rPr>
        <w:t>5min</w:t>
      </w:r>
      <w:r>
        <w:rPr>
          <w:rFonts w:ascii="Times New Roman" w:eastAsia="仿宋_GB2312" w:hAnsi="Times New Roman" w:cs="Times New Roman"/>
          <w:sz w:val="32"/>
          <w:szCs w:val="32"/>
        </w:rPr>
        <w:t>强力振摇</w:t>
      </w:r>
      <w:r>
        <w:rPr>
          <w:rFonts w:ascii="Times New Roman" w:eastAsia="仿宋_GB2312" w:hAnsi="Times New Roman" w:cs="Times New Roman"/>
          <w:sz w:val="32"/>
          <w:szCs w:val="32"/>
        </w:rPr>
        <w:t>30s</w:t>
      </w:r>
      <w:r>
        <w:rPr>
          <w:rFonts w:ascii="Times New Roman" w:eastAsia="仿宋_GB2312" w:hAnsi="Times New Roman" w:cs="Times New Roman"/>
          <w:sz w:val="32"/>
          <w:szCs w:val="32"/>
        </w:rPr>
        <w:t>；观察</w:t>
      </w:r>
      <w:r>
        <w:rPr>
          <w:rFonts w:ascii="Times New Roman" w:eastAsia="仿宋_GB2312" w:hAnsi="Times New Roman" w:cs="Times New Roman"/>
          <w:sz w:val="32"/>
          <w:szCs w:val="32"/>
        </w:rPr>
        <w:t>30min</w:t>
      </w:r>
      <w:r>
        <w:rPr>
          <w:rFonts w:ascii="Times New Roman" w:eastAsia="仿宋_GB2312" w:hAnsi="Times New Roman" w:cs="Times New Roman"/>
          <w:sz w:val="32"/>
          <w:szCs w:val="32"/>
        </w:rPr>
        <w:t>内的溶解情况，如无目视可见的溶质颗粒或液滴时，即视为完全溶解。</w:t>
      </w:r>
    </w:p>
    <w:p w14:paraId="56D5E7A0" w14:textId="77777777" w:rsidR="001B6A5B" w:rsidRDefault="001B6A5B">
      <w:pPr>
        <w:pStyle w:val="af8"/>
        <w:spacing w:line="520" w:lineRule="exact"/>
        <w:ind w:firstLine="640"/>
        <w:rPr>
          <w:rFonts w:ascii="Times New Roman" w:eastAsia="仿宋_GB2312" w:hAnsi="Times New Roman" w:cs="Times New Roman"/>
          <w:sz w:val="32"/>
          <w:szCs w:val="32"/>
        </w:rPr>
      </w:pPr>
    </w:p>
    <w:p w14:paraId="6723D2E5" w14:textId="77777777" w:rsidR="001B6A5B" w:rsidRDefault="00A41FA1">
      <w:pPr>
        <w:pStyle w:val="af8"/>
        <w:spacing w:line="520" w:lineRule="exact"/>
        <w:ind w:firstLineChars="0" w:firstLine="0"/>
        <w:jc w:val="center"/>
        <w:rPr>
          <w:rFonts w:ascii="黑体" w:eastAsia="黑体" w:hAnsi="黑体" w:cs="Times New Roman"/>
          <w:sz w:val="28"/>
          <w:szCs w:val="28"/>
        </w:rPr>
      </w:pPr>
      <w:r>
        <w:rPr>
          <w:rFonts w:ascii="黑体" w:eastAsia="黑体" w:hAnsi="黑体" w:cs="Times New Roman"/>
          <w:b/>
          <w:bCs/>
          <w:sz w:val="28"/>
          <w:szCs w:val="28"/>
        </w:rPr>
        <w:t>表7 水</w:t>
      </w:r>
      <w:r>
        <w:rPr>
          <w:rFonts w:ascii="黑体" w:eastAsia="黑体" w:hAnsi="黑体" w:cs="Times New Roman"/>
          <w:sz w:val="28"/>
          <w:szCs w:val="28"/>
        </w:rPr>
        <w:t>溶解</w:t>
      </w:r>
      <w:r>
        <w:rPr>
          <w:rFonts w:ascii="黑体" w:eastAsia="黑体" w:hAnsi="黑体" w:cs="Times New Roman"/>
          <w:b/>
          <w:bCs/>
          <w:sz w:val="28"/>
          <w:szCs w:val="28"/>
        </w:rPr>
        <w:t>性/盐溶解性</w:t>
      </w:r>
    </w:p>
    <w:tbl>
      <w:tblPr>
        <w:tblStyle w:val="af1"/>
        <w:tblW w:w="8456" w:type="dxa"/>
        <w:tblLayout w:type="fixed"/>
        <w:tblLook w:val="04A0" w:firstRow="1" w:lastRow="0" w:firstColumn="1" w:lastColumn="0" w:noHBand="0" w:noVBand="1"/>
      </w:tblPr>
      <w:tblGrid>
        <w:gridCol w:w="4728"/>
        <w:gridCol w:w="3728"/>
      </w:tblGrid>
      <w:tr w:rsidR="001B6A5B" w14:paraId="2DF1445D" w14:textId="77777777">
        <w:trPr>
          <w:trHeight w:val="290"/>
        </w:trPr>
        <w:tc>
          <w:tcPr>
            <w:tcW w:w="4728" w:type="dxa"/>
          </w:tcPr>
          <w:p w14:paraId="645E7900" w14:textId="77777777" w:rsidR="001B6A5B" w:rsidRDefault="00A41FA1">
            <w:pPr>
              <w:spacing w:line="520" w:lineRule="exact"/>
              <w:ind w:firstLineChars="200" w:firstLine="560"/>
              <w:jc w:val="cente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溶解度</w:t>
            </w:r>
          </w:p>
        </w:tc>
        <w:tc>
          <w:tcPr>
            <w:tcW w:w="3728" w:type="dxa"/>
          </w:tcPr>
          <w:p w14:paraId="1754DEBA" w14:textId="77777777" w:rsidR="001B6A5B" w:rsidRDefault="00A41FA1">
            <w:pPr>
              <w:spacing w:line="520" w:lineRule="exact"/>
              <w:ind w:firstLineChars="200" w:firstLine="560"/>
              <w:jc w:val="cente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指标要求</w:t>
            </w:r>
          </w:p>
        </w:tc>
      </w:tr>
      <w:tr w:rsidR="001B6A5B" w14:paraId="375C0774" w14:textId="77777777">
        <w:trPr>
          <w:trHeight w:val="309"/>
        </w:trPr>
        <w:tc>
          <w:tcPr>
            <w:tcW w:w="4728" w:type="dxa"/>
          </w:tcPr>
          <w:p w14:paraId="1BD85F81"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难溶（mg/mL）</w:t>
            </w:r>
          </w:p>
        </w:tc>
        <w:tc>
          <w:tcPr>
            <w:tcW w:w="3728" w:type="dxa"/>
          </w:tcPr>
          <w:p w14:paraId="56D4A8C9"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＜0.1</w:t>
            </w:r>
          </w:p>
        </w:tc>
      </w:tr>
      <w:tr w:rsidR="001B6A5B" w14:paraId="7334B1BD" w14:textId="77777777">
        <w:trPr>
          <w:trHeight w:val="309"/>
        </w:trPr>
        <w:tc>
          <w:tcPr>
            <w:tcW w:w="4728" w:type="dxa"/>
          </w:tcPr>
          <w:p w14:paraId="6096BE36"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微溶（mg/mL）</w:t>
            </w:r>
          </w:p>
        </w:tc>
        <w:tc>
          <w:tcPr>
            <w:tcW w:w="3728" w:type="dxa"/>
          </w:tcPr>
          <w:p w14:paraId="120C0BFD"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0.1-10</w:t>
            </w:r>
          </w:p>
        </w:tc>
      </w:tr>
      <w:tr w:rsidR="001B6A5B" w14:paraId="65F2CB31" w14:textId="77777777">
        <w:trPr>
          <w:trHeight w:val="309"/>
        </w:trPr>
        <w:tc>
          <w:tcPr>
            <w:tcW w:w="4728" w:type="dxa"/>
          </w:tcPr>
          <w:p w14:paraId="47938EC7"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可溶（mg/mL）</w:t>
            </w:r>
          </w:p>
        </w:tc>
        <w:tc>
          <w:tcPr>
            <w:tcW w:w="3728" w:type="dxa"/>
          </w:tcPr>
          <w:p w14:paraId="02D95086"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10-100</w:t>
            </w:r>
          </w:p>
        </w:tc>
      </w:tr>
      <w:tr w:rsidR="001B6A5B" w14:paraId="5EA2F999" w14:textId="77777777">
        <w:trPr>
          <w:trHeight w:val="309"/>
        </w:trPr>
        <w:tc>
          <w:tcPr>
            <w:tcW w:w="4728" w:type="dxa"/>
          </w:tcPr>
          <w:p w14:paraId="2E69FE95"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易溶（mg/mL）</w:t>
            </w:r>
          </w:p>
        </w:tc>
        <w:tc>
          <w:tcPr>
            <w:tcW w:w="3728" w:type="dxa"/>
          </w:tcPr>
          <w:p w14:paraId="33585433" w14:textId="77777777" w:rsidR="001B6A5B" w:rsidRDefault="00A41FA1">
            <w:pPr>
              <w:spacing w:line="520" w:lineRule="exact"/>
              <w:ind w:firstLineChars="200" w:firstLine="56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＞100</w:t>
            </w:r>
          </w:p>
        </w:tc>
      </w:tr>
    </w:tbl>
    <w:p w14:paraId="2D4E50F4" w14:textId="77777777" w:rsidR="001B6A5B" w:rsidRDefault="001B6A5B">
      <w:pPr>
        <w:spacing w:line="520" w:lineRule="exact"/>
        <w:ind w:firstLineChars="200" w:firstLine="640"/>
        <w:jc w:val="left"/>
        <w:outlineLvl w:val="3"/>
        <w:rPr>
          <w:rFonts w:ascii="Times New Roman" w:eastAsia="仿宋_GB2312" w:hAnsi="Times New Roman" w:cs="Times New Roman"/>
          <w:kern w:val="0"/>
          <w:sz w:val="32"/>
          <w:szCs w:val="32"/>
        </w:rPr>
      </w:pPr>
    </w:p>
    <w:p w14:paraId="30846979"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36" w:name="_Toc110418979"/>
      <w:bookmarkStart w:id="1037" w:name="_Toc110419118"/>
      <w:bookmarkStart w:id="1038" w:name="_Toc118298954"/>
      <w:r>
        <w:rPr>
          <w:rFonts w:ascii="Times New Roman" w:eastAsia="仿宋_GB2312" w:hAnsi="Times New Roman" w:cs="Times New Roman"/>
          <w:kern w:val="0"/>
          <w:sz w:val="32"/>
          <w:szCs w:val="32"/>
        </w:rPr>
        <w:t xml:space="preserve">9.4 </w:t>
      </w:r>
      <w:r>
        <w:rPr>
          <w:rFonts w:ascii="Times New Roman" w:eastAsia="仿宋_GB2312" w:hAnsi="Times New Roman" w:cs="Times New Roman"/>
          <w:kern w:val="0"/>
          <w:sz w:val="32"/>
          <w:szCs w:val="32"/>
        </w:rPr>
        <w:t>水分</w:t>
      </w:r>
      <w:bookmarkEnd w:id="1036"/>
      <w:bookmarkEnd w:id="1037"/>
      <w:bookmarkEnd w:id="1038"/>
    </w:p>
    <w:p w14:paraId="62CF0FB6"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适用时（如冻干样品），水分含量应</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。除另有规定外，取供试品约</w:t>
      </w:r>
      <w:r>
        <w:rPr>
          <w:rFonts w:ascii="Times New Roman" w:eastAsia="仿宋_GB2312" w:hAnsi="Times New Roman" w:cs="Times New Roman"/>
          <w:sz w:val="32"/>
          <w:szCs w:val="32"/>
        </w:rPr>
        <w:t>1 g</w:t>
      </w:r>
      <w:r>
        <w:rPr>
          <w:rFonts w:ascii="Times New Roman" w:eastAsia="仿宋_GB2312" w:hAnsi="Times New Roman" w:cs="Times New Roman"/>
          <w:sz w:val="32"/>
          <w:szCs w:val="32"/>
        </w:rPr>
        <w:t>～</w:t>
      </w:r>
      <w:r>
        <w:rPr>
          <w:rFonts w:ascii="Times New Roman" w:eastAsia="仿宋_GB2312" w:hAnsi="Times New Roman" w:cs="Times New Roman"/>
          <w:sz w:val="32"/>
          <w:szCs w:val="32"/>
        </w:rPr>
        <w:t>2 g</w:t>
      </w: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水分测定法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第二法（烘干法）测定，或取供试品约</w:t>
      </w:r>
      <w:r>
        <w:rPr>
          <w:rFonts w:ascii="Times New Roman" w:eastAsia="仿宋_GB2312" w:hAnsi="Times New Roman" w:cs="Times New Roman"/>
          <w:sz w:val="32"/>
          <w:szCs w:val="32"/>
        </w:rPr>
        <w:t xml:space="preserve">10 mg </w:t>
      </w: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热分析法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热重法（</w:t>
      </w:r>
      <w:r>
        <w:rPr>
          <w:rFonts w:ascii="Times New Roman" w:eastAsia="仿宋_GB2312" w:hAnsi="Times New Roman" w:cs="Times New Roman"/>
          <w:sz w:val="32"/>
          <w:szCs w:val="32"/>
        </w:rPr>
        <w:t>TG</w:t>
      </w:r>
      <w:r>
        <w:rPr>
          <w:rFonts w:ascii="Times New Roman" w:eastAsia="仿宋_GB2312" w:hAnsi="Times New Roman" w:cs="Times New Roman"/>
          <w:sz w:val="32"/>
          <w:szCs w:val="32"/>
        </w:rPr>
        <w:t>）测定，升</w:t>
      </w:r>
      <w:r>
        <w:rPr>
          <w:rFonts w:ascii="Times New Roman" w:eastAsia="仿宋_GB2312" w:hAnsi="Times New Roman" w:cs="Times New Roman"/>
          <w:sz w:val="32"/>
          <w:szCs w:val="32"/>
        </w:rPr>
        <w:lastRenderedPageBreak/>
        <w:t>温程序：从室温以</w:t>
      </w:r>
      <w:r>
        <w:rPr>
          <w:rFonts w:ascii="Times New Roman" w:eastAsia="仿宋_GB2312" w:hAnsi="Times New Roman" w:cs="Times New Roman"/>
          <w:sz w:val="32"/>
          <w:szCs w:val="32"/>
        </w:rPr>
        <w:t xml:space="preserve">10 </w:t>
      </w:r>
      <w:r>
        <w:rPr>
          <w:rFonts w:eastAsia="宋体" w:hAnsi="Times New Roman" w:cs="Times New Roman"/>
          <w:sz w:val="32"/>
          <w:szCs w:val="32"/>
        </w:rPr>
        <w:t>℃</w:t>
      </w:r>
      <w:r>
        <w:rPr>
          <w:rFonts w:ascii="Times New Roman" w:eastAsia="仿宋_GB2312" w:hAnsi="Times New Roman" w:cs="Times New Roman"/>
          <w:sz w:val="32"/>
          <w:szCs w:val="32"/>
        </w:rPr>
        <w:t xml:space="preserve">/min </w:t>
      </w:r>
      <w:r>
        <w:rPr>
          <w:rFonts w:ascii="Times New Roman" w:eastAsia="仿宋_GB2312" w:hAnsi="Times New Roman" w:cs="Times New Roman"/>
          <w:sz w:val="32"/>
          <w:szCs w:val="32"/>
        </w:rPr>
        <w:t>速率升温至</w:t>
      </w:r>
      <w:r>
        <w:rPr>
          <w:rFonts w:ascii="Times New Roman" w:eastAsia="仿宋_GB2312" w:hAnsi="Times New Roman" w:cs="Times New Roman"/>
          <w:sz w:val="32"/>
          <w:szCs w:val="32"/>
        </w:rPr>
        <w:t xml:space="preserve">105 </w:t>
      </w:r>
      <w:r>
        <w:rPr>
          <w:rFonts w:eastAsia="宋体" w:hAnsi="Times New Roman" w:cs="Times New Roman"/>
          <w:sz w:val="32"/>
          <w:szCs w:val="32"/>
        </w:rPr>
        <w:t>℃</w:t>
      </w:r>
      <w:r>
        <w:rPr>
          <w:rFonts w:ascii="Times New Roman" w:eastAsia="仿宋_GB2312" w:hAnsi="Times New Roman" w:cs="Times New Roman"/>
          <w:sz w:val="32"/>
          <w:szCs w:val="32"/>
        </w:rPr>
        <w:t>，保持</w:t>
      </w:r>
      <w:r>
        <w:rPr>
          <w:rFonts w:ascii="Times New Roman" w:eastAsia="仿宋_GB2312" w:hAnsi="Times New Roman" w:cs="Times New Roman"/>
          <w:sz w:val="32"/>
          <w:szCs w:val="32"/>
        </w:rPr>
        <w:t>60 min</w:t>
      </w:r>
      <w:r>
        <w:rPr>
          <w:rFonts w:ascii="Times New Roman" w:eastAsia="仿宋_GB2312" w:hAnsi="Times New Roman" w:cs="Times New Roman"/>
          <w:sz w:val="32"/>
          <w:szCs w:val="32"/>
        </w:rPr>
        <w:t>。减失重量应符合所标示范围。规定仲裁方法为水分测定法。</w:t>
      </w:r>
    </w:p>
    <w:p w14:paraId="3C9AA145"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39" w:name="_Toc110419119"/>
      <w:bookmarkStart w:id="1040" w:name="_Toc110418980"/>
      <w:bookmarkStart w:id="1041" w:name="_Toc118298955"/>
      <w:r>
        <w:rPr>
          <w:rFonts w:ascii="Times New Roman" w:eastAsia="仿宋_GB2312" w:hAnsi="Times New Roman" w:cs="Times New Roman"/>
          <w:kern w:val="0"/>
          <w:sz w:val="32"/>
          <w:szCs w:val="32"/>
        </w:rPr>
        <w:t xml:space="preserve">9.5 </w:t>
      </w:r>
      <w:r>
        <w:rPr>
          <w:rFonts w:ascii="Times New Roman" w:eastAsia="仿宋_GB2312" w:hAnsi="Times New Roman" w:cs="Times New Roman"/>
          <w:kern w:val="0"/>
          <w:sz w:val="32"/>
          <w:szCs w:val="32"/>
        </w:rPr>
        <w:t>炽灼残渣</w:t>
      </w:r>
      <w:bookmarkEnd w:id="1039"/>
      <w:bookmarkEnd w:id="1040"/>
      <w:bookmarkEnd w:id="1041"/>
    </w:p>
    <w:p w14:paraId="132999FA"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除另有规定外，取</w:t>
      </w:r>
      <w:r>
        <w:rPr>
          <w:rFonts w:ascii="Times New Roman" w:eastAsia="仿宋_GB2312" w:hAnsi="Times New Roman" w:cs="Times New Roman"/>
          <w:sz w:val="32"/>
          <w:szCs w:val="32"/>
        </w:rPr>
        <w:t>1.0-2.0g</w:t>
      </w: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炽灼残渣检查法进行检测，结果应</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3E04D15B"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42" w:name="_Toc110419120"/>
      <w:bookmarkStart w:id="1043" w:name="_Toc110418981"/>
      <w:bookmarkStart w:id="1044" w:name="_Toc118298956"/>
      <w:r>
        <w:rPr>
          <w:rFonts w:ascii="Times New Roman" w:eastAsia="仿宋_GB2312" w:hAnsi="Times New Roman" w:cs="Times New Roman"/>
          <w:kern w:val="0"/>
          <w:sz w:val="32"/>
          <w:szCs w:val="32"/>
        </w:rPr>
        <w:t xml:space="preserve">9.6 </w:t>
      </w:r>
      <w:r>
        <w:rPr>
          <w:rFonts w:ascii="Times New Roman" w:eastAsia="仿宋_GB2312" w:hAnsi="Times New Roman" w:cs="Times New Roman"/>
          <w:kern w:val="0"/>
          <w:sz w:val="32"/>
          <w:szCs w:val="32"/>
        </w:rPr>
        <w:t>酸碱度</w:t>
      </w:r>
      <w:bookmarkEnd w:id="1042"/>
      <w:bookmarkEnd w:id="1043"/>
      <w:bookmarkEnd w:id="1044"/>
    </w:p>
    <w:p w14:paraId="59E0591D"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液体和凝胶样品直接取样，固体样品用生理盐水稀释为</w:t>
      </w:r>
      <w:r>
        <w:rPr>
          <w:rFonts w:ascii="Times New Roman" w:eastAsia="仿宋_GB2312" w:hAnsi="Times New Roman" w:cs="Times New Roman"/>
          <w:sz w:val="32"/>
          <w:szCs w:val="32"/>
        </w:rPr>
        <w:t>1mg/mL</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sidR="001A693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值测定法</w:t>
      </w:r>
      <w:r w:rsidR="001A693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进行检测，</w:t>
      </w:r>
      <w:r w:rsidR="001A693D">
        <w:rPr>
          <w:rFonts w:ascii="Times New Roman" w:eastAsia="仿宋_GB2312" w:hAnsi="Times New Roman" w:cs="Times New Roman" w:hint="eastAsia"/>
          <w:sz w:val="32"/>
          <w:szCs w:val="32"/>
        </w:rPr>
        <w:t>应符合所标</w:t>
      </w:r>
      <w:r w:rsidR="001A693D">
        <w:rPr>
          <w:rFonts w:ascii="Times New Roman" w:eastAsia="仿宋_GB2312" w:hAnsi="Times New Roman" w:cs="Times New Roman"/>
          <w:sz w:val="32"/>
          <w:szCs w:val="32"/>
        </w:rPr>
        <w:t>示</w:t>
      </w:r>
      <w:r w:rsidR="001A693D">
        <w:rPr>
          <w:rFonts w:ascii="Times New Roman" w:eastAsia="仿宋_GB2312" w:hAnsi="Times New Roman" w:cs="Times New Roman" w:hint="eastAsia"/>
          <w:sz w:val="32"/>
          <w:szCs w:val="32"/>
        </w:rPr>
        <w:t>值</w:t>
      </w:r>
      <w:r w:rsidR="001A693D">
        <w:rPr>
          <w:rFonts w:ascii="Times New Roman" w:eastAsia="仿宋_GB2312" w:hAnsi="Times New Roman" w:cs="Times New Roman"/>
          <w:sz w:val="32"/>
          <w:szCs w:val="32"/>
        </w:rPr>
        <w:t>的</w:t>
      </w:r>
      <w:r w:rsidR="001A693D">
        <w:rPr>
          <w:rFonts w:ascii="Times New Roman" w:eastAsia="仿宋_GB2312" w:hAnsi="Times New Roman" w:cs="Times New Roman"/>
          <w:sz w:val="32"/>
          <w:szCs w:val="32"/>
        </w:rPr>
        <w:t>±1.0</w:t>
      </w:r>
      <w:r w:rsidR="00E93DC9">
        <w:rPr>
          <w:rFonts w:ascii="Times New Roman" w:eastAsia="仿宋_GB2312" w:hAnsi="Times New Roman" w:cs="Times New Roman" w:hint="eastAsia"/>
          <w:sz w:val="32"/>
          <w:szCs w:val="32"/>
        </w:rPr>
        <w:t>，一般应在</w:t>
      </w:r>
      <w:r w:rsidR="00E93DC9">
        <w:rPr>
          <w:rFonts w:ascii="Times New Roman" w:eastAsia="仿宋_GB2312" w:hAnsi="Times New Roman" w:cs="Times New Roman" w:hint="eastAsia"/>
          <w:sz w:val="32"/>
          <w:szCs w:val="32"/>
        </w:rPr>
        <w:t>5</w:t>
      </w:r>
      <w:r w:rsidR="00E93DC9">
        <w:rPr>
          <w:rFonts w:ascii="Times New Roman" w:eastAsia="仿宋_GB2312" w:hAnsi="Times New Roman" w:cs="Times New Roman"/>
          <w:sz w:val="32"/>
          <w:szCs w:val="32"/>
        </w:rPr>
        <w:t>.5-8.0</w:t>
      </w:r>
      <w:r w:rsidR="00E93DC9">
        <w:rPr>
          <w:rFonts w:ascii="Times New Roman" w:eastAsia="仿宋_GB2312" w:hAnsi="Times New Roman" w:cs="Times New Roman" w:hint="eastAsia"/>
          <w:sz w:val="32"/>
          <w:szCs w:val="32"/>
        </w:rPr>
        <w:t>之间</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14:paraId="0EC78B33"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45" w:name="_Toc110419121"/>
      <w:bookmarkStart w:id="1046" w:name="_Toc110418982"/>
      <w:bookmarkStart w:id="1047" w:name="_Toc118298957"/>
      <w:r>
        <w:rPr>
          <w:rFonts w:ascii="Times New Roman" w:eastAsia="仿宋_GB2312" w:hAnsi="Times New Roman" w:cs="Times New Roman"/>
          <w:kern w:val="0"/>
          <w:sz w:val="32"/>
          <w:szCs w:val="32"/>
        </w:rPr>
        <w:t xml:space="preserve">9.7 </w:t>
      </w:r>
      <w:r>
        <w:rPr>
          <w:rFonts w:ascii="Times New Roman" w:eastAsia="仿宋_GB2312" w:hAnsi="Times New Roman" w:cs="Times New Roman"/>
          <w:kern w:val="0"/>
          <w:sz w:val="32"/>
          <w:szCs w:val="32"/>
        </w:rPr>
        <w:t>渗透压摩尔浓度</w:t>
      </w:r>
      <w:bookmarkEnd w:id="1045"/>
      <w:bookmarkEnd w:id="1046"/>
      <w:bookmarkEnd w:id="1047"/>
    </w:p>
    <w:p w14:paraId="1833D8F4"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液体和凝胶样品直接取样，固体样品用生理盐水稀释为</w:t>
      </w:r>
      <w:r>
        <w:rPr>
          <w:rFonts w:ascii="Times New Roman" w:eastAsia="仿宋_GB2312" w:hAnsi="Times New Roman" w:cs="Times New Roman"/>
          <w:sz w:val="32"/>
          <w:szCs w:val="32"/>
        </w:rPr>
        <w:t>1mg/mL</w:t>
      </w:r>
      <w:r>
        <w:rPr>
          <w:rFonts w:ascii="Times New Roman" w:eastAsia="仿宋_GB2312" w:hAnsi="Times New Roman" w:cs="Times New Roman"/>
          <w:sz w:val="32"/>
          <w:szCs w:val="32"/>
        </w:rPr>
        <w:t>按照《中华人民共和国药典》</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四部通则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渗透压摩尔浓度测定法进行检测，渗透压摩尔浓度范围应</w:t>
      </w:r>
      <w:r>
        <w:rPr>
          <w:rFonts w:ascii="Times New Roman" w:eastAsia="仿宋_GB2312" w:hAnsi="Times New Roman" w:cs="Times New Roman"/>
          <w:sz w:val="32"/>
          <w:szCs w:val="32"/>
        </w:rPr>
        <w:t>280-360 mOsmol/kg</w:t>
      </w:r>
      <w:r>
        <w:rPr>
          <w:rFonts w:ascii="Times New Roman" w:eastAsia="仿宋_GB2312" w:hAnsi="Times New Roman" w:cs="Times New Roman"/>
          <w:sz w:val="32"/>
          <w:szCs w:val="32"/>
        </w:rPr>
        <w:t>之间。</w:t>
      </w:r>
    </w:p>
    <w:p w14:paraId="1816CFAD"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48" w:name="_Toc110418983"/>
      <w:bookmarkStart w:id="1049" w:name="_Toc110419122"/>
      <w:bookmarkStart w:id="1050" w:name="_Toc118298958"/>
      <w:r>
        <w:rPr>
          <w:rFonts w:ascii="Times New Roman" w:eastAsia="仿宋_GB2312" w:hAnsi="Times New Roman" w:cs="Times New Roman"/>
          <w:kern w:val="0"/>
          <w:sz w:val="32"/>
          <w:szCs w:val="32"/>
        </w:rPr>
        <w:t xml:space="preserve">9.8 </w:t>
      </w:r>
      <w:r>
        <w:rPr>
          <w:rFonts w:ascii="Times New Roman" w:eastAsia="仿宋_GB2312" w:hAnsi="Times New Roman" w:cs="Times New Roman"/>
          <w:kern w:val="0"/>
          <w:sz w:val="32"/>
          <w:szCs w:val="32"/>
        </w:rPr>
        <w:t>动力黏度（凝胶）</w:t>
      </w:r>
      <w:bookmarkEnd w:id="1048"/>
      <w:bookmarkEnd w:id="1049"/>
      <w:bookmarkEnd w:id="1050"/>
    </w:p>
    <w:p w14:paraId="3E29DAD1"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取供试品按照《中华人民共和国药典》</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黏度测定法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旋转黏度计测定法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测定，需要详细描述试验条件，动力黏度值应符合所标示范围。</w:t>
      </w:r>
    </w:p>
    <w:p w14:paraId="66BC5BE4"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51" w:name="_Toc110418984"/>
      <w:bookmarkStart w:id="1052" w:name="_Toc110419123"/>
      <w:bookmarkStart w:id="1053" w:name="_Toc118298959"/>
      <w:r>
        <w:rPr>
          <w:rFonts w:ascii="Times New Roman" w:eastAsia="仿宋_GB2312" w:hAnsi="Times New Roman" w:cs="Times New Roman"/>
          <w:kern w:val="0"/>
          <w:sz w:val="32"/>
          <w:szCs w:val="32"/>
        </w:rPr>
        <w:t xml:space="preserve">9.9 </w:t>
      </w:r>
      <w:r>
        <w:rPr>
          <w:rFonts w:ascii="Times New Roman" w:eastAsia="仿宋_GB2312" w:hAnsi="Times New Roman" w:cs="Times New Roman"/>
          <w:kern w:val="0"/>
          <w:sz w:val="32"/>
          <w:szCs w:val="32"/>
        </w:rPr>
        <w:t>装量及差异</w:t>
      </w:r>
      <w:bookmarkEnd w:id="1051"/>
      <w:bookmarkEnd w:id="1052"/>
      <w:bookmarkEnd w:id="1053"/>
    </w:p>
    <w:p w14:paraId="631E1D1B" w14:textId="77777777"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根据供试品性状（溶液、凝胶、冻干海绵或冻干粉末等）和装量的不同确定装量的允差要求。单个装量不低于标示装量的</w:t>
      </w:r>
      <w:r>
        <w:rPr>
          <w:rFonts w:ascii="Times New Roman" w:eastAsia="仿宋_GB2312" w:hAnsi="Times New Roman" w:cs="Times New Roman"/>
          <w:sz w:val="32"/>
          <w:szCs w:val="32"/>
        </w:rPr>
        <w:t>93%,</w:t>
      </w:r>
      <w:r>
        <w:rPr>
          <w:rFonts w:ascii="Times New Roman" w:eastAsia="仿宋_GB2312" w:hAnsi="Times New Roman" w:cs="Times New Roman"/>
          <w:sz w:val="32"/>
          <w:szCs w:val="32"/>
        </w:rPr>
        <w:t>平均装量不低于标示装量。</w:t>
      </w:r>
    </w:p>
    <w:p w14:paraId="154F8880" w14:textId="77777777" w:rsidR="001B6A5B" w:rsidRDefault="00A41FA1">
      <w:pPr>
        <w:spacing w:line="520" w:lineRule="exact"/>
        <w:ind w:firstLineChars="200" w:firstLine="640"/>
        <w:jc w:val="left"/>
        <w:outlineLvl w:val="3"/>
        <w:rPr>
          <w:rFonts w:ascii="Times New Roman" w:eastAsia="仿宋_GB2312" w:hAnsi="Times New Roman" w:cs="Times New Roman"/>
          <w:kern w:val="0"/>
          <w:sz w:val="32"/>
          <w:szCs w:val="32"/>
        </w:rPr>
      </w:pPr>
      <w:bookmarkStart w:id="1054" w:name="_Toc110418985"/>
      <w:bookmarkStart w:id="1055" w:name="_Toc110419124"/>
      <w:bookmarkStart w:id="1056" w:name="_Toc118298960"/>
      <w:r>
        <w:rPr>
          <w:rFonts w:ascii="Times New Roman" w:eastAsia="仿宋_GB2312" w:hAnsi="Times New Roman" w:cs="Times New Roman"/>
          <w:kern w:val="0"/>
          <w:sz w:val="32"/>
          <w:szCs w:val="32"/>
        </w:rPr>
        <w:t xml:space="preserve">9.10 </w:t>
      </w:r>
      <w:r>
        <w:rPr>
          <w:rFonts w:ascii="Times New Roman" w:eastAsia="仿宋_GB2312" w:hAnsi="Times New Roman" w:cs="Times New Roman"/>
          <w:kern w:val="0"/>
          <w:sz w:val="32"/>
          <w:szCs w:val="32"/>
        </w:rPr>
        <w:t>扫描电镜观察</w:t>
      </w:r>
      <w:bookmarkEnd w:id="1054"/>
      <w:bookmarkEnd w:id="1055"/>
      <w:bookmarkEnd w:id="1056"/>
    </w:p>
    <w:p w14:paraId="04E345D2" w14:textId="77777777" w:rsidR="009562AD" w:rsidRDefault="007B458F" w:rsidP="009562AD">
      <w:pPr>
        <w:spacing w:line="520" w:lineRule="exact"/>
        <w:ind w:firstLineChars="200" w:firstLine="640"/>
        <w:rPr>
          <w:rFonts w:ascii="Times New Roman" w:eastAsia="仿宋_GB2312"/>
          <w:sz w:val="32"/>
          <w:szCs w:val="32"/>
        </w:rPr>
      </w:pPr>
      <w:r w:rsidRPr="007B458F">
        <w:rPr>
          <w:rFonts w:ascii="Times New Roman" w:eastAsia="仿宋_GB2312" w:hint="eastAsia"/>
          <w:sz w:val="32"/>
          <w:szCs w:val="32"/>
        </w:rPr>
        <w:t>适用时，重组人源化胶原蛋白固体在扫描电镜下观察，图像整体应与参比品保持一致。</w:t>
      </w:r>
    </w:p>
    <w:p w14:paraId="1477CEF2" w14:textId="0F4FE2A3" w:rsidR="009562AD" w:rsidRPr="00783EA0" w:rsidRDefault="009562AD" w:rsidP="00D73009">
      <w:pPr>
        <w:spacing w:line="520" w:lineRule="exact"/>
        <w:ind w:firstLineChars="200" w:firstLine="640"/>
        <w:jc w:val="left"/>
        <w:outlineLvl w:val="2"/>
        <w:rPr>
          <w:rFonts w:ascii="Times New Roman" w:eastAsia="仿宋_GB2312" w:hAnsi="Times New Roman" w:cs="Times New Roman"/>
          <w:kern w:val="0"/>
          <w:sz w:val="32"/>
          <w:szCs w:val="32"/>
        </w:rPr>
      </w:pPr>
      <w:bookmarkStart w:id="1057" w:name="_Toc118298961"/>
      <w:r w:rsidRPr="00D73009">
        <w:rPr>
          <w:rFonts w:ascii="Times New Roman" w:eastAsia="仿宋_GB2312" w:hAnsi="Times New Roman" w:cs="Times New Roman"/>
          <w:kern w:val="0"/>
          <w:sz w:val="32"/>
          <w:szCs w:val="32"/>
        </w:rPr>
        <w:lastRenderedPageBreak/>
        <w:t>10.</w:t>
      </w:r>
      <w:r w:rsidRPr="00D73009">
        <w:rPr>
          <w:rFonts w:ascii="Times New Roman" w:eastAsia="仿宋_GB2312" w:hAnsi="Times New Roman" w:cs="Times New Roman" w:hint="eastAsia"/>
          <w:kern w:val="0"/>
          <w:sz w:val="32"/>
          <w:szCs w:val="32"/>
        </w:rPr>
        <w:t>生物学功能评价</w:t>
      </w:r>
      <w:bookmarkEnd w:id="1057"/>
    </w:p>
    <w:p w14:paraId="534ADEB3" w14:textId="1740B408" w:rsidR="009562AD" w:rsidRDefault="009562AD" w:rsidP="009562AD">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重组胶原蛋白的生物学功能是指以重组胶原蛋白生物学特性相关属性为基础的生物学作用，对声称的生物学功能宜进行定性定量分析。胶原是细胞外基质的主要成分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重组胶原蛋白的主要生物学功能是为细胞提供支架和良好的微环境</w:t>
      </w:r>
      <w:r w:rsidR="00047C5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如促进细胞黏附、增殖、生长、分化等。因此，可通过评价细胞</w:t>
      </w:r>
      <w:r>
        <w:rPr>
          <w:rFonts w:ascii="Times New Roman" w:eastAsia="仿宋_GB2312" w:hAnsi="Times New Roman" w:cs="Times New Roman"/>
          <w:sz w:val="32"/>
          <w:szCs w:val="32"/>
        </w:rPr>
        <w:t>-</w:t>
      </w:r>
      <w:r>
        <w:rPr>
          <w:rFonts w:ascii="Times New Roman" w:eastAsia="仿宋_GB2312" w:hAnsi="Times New Roman" w:cs="Times New Roman"/>
          <w:sz w:val="32"/>
          <w:szCs w:val="32"/>
        </w:rPr>
        <w:t>胶原蛋白相互作用来评价重组胶原蛋白的生物学功能。细胞增殖、分化、黏附性、迁移或移行评价方法可参考</w:t>
      </w:r>
      <w:r>
        <w:rPr>
          <w:rFonts w:ascii="Times New Roman" w:eastAsia="仿宋_GB2312" w:hAnsi="Times New Roman" w:cs="Times New Roman"/>
          <w:sz w:val="32"/>
          <w:szCs w:val="32"/>
        </w:rPr>
        <w:t>YY/T 1849</w:t>
      </w:r>
      <w:r>
        <w:rPr>
          <w:rFonts w:ascii="Times New Roman" w:eastAsia="仿宋_GB2312" w:hAnsi="Times New Roman" w:cs="Times New Roman"/>
          <w:sz w:val="32"/>
          <w:szCs w:val="32"/>
        </w:rPr>
        <w:t>《重组胶原蛋白》。</w:t>
      </w:r>
    </w:p>
    <w:p w14:paraId="7A4E491F" w14:textId="77777777" w:rsidR="009562AD" w:rsidRDefault="009562AD" w:rsidP="009562AD">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细胞在体内对基于胶原蛋白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细胞相互作用通过生物化学和生物物理两个方面进行调控。胶原蛋白固有的细胞信号传导能力在很大程度上受以下三个方面驱动：支持整合素介导的细胞粘附；通过结构和材料特性施加物理和机械的作用；参与细胞诱导的动态重建过程（如生物降解，结合生长因子，和微结构的变形）。</w:t>
      </w:r>
    </w:p>
    <w:p w14:paraId="28583122" w14:textId="77777777" w:rsidR="009562AD" w:rsidRDefault="009562AD" w:rsidP="009562AD">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由于胶原类材料在分子组成、微结构、物理性能方面可能差异显著，应检测材料与细胞之间相互作用及其引导细胞基础响应的性能。细胞响应的参数包括：细胞形态、面积和体积，均可通过二维（</w:t>
      </w:r>
      <w:r>
        <w:rPr>
          <w:rFonts w:ascii="Times New Roman" w:eastAsia="仿宋_GB2312" w:hAnsi="Times New Roman" w:cs="Times New Roman"/>
          <w:sz w:val="32"/>
          <w:szCs w:val="32"/>
        </w:rPr>
        <w:t>2D</w:t>
      </w:r>
      <w:r>
        <w:rPr>
          <w:rFonts w:ascii="Times New Roman" w:eastAsia="仿宋_GB2312" w:hAnsi="Times New Roman" w:cs="Times New Roman"/>
          <w:sz w:val="32"/>
          <w:szCs w:val="32"/>
        </w:rPr>
        <w:t>）或三维（</w:t>
      </w:r>
      <w:r>
        <w:rPr>
          <w:rFonts w:ascii="Times New Roman" w:eastAsia="仿宋_GB2312" w:hAnsi="Times New Roman" w:cs="Times New Roman"/>
          <w:sz w:val="32"/>
          <w:szCs w:val="32"/>
        </w:rPr>
        <w:t>3D</w:t>
      </w:r>
      <w:r>
        <w:rPr>
          <w:rFonts w:ascii="Times New Roman" w:eastAsia="仿宋_GB2312" w:hAnsi="Times New Roman" w:cs="Times New Roman"/>
          <w:sz w:val="32"/>
          <w:szCs w:val="32"/>
        </w:rPr>
        <w:t>）图像技术可视化评价。细胞骨架成分（如肌动蛋白）的协同作用被用来评价细胞与基质间的粘附与收缩解离。</w:t>
      </w:r>
    </w:p>
    <w:p w14:paraId="5A61BD64" w14:textId="77777777" w:rsidR="009562AD" w:rsidRDefault="009562AD" w:rsidP="009562AD">
      <w:pPr>
        <w:pStyle w:val="afb"/>
        <w:spacing w:line="520" w:lineRule="exact"/>
        <w:ind w:firstLineChars="221" w:firstLine="707"/>
        <w:rPr>
          <w:rFonts w:ascii="Times New Roman" w:eastAsia="仿宋_GB2312"/>
          <w:sz w:val="32"/>
          <w:szCs w:val="32"/>
        </w:rPr>
      </w:pPr>
      <w:r>
        <w:rPr>
          <w:rFonts w:ascii="Times New Roman" w:eastAsia="仿宋_GB2312" w:hint="eastAsia"/>
          <w:sz w:val="32"/>
          <w:szCs w:val="32"/>
        </w:rPr>
        <w:t>测试过程中，</w:t>
      </w:r>
      <w:r>
        <w:rPr>
          <w:rFonts w:ascii="Times New Roman" w:eastAsia="仿宋_GB2312"/>
          <w:sz w:val="32"/>
          <w:szCs w:val="32"/>
        </w:rPr>
        <w:t>在胶原聚合之前通过把细胞混悬在胶原溶液中，细胞很容易进入自组装胶原网内，或者将细胞接种到自组装后的胶原材料表面。抗体阻断试验可用来确定细胞表面的何种受体参与了与胶原的作用，如整合素或盘状结构域受体（</w:t>
      </w:r>
      <w:r>
        <w:rPr>
          <w:rFonts w:ascii="Times New Roman" w:eastAsia="仿宋_GB2312"/>
          <w:sz w:val="32"/>
          <w:szCs w:val="32"/>
        </w:rPr>
        <w:t>DDRs</w:t>
      </w:r>
      <w:r>
        <w:rPr>
          <w:rFonts w:ascii="Times New Roman" w:eastAsia="仿宋_GB2312"/>
          <w:sz w:val="32"/>
          <w:szCs w:val="32"/>
        </w:rPr>
        <w:t>）。</w:t>
      </w:r>
    </w:p>
    <w:p w14:paraId="72AB8F93" w14:textId="77777777" w:rsidR="009562AD" w:rsidRDefault="009562AD" w:rsidP="009562AD">
      <w:pPr>
        <w:pStyle w:val="afb"/>
        <w:spacing w:line="520" w:lineRule="exact"/>
        <w:ind w:firstLineChars="221" w:firstLine="707"/>
        <w:rPr>
          <w:rFonts w:ascii="Times New Roman" w:eastAsia="仿宋_GB2312"/>
          <w:sz w:val="32"/>
          <w:szCs w:val="32"/>
        </w:rPr>
      </w:pPr>
      <w:r>
        <w:rPr>
          <w:rFonts w:ascii="Times New Roman" w:eastAsia="仿宋_GB2312"/>
          <w:sz w:val="32"/>
          <w:szCs w:val="32"/>
        </w:rPr>
        <w:lastRenderedPageBreak/>
        <w:t>在单个细胞或多细胞水平上评价细胞引导的收缩解离的方法有多种。自由漂浮组织构建物的尺寸随时间的变化、施加在培养</w:t>
      </w:r>
      <w:r>
        <w:rPr>
          <w:rFonts w:ascii="Times New Roman" w:eastAsia="仿宋_GB2312"/>
          <w:sz w:val="32"/>
          <w:szCs w:val="32"/>
        </w:rPr>
        <w:t>-</w:t>
      </w:r>
      <w:r>
        <w:rPr>
          <w:rFonts w:ascii="Times New Roman" w:eastAsia="仿宋_GB2312"/>
          <w:sz w:val="32"/>
          <w:szCs w:val="32"/>
        </w:rPr>
        <w:t>力学监测系统上力的大小、以及单个细胞在胶原网络的应力和形变。</w:t>
      </w:r>
    </w:p>
    <w:p w14:paraId="3AAFE9F9" w14:textId="77777777" w:rsidR="009562AD" w:rsidRDefault="009562AD" w:rsidP="009562AD">
      <w:pPr>
        <w:pStyle w:val="afb"/>
        <w:spacing w:line="520" w:lineRule="exact"/>
        <w:ind w:firstLineChars="221" w:firstLine="707"/>
        <w:rPr>
          <w:rFonts w:ascii="Times New Roman" w:eastAsia="仿宋_GB2312"/>
          <w:sz w:val="32"/>
          <w:szCs w:val="32"/>
        </w:rPr>
      </w:pPr>
      <w:r>
        <w:rPr>
          <w:rFonts w:ascii="Times New Roman" w:eastAsia="仿宋_GB2312"/>
          <w:sz w:val="32"/>
          <w:szCs w:val="32"/>
        </w:rPr>
        <w:t>常规检测的细胞响应参数</w:t>
      </w:r>
      <w:r>
        <w:rPr>
          <w:rFonts w:ascii="Times New Roman" w:eastAsia="仿宋_GB2312" w:hint="eastAsia"/>
          <w:sz w:val="32"/>
          <w:szCs w:val="32"/>
        </w:rPr>
        <w:t>还</w:t>
      </w:r>
      <w:r>
        <w:rPr>
          <w:rFonts w:ascii="Times New Roman" w:eastAsia="仿宋_GB2312"/>
          <w:sz w:val="32"/>
          <w:szCs w:val="32"/>
        </w:rPr>
        <w:t>包括：存活率，增殖率，程序化凋亡以及迁移。</w:t>
      </w:r>
    </w:p>
    <w:p w14:paraId="09AFBAC5" w14:textId="77777777" w:rsidR="009562AD" w:rsidRDefault="009562AD" w:rsidP="009562AD">
      <w:pPr>
        <w:pStyle w:val="afb"/>
        <w:spacing w:line="520" w:lineRule="exact"/>
        <w:ind w:firstLineChars="221" w:firstLine="707"/>
        <w:rPr>
          <w:rFonts w:ascii="Times New Roman" w:eastAsia="仿宋_GB2312"/>
          <w:sz w:val="32"/>
          <w:szCs w:val="32"/>
        </w:rPr>
      </w:pPr>
      <w:r>
        <w:rPr>
          <w:rFonts w:ascii="Times New Roman" w:eastAsia="仿宋_GB2312"/>
          <w:sz w:val="32"/>
          <w:szCs w:val="32"/>
        </w:rPr>
        <w:t>其它适用于干细胞和祖细胞类型的细胞</w:t>
      </w:r>
      <w:r>
        <w:rPr>
          <w:rFonts w:ascii="Times New Roman" w:eastAsia="仿宋_GB2312"/>
          <w:sz w:val="32"/>
          <w:szCs w:val="32"/>
        </w:rPr>
        <w:t>-</w:t>
      </w:r>
      <w:r>
        <w:rPr>
          <w:rFonts w:ascii="Times New Roman" w:eastAsia="仿宋_GB2312"/>
          <w:sz w:val="32"/>
          <w:szCs w:val="32"/>
        </w:rPr>
        <w:t>胶原相互作用的功能性检测包括细胞株的定向分化，特定干细胞或祖细胞的增殖，或组织形态发生（始于内皮祖细胞的血管形成）。</w:t>
      </w:r>
    </w:p>
    <w:p w14:paraId="359CCBB8" w14:textId="77777777" w:rsidR="009562AD" w:rsidRDefault="009562AD" w:rsidP="009562AD">
      <w:pPr>
        <w:pStyle w:val="afb"/>
        <w:spacing w:line="520" w:lineRule="exact"/>
        <w:ind w:firstLineChars="221" w:firstLine="707"/>
        <w:rPr>
          <w:rFonts w:ascii="Times New Roman" w:eastAsia="仿宋_GB2312"/>
          <w:sz w:val="32"/>
          <w:szCs w:val="32"/>
        </w:rPr>
      </w:pPr>
      <w:r>
        <w:rPr>
          <w:rFonts w:ascii="Times New Roman" w:eastAsia="仿宋_GB2312"/>
          <w:sz w:val="32"/>
          <w:szCs w:val="32"/>
        </w:rPr>
        <w:t>按照《中华人民共和国药典》</w:t>
      </w:r>
      <w:r>
        <w:rPr>
          <w:rFonts w:ascii="Times New Roman" w:eastAsia="仿宋_GB2312"/>
          <w:sz w:val="32"/>
          <w:szCs w:val="32"/>
        </w:rPr>
        <w:t xml:space="preserve"> </w:t>
      </w:r>
      <w:r>
        <w:rPr>
          <w:rFonts w:ascii="Times New Roman" w:eastAsia="仿宋_GB2312"/>
          <w:sz w:val="32"/>
          <w:szCs w:val="32"/>
        </w:rPr>
        <w:t>四部</w:t>
      </w:r>
      <w:r>
        <w:rPr>
          <w:rFonts w:ascii="Times New Roman" w:eastAsia="仿宋_GB2312"/>
          <w:sz w:val="32"/>
          <w:szCs w:val="32"/>
        </w:rPr>
        <w:t xml:space="preserve"> </w:t>
      </w:r>
      <w:r>
        <w:rPr>
          <w:rFonts w:ascii="Times New Roman" w:eastAsia="仿宋_GB2312"/>
          <w:sz w:val="32"/>
          <w:szCs w:val="32"/>
        </w:rPr>
        <w:t>进行成纤维细胞生长因子生物学活性测定，对胶原蛋白肽</w:t>
      </w:r>
      <w:r>
        <w:rPr>
          <w:rFonts w:ascii="Times New Roman" w:eastAsia="仿宋_GB2312"/>
          <w:sz w:val="32"/>
          <w:szCs w:val="32"/>
        </w:rPr>
        <w:t>-</w:t>
      </w:r>
      <w:r>
        <w:rPr>
          <w:rFonts w:ascii="Times New Roman" w:eastAsia="仿宋_GB2312"/>
          <w:sz w:val="32"/>
          <w:szCs w:val="32"/>
        </w:rPr>
        <w:t>细胞相互作用评价，反映胶原蛋白肽与成纤维细胞增殖的构效关系。按照《中华人民共和国药典》</w:t>
      </w:r>
      <w:r>
        <w:rPr>
          <w:rFonts w:ascii="Times New Roman" w:eastAsia="仿宋_GB2312"/>
          <w:sz w:val="32"/>
          <w:szCs w:val="32"/>
        </w:rPr>
        <w:t xml:space="preserve"> </w:t>
      </w:r>
      <w:r>
        <w:rPr>
          <w:rFonts w:ascii="Times New Roman" w:eastAsia="仿宋_GB2312"/>
          <w:sz w:val="32"/>
          <w:szCs w:val="32"/>
        </w:rPr>
        <w:t>四部</w:t>
      </w:r>
      <w:r>
        <w:rPr>
          <w:rFonts w:ascii="Times New Roman" w:eastAsia="仿宋_GB2312"/>
          <w:sz w:val="32"/>
          <w:szCs w:val="32"/>
        </w:rPr>
        <w:t xml:space="preserve"> </w:t>
      </w:r>
      <w:r>
        <w:rPr>
          <w:rFonts w:ascii="Times New Roman" w:eastAsia="仿宋_GB2312"/>
          <w:sz w:val="32"/>
          <w:szCs w:val="32"/>
        </w:rPr>
        <w:t>生物活性测定法对试验结果进行统计学分析，包括对验证指标结果的绘图和统计学分析，以及判断其是否符合可接受标准等。常规的统计学方法一般要求数据之间相互独立，并呈近似正态分布和方差齐性，通常采用相对效价的对数转换值进行数据分析。当无法满足上述统计学要求时，也可考虑采用其他适宜的替代方法进行数据分析。</w:t>
      </w:r>
    </w:p>
    <w:p w14:paraId="5B401581" w14:textId="77777777" w:rsidR="009562AD" w:rsidRDefault="009562AD" w:rsidP="009562AD">
      <w:pPr>
        <w:pStyle w:val="af7"/>
        <w:spacing w:line="520" w:lineRule="exact"/>
        <w:ind w:firstLine="640"/>
        <w:rPr>
          <w:rFonts w:ascii="Times New Roman" w:eastAsia="仿宋_GB2312" w:hAnsi="Times New Roman" w:cs="Times New Roman"/>
          <w:color w:val="00B050"/>
          <w:sz w:val="32"/>
          <w:szCs w:val="32"/>
        </w:rPr>
      </w:pPr>
      <w:r>
        <w:rPr>
          <w:rFonts w:ascii="Times New Roman" w:eastAsia="仿宋_GB2312" w:hAnsi="Times New Roman" w:cs="Times New Roman"/>
          <w:sz w:val="32"/>
          <w:szCs w:val="32"/>
        </w:rPr>
        <w:t>上述关于胶原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细胞相互作用的功能性测定也可作为医疗器械产品标准化和质量控制的方法。三维支架材料中细胞活性评价方法可参考</w:t>
      </w:r>
      <w:r>
        <w:rPr>
          <w:rFonts w:ascii="Times New Roman" w:eastAsia="仿宋_GB2312" w:hAnsi="Times New Roman" w:cs="Times New Roman"/>
          <w:sz w:val="32"/>
          <w:szCs w:val="32"/>
        </w:rPr>
        <w:t>YY/T 1562</w:t>
      </w:r>
      <w:r>
        <w:rPr>
          <w:rFonts w:ascii="Times New Roman" w:eastAsia="仿宋_GB2312" w:hAnsi="Times New Roman" w:cs="Times New Roman"/>
          <w:sz w:val="32"/>
          <w:szCs w:val="32"/>
        </w:rPr>
        <w:t>《组织工程医疗器械产品</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生物材料支架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细胞活性试验指南》。</w:t>
      </w:r>
    </w:p>
    <w:p w14:paraId="1EA1AF7E" w14:textId="4A429922" w:rsidR="001B6A5B" w:rsidRDefault="00A41FA1">
      <w:pPr>
        <w:pStyle w:val="af7"/>
        <w:numPr>
          <w:ilvl w:val="0"/>
          <w:numId w:val="4"/>
        </w:numPr>
        <w:spacing w:line="520" w:lineRule="exact"/>
        <w:ind w:left="0" w:firstLine="640"/>
        <w:outlineLvl w:val="1"/>
        <w:rPr>
          <w:rFonts w:ascii="Times New Roman" w:eastAsia="楷体_GB2312" w:hAnsi="Times New Roman" w:cs="Times New Roman"/>
          <w:kern w:val="0"/>
          <w:sz w:val="32"/>
          <w:szCs w:val="32"/>
        </w:rPr>
      </w:pPr>
      <w:bookmarkStart w:id="1058" w:name="_Toc117498425"/>
      <w:bookmarkStart w:id="1059" w:name="_Toc110418986"/>
      <w:bookmarkStart w:id="1060" w:name="_Toc110419125"/>
      <w:bookmarkStart w:id="1061" w:name="_Toc118298962"/>
      <w:bookmarkEnd w:id="1058"/>
      <w:r>
        <w:rPr>
          <w:rFonts w:ascii="Times New Roman" w:eastAsia="楷体_GB2312" w:hAnsi="Times New Roman" w:cs="Times New Roman"/>
          <w:kern w:val="0"/>
          <w:sz w:val="32"/>
          <w:szCs w:val="32"/>
        </w:rPr>
        <w:t>材料免疫学</w:t>
      </w:r>
      <w:r w:rsidR="001F4D6B">
        <w:rPr>
          <w:rFonts w:ascii="Times New Roman" w:eastAsia="楷体_GB2312" w:hAnsi="Times New Roman" w:cs="Times New Roman" w:hint="eastAsia"/>
          <w:kern w:val="0"/>
          <w:sz w:val="32"/>
          <w:szCs w:val="32"/>
        </w:rPr>
        <w:t>安全性</w:t>
      </w:r>
      <w:r>
        <w:rPr>
          <w:rFonts w:ascii="Times New Roman" w:eastAsia="楷体_GB2312" w:hAnsi="Times New Roman" w:cs="Times New Roman"/>
          <w:kern w:val="0"/>
          <w:sz w:val="32"/>
          <w:szCs w:val="32"/>
        </w:rPr>
        <w:t>研究</w:t>
      </w:r>
      <w:bookmarkEnd w:id="1059"/>
      <w:bookmarkEnd w:id="1060"/>
      <w:bookmarkEnd w:id="1061"/>
    </w:p>
    <w:p w14:paraId="3BD62ACC" w14:textId="506DDCE8"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临床前安全性评价</w:t>
      </w:r>
      <w:r w:rsidR="00C1538E">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临床前安全性试验</w:t>
      </w:r>
      <w:r w:rsidR="00C1538E">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目的主要是确定新胶原蛋白材料是否会在人体引起未能预料的不良</w:t>
      </w:r>
      <w:r>
        <w:rPr>
          <w:rFonts w:ascii="Times New Roman" w:eastAsia="仿宋_GB2312" w:hAnsi="Times New Roman" w:cs="Times New Roman"/>
          <w:sz w:val="32"/>
          <w:szCs w:val="32"/>
        </w:rPr>
        <w:lastRenderedPageBreak/>
        <w:t>反应</w:t>
      </w:r>
      <w:r w:rsidR="00E60800">
        <w:rPr>
          <w:rFonts w:ascii="Times New Roman" w:eastAsia="仿宋_GB2312" w:hAnsi="Times New Roman" w:cs="Times New Roman" w:hint="eastAsia"/>
          <w:sz w:val="32"/>
          <w:szCs w:val="32"/>
        </w:rPr>
        <w:t>，免疫学安全性研究是重组胶原蛋白</w:t>
      </w:r>
      <w:r w:rsidR="00E60800">
        <w:rPr>
          <w:rFonts w:ascii="Times New Roman" w:eastAsia="仿宋_GB2312" w:hAnsi="Times New Roman" w:cs="Times New Roman" w:hint="eastAsia"/>
          <w:kern w:val="0"/>
          <w:sz w:val="32"/>
          <w:szCs w:val="32"/>
        </w:rPr>
        <w:t>材料生物安全性研究资料的主体。</w:t>
      </w:r>
      <w:r>
        <w:rPr>
          <w:rFonts w:ascii="Times New Roman" w:eastAsia="仿宋_GB2312" w:hAnsi="Times New Roman" w:cs="Times New Roman"/>
          <w:sz w:val="32"/>
          <w:szCs w:val="32"/>
        </w:rPr>
        <w:t>但是，用传统</w:t>
      </w:r>
      <w:r w:rsidR="00E60800">
        <w:rPr>
          <w:rFonts w:ascii="Times New Roman" w:eastAsia="仿宋_GB2312" w:hAnsi="Times New Roman" w:cs="Times New Roman" w:hint="eastAsia"/>
          <w:sz w:val="32"/>
          <w:szCs w:val="32"/>
        </w:rPr>
        <w:t>生物</w:t>
      </w:r>
      <w:r>
        <w:rPr>
          <w:rFonts w:ascii="Times New Roman" w:eastAsia="仿宋_GB2312" w:hAnsi="Times New Roman" w:cs="Times New Roman"/>
          <w:sz w:val="32"/>
          <w:szCs w:val="32"/>
        </w:rPr>
        <w:t>试验</w:t>
      </w:r>
      <w:r w:rsidR="00E60800">
        <w:rPr>
          <w:rFonts w:ascii="Times New Roman" w:eastAsia="仿宋_GB2312" w:hAnsi="Times New Roman" w:cs="Times New Roman" w:hint="eastAsia"/>
          <w:sz w:val="32"/>
          <w:szCs w:val="32"/>
        </w:rPr>
        <w:t>方法</w:t>
      </w:r>
      <w:r>
        <w:rPr>
          <w:rFonts w:ascii="Times New Roman" w:eastAsia="仿宋_GB2312" w:hAnsi="Times New Roman" w:cs="Times New Roman"/>
          <w:sz w:val="32"/>
          <w:szCs w:val="32"/>
        </w:rPr>
        <w:t>来评价重组胶原蛋白往往有困难，并受多种因素的影响。例如高度的种属特异性，人的蛋白质对人的</w:t>
      </w:r>
      <w:r w:rsidR="001F4D6B">
        <w:rPr>
          <w:rFonts w:ascii="Times New Roman" w:eastAsia="仿宋_GB2312" w:hAnsi="Times New Roman" w:cs="Times New Roman" w:hint="eastAsia"/>
          <w:sz w:val="32"/>
          <w:szCs w:val="32"/>
        </w:rPr>
        <w:t>生物</w:t>
      </w:r>
      <w:r>
        <w:rPr>
          <w:rFonts w:ascii="Times New Roman" w:eastAsia="仿宋_GB2312" w:hAnsi="Times New Roman" w:cs="Times New Roman"/>
          <w:sz w:val="32"/>
          <w:szCs w:val="32"/>
        </w:rPr>
        <w:t>学活性远高于对动物的活性，而且人的蛋白质氨基酸序列，常常与来自其它种系的蛋白质不同，例如糖基。因而由基因工程技术所制备的蛋白质或肽类往往会在人体以外的其它宿主中产生免疫应答，其生物学效应有所改变，并可能因形成免疫复合物而导致有毒性反应，而这样产生的毒性反应与人体安全性显然无关。</w:t>
      </w:r>
    </w:p>
    <w:p w14:paraId="2234AC87" w14:textId="21C08AF2" w:rsidR="001B6A5B" w:rsidRDefault="00A41FA1">
      <w:pPr>
        <w:pStyle w:val="af8"/>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另外，由于</w:t>
      </w:r>
      <w:r w:rsidR="00C1538E">
        <w:rPr>
          <w:rFonts w:ascii="Times New Roman" w:eastAsia="仿宋_GB2312" w:hAnsi="Times New Roman" w:cs="Times New Roman" w:hint="eastAsia"/>
          <w:sz w:val="32"/>
          <w:szCs w:val="32"/>
        </w:rPr>
        <w:t>重组</w:t>
      </w:r>
      <w:r>
        <w:rPr>
          <w:rFonts w:ascii="Times New Roman" w:eastAsia="仿宋_GB2312" w:hAnsi="Times New Roman" w:cs="Times New Roman"/>
          <w:color w:val="000000"/>
          <w:kern w:val="0"/>
          <w:sz w:val="32"/>
          <w:szCs w:val="32"/>
        </w:rPr>
        <w:t>胶原蛋白</w:t>
      </w:r>
      <w:r w:rsidR="00C1538E">
        <w:rPr>
          <w:rFonts w:ascii="Times New Roman" w:eastAsia="仿宋_GB2312" w:hAnsi="Times New Roman" w:cs="Times New Roman" w:hint="eastAsia"/>
          <w:sz w:val="32"/>
          <w:szCs w:val="32"/>
        </w:rPr>
        <w:t>功能</w:t>
      </w:r>
      <w:r>
        <w:rPr>
          <w:rFonts w:ascii="Times New Roman" w:eastAsia="仿宋_GB2312" w:hAnsi="Times New Roman" w:cs="Times New Roman"/>
          <w:sz w:val="32"/>
          <w:szCs w:val="32"/>
        </w:rPr>
        <w:t>、生产工艺或者</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稳定性等要求，对</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进行修饰或者改构，应提供与未修饰或者改构</w:t>
      </w:r>
      <w:r>
        <w:rPr>
          <w:rFonts w:ascii="Times New Roman" w:eastAsia="仿宋_GB2312" w:hAnsi="Times New Roman" w:cs="Times New Roman"/>
          <w:color w:val="000000"/>
          <w:kern w:val="0"/>
          <w:sz w:val="32"/>
          <w:szCs w:val="32"/>
        </w:rPr>
        <w:t>材料</w:t>
      </w:r>
      <w:r>
        <w:rPr>
          <w:rFonts w:ascii="Times New Roman" w:eastAsia="仿宋_GB2312" w:hAnsi="Times New Roman" w:cs="Times New Roman"/>
          <w:sz w:val="32"/>
          <w:szCs w:val="32"/>
        </w:rPr>
        <w:t>比较的研究资料。以简化生产工艺为目的而引入的额外多肽片段如</w:t>
      </w:r>
      <w:r>
        <w:rPr>
          <w:rFonts w:ascii="Times New Roman" w:eastAsia="仿宋_GB2312" w:hAnsi="Times New Roman" w:cs="Times New Roman"/>
          <w:sz w:val="32"/>
          <w:szCs w:val="32"/>
        </w:rPr>
        <w:t>His-tag</w:t>
      </w:r>
      <w:r>
        <w:rPr>
          <w:rFonts w:ascii="Times New Roman" w:eastAsia="仿宋_GB2312" w:hAnsi="Times New Roman" w:cs="Times New Roman"/>
          <w:sz w:val="32"/>
          <w:szCs w:val="32"/>
        </w:rPr>
        <w:t>，在最终的材料成品中应符合相关行业标准的要求。</w:t>
      </w:r>
    </w:p>
    <w:p w14:paraId="59CB7768"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62" w:name="_Toc110419126"/>
      <w:bookmarkStart w:id="1063" w:name="_Toc110418987"/>
      <w:bookmarkStart w:id="1064" w:name="_Toc118298963"/>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免疫原及免疫化学检验</w:t>
      </w:r>
      <w:bookmarkEnd w:id="1062"/>
      <w:bookmarkEnd w:id="1063"/>
      <w:bookmarkEnd w:id="1064"/>
    </w:p>
    <w:p w14:paraId="6DB0ABBE"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基于部分人胶原蛋白核酸序列进行编辑组合而重组的蛋白质产物，特别是长期反复使用时，可能引起人体预测不到的免疫原性。因此，不能完全排除其免疫原性风险，宜增加免疫学研究。重组人源化胶原蛋白作为医疗器械用原材料，可采用适宜方法进行免疫学评价。若用动物进行免疫学试验，可能因为动物模型与临床应用之间存在种属差异，带来对评价试验结果或评价试验数据使用上的局限，应当根据临床试验获得的免疫学评价数据及动物模型获得的免疫评价数据进行综合评价分析。</w:t>
      </w:r>
    </w:p>
    <w:p w14:paraId="2DB9857F"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患者对蛋白质类材料产生免疫应答的风险将随医疗器械产品变化而变化。建议采用基于风险的方法来评价和减轻</w:t>
      </w:r>
      <w:r>
        <w:rPr>
          <w:rFonts w:ascii="Times New Roman" w:eastAsia="仿宋_GB2312"/>
          <w:sz w:val="32"/>
          <w:szCs w:val="32"/>
        </w:rPr>
        <w:lastRenderedPageBreak/>
        <w:t>与影响人源化胶原蛋白安全性和有效性相关的免疫应答。人源化胶原免疫原主要源自生产过程中残留的可致免疫原性的各种因子，包括残留的各种杂蛋白（包括</w:t>
      </w:r>
      <w:r>
        <w:rPr>
          <w:rFonts w:ascii="Times New Roman" w:eastAsia="仿宋_GB2312"/>
          <w:sz w:val="32"/>
          <w:szCs w:val="32"/>
        </w:rPr>
        <w:t>DNA</w:t>
      </w:r>
      <w:r>
        <w:rPr>
          <w:rFonts w:ascii="Times New Roman" w:eastAsia="仿宋_GB2312"/>
          <w:sz w:val="32"/>
          <w:szCs w:val="32"/>
        </w:rPr>
        <w:t>转录过程中可能产生的异种蛋白）、残留的大肠杆菌及酵母菌外源性</w:t>
      </w:r>
      <w:r>
        <w:rPr>
          <w:rFonts w:ascii="Times New Roman" w:eastAsia="仿宋_GB2312"/>
          <w:sz w:val="32"/>
          <w:szCs w:val="32"/>
        </w:rPr>
        <w:t>DNA</w:t>
      </w:r>
      <w:r>
        <w:rPr>
          <w:rFonts w:ascii="Times New Roman" w:eastAsia="仿宋_GB2312"/>
          <w:sz w:val="32"/>
          <w:szCs w:val="32"/>
        </w:rPr>
        <w:t>、材料致热原、生产过程中菌体产生的细菌内毒素、</w:t>
      </w:r>
      <w:r>
        <w:rPr>
          <w:rFonts w:ascii="Times New Roman" w:eastAsia="仿宋_GB2312"/>
          <w:sz w:val="32"/>
          <w:szCs w:val="32"/>
        </w:rPr>
        <w:t>DAMPs</w:t>
      </w:r>
      <w:r>
        <w:rPr>
          <w:rFonts w:ascii="Times New Roman" w:eastAsia="仿宋_GB2312"/>
          <w:sz w:val="32"/>
          <w:szCs w:val="32"/>
        </w:rPr>
        <w:t>以及人源胶原特异性免疫等等。</w:t>
      </w:r>
    </w:p>
    <w:p w14:paraId="41431B26"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为降低人源化胶原蛋白材料的免疫原性风险，一般需在材料设计及生产工艺中采取相应处理措施以降低其免疫原性，如宿主细胞选择，蛋白提取、蛋白纯化。申请人需对其降低材料免疫原性的有效性进行验证，并提供验证实验性数据或相关研究资料。申请人应提供免疫原性检测范例的理论依据，应使用经完全验证的检测法对来自关键性研究的样品进行检测，并提供支持该检测法的全面验证的数据。</w:t>
      </w:r>
    </w:p>
    <w:p w14:paraId="46755B9E"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杂蛋白的检测可参考</w:t>
      </w:r>
      <w:r>
        <w:rPr>
          <w:rFonts w:ascii="Times New Roman" w:eastAsia="仿宋_GB2312"/>
          <w:sz w:val="32"/>
          <w:szCs w:val="32"/>
        </w:rPr>
        <w:t>YY/T 1453</w:t>
      </w:r>
      <w:r>
        <w:rPr>
          <w:rFonts w:ascii="Times New Roman" w:eastAsia="仿宋_GB2312"/>
          <w:sz w:val="32"/>
          <w:szCs w:val="32"/>
        </w:rPr>
        <w:t>《组织工程医疗器械产品</w:t>
      </w:r>
      <w:r>
        <w:rPr>
          <w:rFonts w:ascii="Times New Roman" w:eastAsia="仿宋_GB2312"/>
          <w:sz w:val="32"/>
          <w:szCs w:val="32"/>
        </w:rPr>
        <w:t xml:space="preserve"> I</w:t>
      </w:r>
      <w:r>
        <w:rPr>
          <w:rFonts w:ascii="Times New Roman" w:eastAsia="仿宋_GB2312"/>
          <w:sz w:val="32"/>
          <w:szCs w:val="32"/>
        </w:rPr>
        <w:t>型胶原蛋白表征方法》，外源性</w:t>
      </w:r>
      <w:r>
        <w:rPr>
          <w:rFonts w:ascii="Times New Roman" w:eastAsia="仿宋_GB2312"/>
          <w:sz w:val="32"/>
          <w:szCs w:val="32"/>
        </w:rPr>
        <w:t>DNA</w:t>
      </w:r>
      <w:r>
        <w:rPr>
          <w:rFonts w:ascii="Times New Roman" w:eastAsia="仿宋_GB2312"/>
          <w:sz w:val="32"/>
          <w:szCs w:val="32"/>
        </w:rPr>
        <w:t>检测可参考</w:t>
      </w:r>
      <w:r>
        <w:rPr>
          <w:rFonts w:ascii="Times New Roman" w:eastAsia="仿宋_GB2312"/>
          <w:sz w:val="32"/>
          <w:szCs w:val="32"/>
        </w:rPr>
        <w:t>YY/T 0606.25</w:t>
      </w:r>
      <w:r>
        <w:rPr>
          <w:rFonts w:ascii="Times New Roman" w:eastAsia="仿宋_GB2312"/>
          <w:sz w:val="32"/>
          <w:szCs w:val="32"/>
        </w:rPr>
        <w:t>《组织工程医疗产品</w:t>
      </w:r>
      <w:r>
        <w:rPr>
          <w:rFonts w:ascii="Times New Roman" w:eastAsia="仿宋_GB2312"/>
          <w:sz w:val="32"/>
          <w:szCs w:val="32"/>
        </w:rPr>
        <w:t xml:space="preserve"> </w:t>
      </w:r>
      <w:r>
        <w:rPr>
          <w:rFonts w:ascii="Times New Roman" w:eastAsia="仿宋_GB2312"/>
          <w:sz w:val="32"/>
          <w:szCs w:val="32"/>
        </w:rPr>
        <w:t>第</w:t>
      </w:r>
      <w:r>
        <w:rPr>
          <w:rFonts w:ascii="Times New Roman" w:eastAsia="仿宋_GB2312"/>
          <w:sz w:val="32"/>
          <w:szCs w:val="32"/>
        </w:rPr>
        <w:t>25</w:t>
      </w:r>
      <w:r>
        <w:rPr>
          <w:rFonts w:ascii="Times New Roman" w:eastAsia="仿宋_GB2312"/>
          <w:sz w:val="32"/>
          <w:szCs w:val="32"/>
        </w:rPr>
        <w:t>部分</w:t>
      </w:r>
      <w:r>
        <w:rPr>
          <w:rFonts w:ascii="Times New Roman" w:eastAsia="仿宋_GB2312"/>
          <w:sz w:val="32"/>
          <w:szCs w:val="32"/>
        </w:rPr>
        <w:t xml:space="preserve"> </w:t>
      </w:r>
      <w:r>
        <w:rPr>
          <w:rFonts w:ascii="Times New Roman" w:eastAsia="仿宋_GB2312"/>
          <w:sz w:val="32"/>
          <w:szCs w:val="32"/>
        </w:rPr>
        <w:t>动物源性生物材料</w:t>
      </w:r>
      <w:r>
        <w:rPr>
          <w:rFonts w:ascii="Times New Roman" w:eastAsia="仿宋_GB2312"/>
          <w:sz w:val="32"/>
          <w:szCs w:val="32"/>
        </w:rPr>
        <w:t>DNA</w:t>
      </w:r>
      <w:r>
        <w:rPr>
          <w:rFonts w:ascii="Times New Roman" w:eastAsia="仿宋_GB2312"/>
          <w:sz w:val="32"/>
          <w:szCs w:val="32"/>
        </w:rPr>
        <w:t>残留量测定法：荧光染色法》。胶原蛋白材料的免疫原检验可通过流式细胞术（</w:t>
      </w:r>
      <w:r>
        <w:rPr>
          <w:rFonts w:ascii="Times New Roman" w:eastAsia="仿宋_GB2312"/>
          <w:sz w:val="32"/>
          <w:szCs w:val="32"/>
        </w:rPr>
        <w:t>FCM</w:t>
      </w:r>
      <w:r>
        <w:rPr>
          <w:rFonts w:ascii="Times New Roman" w:eastAsia="仿宋_GB2312"/>
          <w:sz w:val="32"/>
          <w:szCs w:val="32"/>
        </w:rPr>
        <w:t>）或酶联免疫吸附法（</w:t>
      </w:r>
      <w:r>
        <w:rPr>
          <w:rFonts w:ascii="Times New Roman" w:eastAsia="仿宋_GB2312"/>
          <w:sz w:val="32"/>
          <w:szCs w:val="32"/>
        </w:rPr>
        <w:t>ELISA</w:t>
      </w:r>
      <w:r>
        <w:rPr>
          <w:rFonts w:ascii="Times New Roman" w:eastAsia="仿宋_GB2312"/>
          <w:sz w:val="32"/>
          <w:szCs w:val="32"/>
        </w:rPr>
        <w:t>）测定，检测试验宜考虑，但不限于淋巴细胞增殖试验（</w:t>
      </w:r>
      <w:r>
        <w:rPr>
          <w:rFonts w:ascii="Times New Roman" w:eastAsia="仿宋_GB2312"/>
          <w:sz w:val="32"/>
          <w:szCs w:val="32"/>
        </w:rPr>
        <w:t>YY/T0606.15</w:t>
      </w:r>
      <w:r>
        <w:rPr>
          <w:rFonts w:ascii="Times New Roman" w:eastAsia="仿宋_GB2312"/>
          <w:sz w:val="32"/>
          <w:szCs w:val="32"/>
        </w:rPr>
        <w:t>《组织工程医疗产品</w:t>
      </w:r>
      <w:r>
        <w:rPr>
          <w:rFonts w:ascii="Times New Roman" w:eastAsia="仿宋_GB2312"/>
          <w:sz w:val="32"/>
          <w:szCs w:val="32"/>
        </w:rPr>
        <w:t xml:space="preserve"> </w:t>
      </w:r>
      <w:r>
        <w:rPr>
          <w:rFonts w:ascii="Times New Roman" w:eastAsia="仿宋_GB2312"/>
          <w:sz w:val="32"/>
          <w:szCs w:val="32"/>
        </w:rPr>
        <w:t>第</w:t>
      </w:r>
      <w:r>
        <w:rPr>
          <w:rFonts w:ascii="Times New Roman" w:eastAsia="仿宋_GB2312"/>
          <w:sz w:val="32"/>
          <w:szCs w:val="32"/>
        </w:rPr>
        <w:t>15</w:t>
      </w:r>
      <w:r>
        <w:rPr>
          <w:rFonts w:ascii="Times New Roman" w:eastAsia="仿宋_GB2312"/>
          <w:sz w:val="32"/>
          <w:szCs w:val="32"/>
        </w:rPr>
        <w:t>部分</w:t>
      </w:r>
      <w:r>
        <w:rPr>
          <w:rFonts w:ascii="Times New Roman" w:eastAsia="仿宋_GB2312"/>
          <w:sz w:val="32"/>
          <w:szCs w:val="32"/>
        </w:rPr>
        <w:t xml:space="preserve"> </w:t>
      </w:r>
      <w:r>
        <w:rPr>
          <w:rFonts w:ascii="Times New Roman" w:eastAsia="仿宋_GB2312"/>
          <w:sz w:val="32"/>
          <w:szCs w:val="32"/>
        </w:rPr>
        <w:t>评价基质及支架免疫反应的实验方法：淋巴细胞增殖试验》）、细胞迁移试验（</w:t>
      </w:r>
      <w:r>
        <w:rPr>
          <w:rFonts w:ascii="Times New Roman" w:eastAsia="仿宋_GB2312"/>
          <w:sz w:val="32"/>
          <w:szCs w:val="32"/>
        </w:rPr>
        <w:t>YY/T0606.20</w:t>
      </w:r>
      <w:r>
        <w:rPr>
          <w:rFonts w:ascii="Times New Roman" w:eastAsia="仿宋_GB2312"/>
          <w:sz w:val="32"/>
          <w:szCs w:val="32"/>
        </w:rPr>
        <w:t>《组织工程医疗产品</w:t>
      </w:r>
      <w:r>
        <w:rPr>
          <w:rFonts w:ascii="Times New Roman" w:eastAsia="仿宋_GB2312"/>
          <w:sz w:val="32"/>
          <w:szCs w:val="32"/>
        </w:rPr>
        <w:t xml:space="preserve"> </w:t>
      </w:r>
      <w:r>
        <w:rPr>
          <w:rFonts w:ascii="Times New Roman" w:eastAsia="仿宋_GB2312"/>
          <w:sz w:val="32"/>
          <w:szCs w:val="32"/>
        </w:rPr>
        <w:t>第</w:t>
      </w:r>
      <w:r>
        <w:rPr>
          <w:rFonts w:ascii="Times New Roman" w:eastAsia="仿宋_GB2312"/>
          <w:sz w:val="32"/>
          <w:szCs w:val="32"/>
        </w:rPr>
        <w:t>20</w:t>
      </w:r>
      <w:r>
        <w:rPr>
          <w:rFonts w:ascii="Times New Roman" w:eastAsia="仿宋_GB2312"/>
          <w:sz w:val="32"/>
          <w:szCs w:val="32"/>
        </w:rPr>
        <w:t>部分：评价基质及支架免疫反应的试验方法：细胞迁移试验》），采用非标方法时应进行方法学验证。</w:t>
      </w:r>
    </w:p>
    <w:p w14:paraId="1F489BEF"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免疫原性检测可设计为检测不期望的生物或生理结果的抗体，重组人源化胶原蛋白抗体可能降低效果或者引起过</w:t>
      </w:r>
      <w:r>
        <w:rPr>
          <w:rFonts w:ascii="Times New Roman" w:eastAsia="仿宋_GB2312"/>
          <w:sz w:val="32"/>
          <w:szCs w:val="32"/>
        </w:rPr>
        <w:lastRenderedPageBreak/>
        <w:t>敏等反应。抗体检测的免疫原试验可参考《中华人民共和国药典》，选择适宜的方法进行，包括桥联或均相酶免疫法、放射免疫沉淀试验等，并进行相关的方法开发和试验验证。试验过程中，可根据滴度试验和中和活性试验进一步对</w:t>
      </w:r>
      <w:r>
        <w:rPr>
          <w:rFonts w:ascii="Times New Roman" w:eastAsia="仿宋_GB2312"/>
          <w:sz w:val="32"/>
          <w:szCs w:val="32"/>
        </w:rPr>
        <w:t xml:space="preserve"> ADA </w:t>
      </w:r>
      <w:r>
        <w:rPr>
          <w:rFonts w:ascii="Times New Roman" w:eastAsia="仿宋_GB2312"/>
          <w:sz w:val="32"/>
          <w:szCs w:val="32"/>
        </w:rPr>
        <w:t>进行分析，还可进行额外的抗体特征分析，包括抗体分型、抗原表位鉴定及交叉反应评价。</w:t>
      </w:r>
    </w:p>
    <w:p w14:paraId="3F92EA01"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筛选检测法（也称为结合抗体（</w:t>
      </w:r>
      <w:r>
        <w:rPr>
          <w:rFonts w:ascii="Times New Roman" w:eastAsia="仿宋_GB2312"/>
          <w:sz w:val="32"/>
          <w:szCs w:val="32"/>
        </w:rPr>
        <w:t>BAb</w:t>
      </w:r>
      <w:r>
        <w:rPr>
          <w:rFonts w:ascii="Times New Roman" w:eastAsia="仿宋_GB2312"/>
          <w:sz w:val="32"/>
          <w:szCs w:val="32"/>
        </w:rPr>
        <w:t>）检测法）用于检测与材料结合的所有抗体。使用确证性检测法建立</w:t>
      </w:r>
      <w:r>
        <w:rPr>
          <w:rFonts w:ascii="Times New Roman" w:eastAsia="仿宋_GB2312"/>
          <w:sz w:val="32"/>
          <w:szCs w:val="32"/>
        </w:rPr>
        <w:t xml:space="preserve"> BAb </w:t>
      </w:r>
      <w:r>
        <w:rPr>
          <w:rFonts w:ascii="Times New Roman" w:eastAsia="仿宋_GB2312"/>
          <w:sz w:val="32"/>
          <w:szCs w:val="32"/>
        </w:rPr>
        <w:t>对材料的特异性，使用滴定和中和检测法进一步表征重组人源化胶原蛋白抗体。使用滴定检测法表征抗体应答的量级，抗体对安全性和有效性的影响可能与其滴度和持续性而不是发生率相关。中和检测法评估抗体干扰材料</w:t>
      </w:r>
      <w:r>
        <w:rPr>
          <w:rFonts w:ascii="Times New Roman" w:eastAsia="仿宋_GB2312"/>
          <w:sz w:val="32"/>
          <w:szCs w:val="32"/>
        </w:rPr>
        <w:t>-</w:t>
      </w:r>
      <w:r>
        <w:rPr>
          <w:rFonts w:ascii="Times New Roman" w:eastAsia="仿宋_GB2312"/>
          <w:sz w:val="32"/>
          <w:szCs w:val="32"/>
        </w:rPr>
        <w:t>靶标相互作用的能力。中和抗体（</w:t>
      </w:r>
      <w:r>
        <w:rPr>
          <w:rFonts w:ascii="Times New Roman" w:eastAsia="仿宋_GB2312"/>
          <w:sz w:val="32"/>
          <w:szCs w:val="32"/>
        </w:rPr>
        <w:t>NAb</w:t>
      </w:r>
      <w:r>
        <w:rPr>
          <w:rFonts w:ascii="Times New Roman" w:eastAsia="仿宋_GB2312"/>
          <w:sz w:val="32"/>
          <w:szCs w:val="32"/>
        </w:rPr>
        <w:t>）是</w:t>
      </w:r>
      <w:r>
        <w:rPr>
          <w:rFonts w:ascii="Times New Roman" w:eastAsia="仿宋_GB2312"/>
          <w:sz w:val="32"/>
          <w:szCs w:val="32"/>
        </w:rPr>
        <w:t xml:space="preserve"> BAb </w:t>
      </w:r>
      <w:r>
        <w:rPr>
          <w:rFonts w:ascii="Times New Roman" w:eastAsia="仿宋_GB2312"/>
          <w:sz w:val="32"/>
          <w:szCs w:val="32"/>
        </w:rPr>
        <w:t>的亚类，</w:t>
      </w:r>
      <w:r>
        <w:rPr>
          <w:rFonts w:ascii="Times New Roman" w:eastAsia="仿宋_GB2312"/>
          <w:sz w:val="32"/>
          <w:szCs w:val="32"/>
        </w:rPr>
        <w:t xml:space="preserve">ADA </w:t>
      </w:r>
      <w:r>
        <w:rPr>
          <w:rFonts w:ascii="Times New Roman" w:eastAsia="仿宋_GB2312"/>
          <w:sz w:val="32"/>
          <w:szCs w:val="32"/>
        </w:rPr>
        <w:t>对安全性和有效性的影响可能与</w:t>
      </w:r>
      <w:r>
        <w:rPr>
          <w:rFonts w:ascii="Times New Roman" w:eastAsia="仿宋_GB2312"/>
          <w:sz w:val="32"/>
          <w:szCs w:val="32"/>
        </w:rPr>
        <w:t xml:space="preserve"> NAb </w:t>
      </w:r>
      <w:r>
        <w:rPr>
          <w:rFonts w:ascii="Times New Roman" w:eastAsia="仿宋_GB2312"/>
          <w:sz w:val="32"/>
          <w:szCs w:val="32"/>
        </w:rPr>
        <w:t>活性而不是抗体发生率相关。类似地，在一些情况下可能重要的是确定</w:t>
      </w:r>
      <w:r>
        <w:rPr>
          <w:rFonts w:ascii="Times New Roman" w:eastAsia="仿宋_GB2312"/>
          <w:sz w:val="32"/>
          <w:szCs w:val="32"/>
        </w:rPr>
        <w:t xml:space="preserve"> NAb </w:t>
      </w:r>
      <w:r>
        <w:rPr>
          <w:rFonts w:ascii="Times New Roman" w:eastAsia="仿宋_GB2312"/>
          <w:sz w:val="32"/>
          <w:szCs w:val="32"/>
        </w:rPr>
        <w:t>滴度。用于检测抗体的首选检测法应当是检测低亲和力和高亲和力抗体的高灵敏度筛选检测法。申请人在开发检测方法以确认重组人源化胶原蛋白特异性抗体结合时，应选择合适的确证性检测法以防止抗体假阳性数据，这些假阳性数据会混淆抗体对安全性和有效性影响的分析。</w:t>
      </w:r>
    </w:p>
    <w:p w14:paraId="0227FB76"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申请人应提供支持该检测法的全面验证的数据。验证包括证明用于给定样品中抗体的定量测量的特定检测法对于预期用途是可靠和可重现的。抗体检测法有助于评价材料的免疫原性，然而抗体的检测依赖于检测法的关键操作参数（如灵敏度、专属性），一般来说，建议申请人开发针对灵</w:t>
      </w:r>
      <w:r>
        <w:rPr>
          <w:rFonts w:ascii="Times New Roman" w:eastAsia="仿宋_GB2312"/>
          <w:sz w:val="32"/>
          <w:szCs w:val="32"/>
        </w:rPr>
        <w:lastRenderedPageBreak/>
        <w:t>敏度、专属性、选择性、精确度、重复性和稳定性进行优化后的检测法。</w:t>
      </w:r>
    </w:p>
    <w:p w14:paraId="52E6A233"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其他的免疫原评价及生物学性能及生物相容性评价等建议做医疗器械终产品的检测，因为加工工艺不同最终产品性能不同，例如有些交联工艺可能会封闭某些免疫原反应簇等等。</w:t>
      </w:r>
    </w:p>
    <w:p w14:paraId="74E9718B"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065" w:name="_Toc110419127"/>
      <w:bookmarkStart w:id="1066" w:name="_Toc110418988"/>
      <w:bookmarkStart w:id="1067" w:name="_Toc118298964"/>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免疫毒理学评价</w:t>
      </w:r>
      <w:bookmarkEnd w:id="1065"/>
      <w:bookmarkEnd w:id="1066"/>
      <w:bookmarkEnd w:id="1067"/>
    </w:p>
    <w:p w14:paraId="3AB5CB5F" w14:textId="77777777" w:rsidR="001B6A5B" w:rsidRDefault="00A41FA1">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当拟</w:t>
      </w:r>
      <w:r w:rsidR="007B458F">
        <w:rPr>
          <w:rFonts w:ascii="Times New Roman" w:eastAsia="仿宋_GB2312" w:hAnsi="Times New Roman" w:cs="Times New Roman" w:hint="eastAsia"/>
          <w:color w:val="000000" w:themeColor="text1"/>
          <w:sz w:val="32"/>
          <w:szCs w:val="32"/>
        </w:rPr>
        <w:t>生产</w:t>
      </w:r>
      <w:r>
        <w:rPr>
          <w:rFonts w:ascii="Times New Roman" w:eastAsia="仿宋_GB2312" w:hAnsi="Times New Roman" w:cs="Times New Roman"/>
          <w:color w:val="000000" w:themeColor="text1"/>
          <w:sz w:val="32"/>
          <w:szCs w:val="32"/>
        </w:rPr>
        <w:t>医疗器械免疫原性风险与已上市产品无可比性，且无充分的文献数据评价其免疫原性，需进行免疫毒理学试验研究。</w:t>
      </w:r>
      <w:r>
        <w:rPr>
          <w:rFonts w:ascii="Times New Roman" w:eastAsia="仿宋_GB2312" w:hAnsi="Times New Roman" w:cs="Times New Roman"/>
          <w:sz w:val="32"/>
          <w:szCs w:val="32"/>
        </w:rPr>
        <w:t>通过免疫毒理学试验，对炎症反应、免疫抑制、免疫刺激、超敏反应以及自身免疫进行确证评价，评估免疫系统改变导致的潜在人体不良健康作用。</w:t>
      </w:r>
    </w:p>
    <w:p w14:paraId="6B47C850" w14:textId="77777777" w:rsidR="001B6A5B" w:rsidRDefault="00A41FA1">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免疫毒理学可通过流式细胞术（</w:t>
      </w:r>
      <w:r>
        <w:rPr>
          <w:rFonts w:ascii="Times New Roman" w:eastAsia="仿宋_GB2312" w:hAnsi="Times New Roman" w:cs="Times New Roman"/>
          <w:color w:val="000000" w:themeColor="text1"/>
          <w:sz w:val="32"/>
          <w:szCs w:val="32"/>
        </w:rPr>
        <w:t>FCM</w:t>
      </w:r>
      <w:r>
        <w:rPr>
          <w:rFonts w:ascii="Times New Roman" w:eastAsia="仿宋_GB2312" w:hAnsi="Times New Roman" w:cs="Times New Roman"/>
          <w:color w:val="000000" w:themeColor="text1"/>
          <w:sz w:val="32"/>
          <w:szCs w:val="32"/>
        </w:rPr>
        <w:t>）、酶联免疫吸附法（</w:t>
      </w:r>
      <w:r>
        <w:rPr>
          <w:rFonts w:ascii="Times New Roman" w:eastAsia="仿宋_GB2312" w:hAnsi="Times New Roman" w:cs="Times New Roman"/>
          <w:color w:val="000000" w:themeColor="text1"/>
          <w:sz w:val="32"/>
          <w:szCs w:val="32"/>
        </w:rPr>
        <w:t>ELISA</w:t>
      </w:r>
      <w:r>
        <w:rPr>
          <w:rFonts w:ascii="Times New Roman" w:eastAsia="仿宋_GB2312" w:hAnsi="Times New Roman" w:cs="Times New Roman"/>
          <w:color w:val="000000" w:themeColor="text1"/>
          <w:sz w:val="32"/>
          <w:szCs w:val="32"/>
        </w:rPr>
        <w:t>）、组织病理切片等方法测定，试验方法可考虑结合生物学试验、体外</w:t>
      </w:r>
      <w:r>
        <w:rPr>
          <w:rFonts w:ascii="Times New Roman" w:eastAsia="仿宋_GB2312" w:hAnsi="Times New Roman" w:cs="Times New Roman"/>
          <w:color w:val="000000" w:themeColor="text1"/>
          <w:sz w:val="32"/>
          <w:szCs w:val="32"/>
        </w:rPr>
        <w:t>T</w:t>
      </w:r>
      <w:r>
        <w:rPr>
          <w:rFonts w:ascii="Times New Roman" w:eastAsia="仿宋_GB2312" w:hAnsi="Times New Roman" w:cs="Times New Roman"/>
          <w:color w:val="000000" w:themeColor="text1"/>
          <w:sz w:val="32"/>
          <w:szCs w:val="32"/>
        </w:rPr>
        <w:t>淋巴细胞转化试验（</w:t>
      </w:r>
      <w:r>
        <w:rPr>
          <w:rFonts w:ascii="Times New Roman" w:eastAsia="仿宋_GB2312" w:hAnsi="Times New Roman" w:cs="Times New Roman"/>
          <w:color w:val="000000" w:themeColor="text1"/>
          <w:sz w:val="32"/>
          <w:szCs w:val="32"/>
        </w:rPr>
        <w:t>YY/T 1465.1</w:t>
      </w:r>
      <w:r>
        <w:rPr>
          <w:rFonts w:ascii="Times New Roman" w:eastAsia="仿宋_GB2312" w:hAnsi="Times New Roman" w:cs="Times New Roman"/>
          <w:color w:val="000000" w:themeColor="text1"/>
          <w:sz w:val="32"/>
          <w:szCs w:val="32"/>
        </w:rPr>
        <w:t>《医疗器械免疫原性评价方法第</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部分体外</w:t>
      </w:r>
      <w:r>
        <w:rPr>
          <w:rFonts w:ascii="Times New Roman" w:eastAsia="仿宋_GB2312" w:hAnsi="Times New Roman" w:cs="Times New Roman"/>
          <w:color w:val="000000" w:themeColor="text1"/>
          <w:sz w:val="32"/>
          <w:szCs w:val="32"/>
        </w:rPr>
        <w:t>T</w:t>
      </w:r>
      <w:r>
        <w:rPr>
          <w:rFonts w:ascii="Times New Roman" w:eastAsia="仿宋_GB2312" w:hAnsi="Times New Roman" w:cs="Times New Roman"/>
          <w:color w:val="000000" w:themeColor="text1"/>
          <w:sz w:val="32"/>
          <w:szCs w:val="32"/>
        </w:rPr>
        <w:t>淋巴细胞转化试验》）等，申请人应对选用检测方法的适用性进行评价，采用非标方法时应进行方法学验证。</w:t>
      </w:r>
    </w:p>
    <w:p w14:paraId="3BDC85DF" w14:textId="77777777" w:rsidR="001B6A5B" w:rsidRDefault="00A41FA1">
      <w:pPr>
        <w:spacing w:line="52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可参考</w:t>
      </w:r>
      <w:r>
        <w:rPr>
          <w:rFonts w:ascii="Times New Roman" w:eastAsia="仿宋_GB2312" w:hAnsi="Times New Roman" w:cs="Times New Roman"/>
          <w:sz w:val="32"/>
          <w:szCs w:val="32"/>
        </w:rPr>
        <w:t>GB/T 16886.20</w:t>
      </w:r>
      <w:r>
        <w:rPr>
          <w:rFonts w:ascii="Times New Roman" w:eastAsia="仿宋_GB2312" w:hAnsi="Times New Roman" w:cs="Times New Roman"/>
          <w:sz w:val="32"/>
          <w:szCs w:val="32"/>
        </w:rPr>
        <w:t>《医疗器械免疫毒理学试验原则和方法》选择性进行功能性或非功能性免疫毒理学试验，通过啮齿动物试验方式检测和评价物质的不良作用。目前主要研究方法是将医疗器械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材料植入小鼠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模式小鼠，然后研究器械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材料整个降解周期内机体的体液和细胞的免疫应答，以及局部组织的免疫反应。功能性检测测定细胞和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或器官活性，例如淋巴细胞对有丝分裂原或特异性抗原的增殖反应、细胞毒活性和特异性抗体的形成；非功能性检测涵盖形态学方面</w:t>
      </w:r>
      <w:r>
        <w:rPr>
          <w:rFonts w:ascii="Times New Roman" w:eastAsia="仿宋_GB2312" w:hAnsi="Times New Roman" w:cs="Times New Roman"/>
          <w:sz w:val="32"/>
          <w:szCs w:val="32"/>
        </w:rPr>
        <w:lastRenderedPageBreak/>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或定量的术语、淋巴组织变化程度、淋巴细胞数目和免疫球蛋白水平或其他免疫功能标志物。</w:t>
      </w:r>
    </w:p>
    <w:p w14:paraId="16088991" w14:textId="729F3782" w:rsidR="001B6A5B" w:rsidRPr="00205AAB" w:rsidRDefault="009562AD" w:rsidP="00205AAB">
      <w:pPr>
        <w:pStyle w:val="af7"/>
        <w:numPr>
          <w:ilvl w:val="0"/>
          <w:numId w:val="4"/>
        </w:numPr>
        <w:spacing w:line="520" w:lineRule="exact"/>
        <w:ind w:left="0" w:firstLine="640"/>
        <w:outlineLvl w:val="1"/>
        <w:rPr>
          <w:rFonts w:ascii="Times New Roman" w:eastAsia="楷体_GB2312" w:hAnsi="Times New Roman" w:cs="Times New Roman"/>
          <w:kern w:val="0"/>
          <w:sz w:val="32"/>
          <w:szCs w:val="32"/>
        </w:rPr>
      </w:pPr>
      <w:bookmarkStart w:id="1068" w:name="_Toc110418989"/>
      <w:bookmarkStart w:id="1069" w:name="_Toc110419128"/>
      <w:bookmarkStart w:id="1070" w:name="_Toc118298965"/>
      <w:r w:rsidRPr="00205AAB">
        <w:rPr>
          <w:rFonts w:ascii="Times New Roman" w:eastAsia="楷体_GB2312" w:hAnsi="Times New Roman" w:cs="Times New Roman" w:hint="eastAsia"/>
          <w:kern w:val="0"/>
          <w:sz w:val="32"/>
          <w:szCs w:val="32"/>
        </w:rPr>
        <w:t>材料</w:t>
      </w:r>
      <w:r w:rsidR="00A41FA1" w:rsidRPr="00205AAB">
        <w:rPr>
          <w:rFonts w:ascii="Times New Roman" w:eastAsia="楷体_GB2312" w:hAnsi="Times New Roman" w:cs="Times New Roman" w:hint="eastAsia"/>
          <w:kern w:val="0"/>
          <w:sz w:val="32"/>
          <w:szCs w:val="32"/>
        </w:rPr>
        <w:t>生物学风险评价</w:t>
      </w:r>
      <w:bookmarkEnd w:id="1068"/>
      <w:bookmarkEnd w:id="1069"/>
      <w:bookmarkEnd w:id="1070"/>
    </w:p>
    <w:p w14:paraId="60923313"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作为制备医疗器械产品的原材料，建议参照</w:t>
      </w:r>
      <w:r>
        <w:rPr>
          <w:rFonts w:ascii="Times New Roman" w:eastAsia="仿宋_GB2312"/>
          <w:sz w:val="32"/>
          <w:szCs w:val="32"/>
        </w:rPr>
        <w:t>GB/T 16886.1</w:t>
      </w:r>
      <w:r>
        <w:rPr>
          <w:rFonts w:ascii="Times New Roman" w:eastAsia="仿宋_GB2312"/>
          <w:sz w:val="32"/>
          <w:szCs w:val="32"/>
        </w:rPr>
        <w:t>的要求对重组人源化胶原蛋白原材料进行相应必要的生物学评价，尤其通过胶原蛋白材料到医疗器械终产品的加工工艺分析发现，两者之间的生物学风险相近时。针对医疗器械产品特性（接触方式、接触时间）进行生物学评价或试验，提供胶原蛋白材料的生物相容性评价研究资料，包括：生物相容性评价的依据和方法、胶原蛋白材料的描述及与人体接触的性质、实施或豁免生物学试验的理由和论证、对于现有数据或试验结果的评价。如预期用于植入产品的原材料，还应评估样品是否为内源性凝血系统激活物。若医疗器械终产品与胶原蛋白材料的使用方法不一致，需考虑生物学补充研究。</w:t>
      </w:r>
    </w:p>
    <w:p w14:paraId="63BE50F8"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首先根据</w:t>
      </w:r>
      <w:r>
        <w:rPr>
          <w:rFonts w:ascii="Times New Roman" w:eastAsia="仿宋_GB2312"/>
          <w:sz w:val="32"/>
          <w:szCs w:val="32"/>
        </w:rPr>
        <w:t>YY/T 0316</w:t>
      </w:r>
      <w:r>
        <w:rPr>
          <w:rFonts w:ascii="Times New Roman" w:eastAsia="仿宋_GB2312"/>
          <w:sz w:val="32"/>
          <w:szCs w:val="32"/>
        </w:rPr>
        <w:t>《医疗器械</w:t>
      </w:r>
      <w:r>
        <w:rPr>
          <w:rFonts w:ascii="Times New Roman" w:eastAsia="仿宋_GB2312"/>
          <w:sz w:val="32"/>
          <w:szCs w:val="32"/>
        </w:rPr>
        <w:t xml:space="preserve"> </w:t>
      </w:r>
      <w:r>
        <w:rPr>
          <w:rFonts w:ascii="Times New Roman" w:eastAsia="仿宋_GB2312"/>
          <w:sz w:val="32"/>
          <w:szCs w:val="32"/>
        </w:rPr>
        <w:t>风险管理对医疗器械的应用》描述的风险管理过程进行生物学风险评定，建议考虑预期使用</w:t>
      </w:r>
      <w:r>
        <w:rPr>
          <w:rFonts w:ascii="Times New Roman" w:eastAsia="仿宋_GB2312"/>
          <w:sz w:val="32"/>
          <w:szCs w:val="32"/>
        </w:rPr>
        <w:t>/</w:t>
      </w:r>
      <w:r>
        <w:rPr>
          <w:rFonts w:ascii="Times New Roman" w:eastAsia="仿宋_GB2312"/>
          <w:sz w:val="32"/>
          <w:szCs w:val="32"/>
        </w:rPr>
        <w:t>器械表征，识别材料、添加剂、加工助剂和其他潜在可沥滤物中的危害，接触剂量等因素，绘制基于风险管理的生物学评价流程图。对器械的生物学风险进行逐一评估，并详述风险控制措施。</w:t>
      </w:r>
    </w:p>
    <w:p w14:paraId="1735179B"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如果医疗器械产品以非灭菌的方式提供，可将样品灭菌后用于生物学评价试验，宜考虑灭菌方式及灭菌对重组胶原蛋白的影响。</w:t>
      </w:r>
    </w:p>
    <w:p w14:paraId="6AD76328"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可能需要评价的生物学风险评定终点包括：</w:t>
      </w:r>
    </w:p>
    <w:p w14:paraId="6403EB2B" w14:textId="6E70A9B2"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71" w:name="_Toc110418990"/>
      <w:bookmarkStart w:id="1072" w:name="_Toc110419129"/>
      <w:bookmarkStart w:id="1073" w:name="_Toc118298966"/>
      <w:r>
        <w:rPr>
          <w:rFonts w:ascii="Times New Roman" w:eastAsia="仿宋_GB2312" w:hAnsi="Times New Roman" w:cs="Times New Roman" w:hint="eastAsia"/>
          <w:kern w:val="0"/>
          <w:sz w:val="32"/>
          <w:szCs w:val="32"/>
        </w:rPr>
        <w:t>1.</w:t>
      </w:r>
      <w:r w:rsidR="00A41FA1">
        <w:rPr>
          <w:rFonts w:ascii="Times New Roman" w:eastAsia="仿宋_GB2312" w:hAnsi="Times New Roman" w:cs="Times New Roman"/>
          <w:kern w:val="0"/>
          <w:sz w:val="32"/>
          <w:szCs w:val="32"/>
        </w:rPr>
        <w:t>细胞毒性</w:t>
      </w:r>
      <w:bookmarkEnd w:id="1071"/>
      <w:bookmarkEnd w:id="1072"/>
      <w:bookmarkEnd w:id="1073"/>
    </w:p>
    <w:p w14:paraId="0561B15B" w14:textId="2213C2F0"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74" w:name="_Toc110419130"/>
      <w:bookmarkStart w:id="1075" w:name="_Toc110418991"/>
      <w:bookmarkStart w:id="1076" w:name="_Toc118298967"/>
      <w:r>
        <w:rPr>
          <w:rFonts w:ascii="Times New Roman" w:eastAsia="仿宋_GB2312" w:hAnsi="Times New Roman" w:cs="Times New Roman" w:hint="eastAsia"/>
          <w:kern w:val="0"/>
          <w:sz w:val="32"/>
          <w:szCs w:val="32"/>
        </w:rPr>
        <w:lastRenderedPageBreak/>
        <w:t>2.</w:t>
      </w:r>
      <w:r w:rsidR="00A41FA1">
        <w:rPr>
          <w:rFonts w:ascii="Times New Roman" w:eastAsia="仿宋_GB2312" w:hAnsi="Times New Roman" w:cs="Times New Roman"/>
          <w:kern w:val="0"/>
          <w:sz w:val="32"/>
          <w:szCs w:val="32"/>
        </w:rPr>
        <w:t>致敏性</w:t>
      </w:r>
      <w:bookmarkEnd w:id="1074"/>
      <w:bookmarkEnd w:id="1075"/>
      <w:bookmarkEnd w:id="1076"/>
    </w:p>
    <w:p w14:paraId="0FDDB6A5"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注射胶原、胶原止血剂等具有潜在生物可降解性材料或体内植入材料以及材料制备过程中新增化学成分和制造加工助剂、装配粘合剂</w:t>
      </w:r>
      <w:r>
        <w:rPr>
          <w:rFonts w:ascii="Times New Roman" w:eastAsia="仿宋_GB2312"/>
          <w:sz w:val="32"/>
          <w:szCs w:val="32"/>
        </w:rPr>
        <w:t>/</w:t>
      </w:r>
      <w:r>
        <w:rPr>
          <w:rFonts w:ascii="Times New Roman" w:eastAsia="仿宋_GB2312"/>
          <w:sz w:val="32"/>
          <w:szCs w:val="32"/>
        </w:rPr>
        <w:t>溶剂残留物以及灭菌残留物或灭菌过程所致的反应性产物可能存在于成品时需进行迟发型超敏反应试验。</w:t>
      </w:r>
    </w:p>
    <w:p w14:paraId="47B48F77" w14:textId="46BAC4E1"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77" w:name="_Toc110419131"/>
      <w:bookmarkStart w:id="1078" w:name="_Toc110418992"/>
      <w:bookmarkStart w:id="1079" w:name="_Toc118298968"/>
      <w:r>
        <w:rPr>
          <w:rFonts w:ascii="Times New Roman" w:eastAsia="仿宋_GB2312" w:hAnsi="Times New Roman" w:cs="Times New Roman" w:hint="eastAsia"/>
          <w:kern w:val="0"/>
          <w:sz w:val="32"/>
          <w:szCs w:val="32"/>
        </w:rPr>
        <w:t>3.</w:t>
      </w:r>
      <w:r w:rsidR="00A41FA1">
        <w:rPr>
          <w:rFonts w:ascii="Times New Roman" w:eastAsia="仿宋_GB2312" w:hAnsi="Times New Roman" w:cs="Times New Roman"/>
          <w:kern w:val="0"/>
          <w:sz w:val="32"/>
          <w:szCs w:val="32"/>
        </w:rPr>
        <w:t>皮肤刺激性</w:t>
      </w:r>
      <w:bookmarkEnd w:id="1077"/>
      <w:bookmarkEnd w:id="1078"/>
      <w:bookmarkEnd w:id="1079"/>
    </w:p>
    <w:p w14:paraId="74F0928E"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伤口修复材料、胶原蛋白敷料等直接与皮肤表面、伤口或其他损伤部位接触材料需进行皮肤刺激试验。</w:t>
      </w:r>
    </w:p>
    <w:p w14:paraId="4C3358FB" w14:textId="22F0867F"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80" w:name="_Toc110418993"/>
      <w:bookmarkStart w:id="1081" w:name="_Toc110419132"/>
      <w:bookmarkStart w:id="1082" w:name="_Toc118298969"/>
      <w:r>
        <w:rPr>
          <w:rFonts w:ascii="Times New Roman" w:eastAsia="仿宋_GB2312" w:hAnsi="Times New Roman" w:cs="Times New Roman" w:hint="eastAsia"/>
          <w:kern w:val="0"/>
          <w:sz w:val="32"/>
          <w:szCs w:val="32"/>
        </w:rPr>
        <w:t>4.</w:t>
      </w:r>
      <w:r w:rsidR="00A41FA1">
        <w:rPr>
          <w:rFonts w:ascii="Times New Roman" w:eastAsia="仿宋_GB2312" w:hAnsi="Times New Roman" w:cs="Times New Roman"/>
          <w:kern w:val="0"/>
          <w:sz w:val="32"/>
          <w:szCs w:val="32"/>
        </w:rPr>
        <w:t>皮内反应</w:t>
      </w:r>
      <w:bookmarkEnd w:id="1080"/>
      <w:bookmarkEnd w:id="1081"/>
      <w:bookmarkEnd w:id="1082"/>
    </w:p>
    <w:p w14:paraId="68E977B6"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注射胶原、胶原止血剂等具有潜在生物可降解性材料或体内植入材料以及材料制备过程中新增化学成分和制造加工助剂、装配粘合剂</w:t>
      </w:r>
      <w:r>
        <w:rPr>
          <w:rFonts w:ascii="Times New Roman" w:eastAsia="仿宋_GB2312"/>
          <w:sz w:val="32"/>
          <w:szCs w:val="32"/>
        </w:rPr>
        <w:t>/</w:t>
      </w:r>
      <w:r>
        <w:rPr>
          <w:rFonts w:ascii="Times New Roman" w:eastAsia="仿宋_GB2312"/>
          <w:sz w:val="32"/>
          <w:szCs w:val="32"/>
        </w:rPr>
        <w:t>溶剂残留物以及灭菌残留物或灭菌过程所致的反应性产物可能存在于成品时需进行皮内刺激试验。</w:t>
      </w:r>
    </w:p>
    <w:p w14:paraId="5FA27BD9" w14:textId="61136AEA"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83" w:name="_Toc110418994"/>
      <w:bookmarkStart w:id="1084" w:name="_Toc110419133"/>
      <w:bookmarkStart w:id="1085" w:name="_Toc118298970"/>
      <w:r>
        <w:rPr>
          <w:rFonts w:ascii="Times New Roman" w:eastAsia="仿宋_GB2312" w:hAnsi="Times New Roman" w:cs="Times New Roman" w:hint="eastAsia"/>
          <w:kern w:val="0"/>
          <w:sz w:val="32"/>
          <w:szCs w:val="32"/>
        </w:rPr>
        <w:t>5.</w:t>
      </w:r>
      <w:r w:rsidR="00A41FA1">
        <w:rPr>
          <w:rFonts w:ascii="Times New Roman" w:eastAsia="仿宋_GB2312" w:hAnsi="Times New Roman" w:cs="Times New Roman"/>
          <w:kern w:val="0"/>
          <w:sz w:val="32"/>
          <w:szCs w:val="32"/>
        </w:rPr>
        <w:t>材料介导的致热性</w:t>
      </w:r>
      <w:bookmarkEnd w:id="1083"/>
      <w:bookmarkEnd w:id="1084"/>
      <w:bookmarkEnd w:id="1085"/>
    </w:p>
    <w:p w14:paraId="777621E6" w14:textId="6AF24E3C"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86" w:name="_Toc110418995"/>
      <w:bookmarkStart w:id="1087" w:name="_Toc110419134"/>
      <w:bookmarkStart w:id="1088" w:name="_Toc118298971"/>
      <w:r>
        <w:rPr>
          <w:rFonts w:ascii="Times New Roman" w:eastAsia="仿宋_GB2312" w:hAnsi="Times New Roman" w:cs="Times New Roman" w:hint="eastAsia"/>
          <w:kern w:val="0"/>
          <w:sz w:val="32"/>
          <w:szCs w:val="32"/>
        </w:rPr>
        <w:t>6.</w:t>
      </w:r>
      <w:r w:rsidR="00A41FA1">
        <w:rPr>
          <w:rFonts w:ascii="Times New Roman" w:eastAsia="仿宋_GB2312" w:hAnsi="Times New Roman" w:cs="Times New Roman"/>
          <w:kern w:val="0"/>
          <w:sz w:val="32"/>
          <w:szCs w:val="32"/>
        </w:rPr>
        <w:t>全身毒性</w:t>
      </w:r>
      <w:bookmarkEnd w:id="1086"/>
      <w:bookmarkEnd w:id="1087"/>
      <w:bookmarkEnd w:id="1088"/>
    </w:p>
    <w:p w14:paraId="09FF6E3E" w14:textId="63A7566F"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89" w:name="_Toc110418996"/>
      <w:bookmarkStart w:id="1090" w:name="_Toc110419135"/>
      <w:bookmarkStart w:id="1091" w:name="_Toc118298972"/>
      <w:r>
        <w:rPr>
          <w:rFonts w:ascii="Times New Roman" w:eastAsia="仿宋_GB2312" w:hAnsi="Times New Roman" w:cs="Times New Roman" w:hint="eastAsia"/>
          <w:kern w:val="0"/>
          <w:sz w:val="32"/>
          <w:szCs w:val="32"/>
        </w:rPr>
        <w:t>7.</w:t>
      </w:r>
      <w:r w:rsidR="00A41FA1">
        <w:rPr>
          <w:rFonts w:ascii="Times New Roman" w:eastAsia="仿宋_GB2312" w:hAnsi="Times New Roman" w:cs="Times New Roman"/>
          <w:kern w:val="0"/>
          <w:sz w:val="32"/>
          <w:szCs w:val="32"/>
        </w:rPr>
        <w:t>溶血性</w:t>
      </w:r>
      <w:bookmarkEnd w:id="1089"/>
      <w:bookmarkEnd w:id="1090"/>
      <w:bookmarkEnd w:id="1091"/>
    </w:p>
    <w:p w14:paraId="2734F367" w14:textId="43DD7922"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血管修复材料、创伤和烧伤修复材料、胶原止血剂、心脏瓣膜等与循环血液接触的外部接入材料和大部分植入材料以及全部植入血管系统</w:t>
      </w:r>
      <w:r w:rsidR="00071858">
        <w:rPr>
          <w:rFonts w:ascii="Times New Roman" w:eastAsia="仿宋_GB2312" w:hint="eastAsia"/>
          <w:sz w:val="32"/>
          <w:szCs w:val="32"/>
        </w:rPr>
        <w:t>材料</w:t>
      </w:r>
      <w:r>
        <w:rPr>
          <w:rFonts w:ascii="Times New Roman" w:eastAsia="仿宋_GB2312"/>
          <w:sz w:val="32"/>
          <w:szCs w:val="32"/>
        </w:rPr>
        <w:t>需进行溶血试验</w:t>
      </w:r>
      <w:r w:rsidR="00783EA0">
        <w:rPr>
          <w:rFonts w:ascii="Times New Roman" w:eastAsia="仿宋_GB2312" w:hint="eastAsia"/>
          <w:sz w:val="32"/>
          <w:szCs w:val="32"/>
        </w:rPr>
        <w:t>。</w:t>
      </w:r>
    </w:p>
    <w:p w14:paraId="356A76B5" w14:textId="1D5F7C00" w:rsidR="001B6A5B" w:rsidRDefault="00071858">
      <w:pPr>
        <w:spacing w:line="520" w:lineRule="exact"/>
        <w:ind w:firstLineChars="200" w:firstLine="640"/>
        <w:jc w:val="left"/>
        <w:outlineLvl w:val="3"/>
        <w:rPr>
          <w:rFonts w:ascii="Times New Roman" w:eastAsia="仿宋_GB2312" w:hAnsi="Times New Roman" w:cs="Times New Roman"/>
          <w:kern w:val="0"/>
          <w:sz w:val="32"/>
          <w:szCs w:val="32"/>
        </w:rPr>
      </w:pPr>
      <w:bookmarkStart w:id="1092" w:name="_Toc110418997"/>
      <w:bookmarkStart w:id="1093" w:name="_Toc110419136"/>
      <w:bookmarkStart w:id="1094" w:name="_Toc118298973"/>
      <w:r>
        <w:rPr>
          <w:rFonts w:ascii="Times New Roman" w:eastAsia="仿宋_GB2312" w:hAnsi="Times New Roman" w:cs="Times New Roman" w:hint="eastAsia"/>
          <w:kern w:val="0"/>
          <w:sz w:val="32"/>
          <w:szCs w:val="32"/>
        </w:rPr>
        <w:t>8.</w:t>
      </w:r>
      <w:r w:rsidR="00A41FA1">
        <w:rPr>
          <w:rFonts w:ascii="Times New Roman" w:eastAsia="仿宋_GB2312" w:hAnsi="Times New Roman" w:cs="Times New Roman"/>
          <w:kern w:val="0"/>
          <w:sz w:val="32"/>
          <w:szCs w:val="32"/>
        </w:rPr>
        <w:t>植入反应</w:t>
      </w:r>
      <w:bookmarkEnd w:id="1092"/>
      <w:bookmarkEnd w:id="1093"/>
      <w:bookmarkEnd w:id="1094"/>
    </w:p>
    <w:p w14:paraId="5058D1BF" w14:textId="2FE7FDBD"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皮下植入（胶原支架、血管修复材料、创伤和烧伤修复材料、胶原止血剂等可降解</w:t>
      </w:r>
      <w:r>
        <w:rPr>
          <w:rFonts w:ascii="Times New Roman" w:eastAsia="仿宋_GB2312"/>
          <w:sz w:val="32"/>
          <w:szCs w:val="32"/>
        </w:rPr>
        <w:t>/</w:t>
      </w:r>
      <w:r>
        <w:rPr>
          <w:rFonts w:ascii="Times New Roman" w:eastAsia="仿宋_GB2312"/>
          <w:sz w:val="32"/>
          <w:szCs w:val="32"/>
        </w:rPr>
        <w:t>可吸收材料或需植入生物材料等需进行皮下组织植入试验进行评价）；肌肉植入；骨植入</w:t>
      </w:r>
      <w:r w:rsidR="00783EA0">
        <w:rPr>
          <w:rFonts w:ascii="Times New Roman" w:eastAsia="仿宋_GB2312" w:hint="eastAsia"/>
          <w:sz w:val="32"/>
          <w:szCs w:val="32"/>
        </w:rPr>
        <w:t>。</w:t>
      </w:r>
    </w:p>
    <w:p w14:paraId="7A737DFA" w14:textId="71FDFC65" w:rsidR="001B6A5B" w:rsidRPr="00071858" w:rsidRDefault="00071858" w:rsidP="00205AAB">
      <w:pPr>
        <w:spacing w:line="520" w:lineRule="exact"/>
        <w:ind w:firstLineChars="200" w:firstLine="640"/>
        <w:jc w:val="left"/>
        <w:outlineLvl w:val="3"/>
        <w:rPr>
          <w:rFonts w:ascii="Times New Roman" w:eastAsia="仿宋_GB2312"/>
          <w:sz w:val="32"/>
          <w:szCs w:val="32"/>
        </w:rPr>
      </w:pPr>
      <w:bookmarkStart w:id="1095" w:name="_Toc118298974"/>
      <w:r w:rsidRPr="00205AAB">
        <w:rPr>
          <w:rFonts w:ascii="Times New Roman" w:eastAsia="仿宋_GB2312" w:hAnsi="Times New Roman" w:cs="Times New Roman"/>
          <w:kern w:val="0"/>
          <w:sz w:val="32"/>
          <w:szCs w:val="32"/>
        </w:rPr>
        <w:t>9.</w:t>
      </w:r>
      <w:r w:rsidR="00A41FA1" w:rsidRPr="00205AAB">
        <w:rPr>
          <w:rFonts w:ascii="Times New Roman" w:eastAsia="仿宋_GB2312" w:hAnsi="Times New Roman" w:cs="Times New Roman" w:hint="eastAsia"/>
          <w:kern w:val="0"/>
          <w:sz w:val="32"/>
          <w:szCs w:val="32"/>
        </w:rPr>
        <w:t>遗传毒性。</w:t>
      </w:r>
      <w:bookmarkEnd w:id="1095"/>
    </w:p>
    <w:p w14:paraId="26F46A91" w14:textId="77777777" w:rsidR="001B6A5B" w:rsidRDefault="00A41FA1">
      <w:pPr>
        <w:pStyle w:val="af7"/>
        <w:numPr>
          <w:ilvl w:val="0"/>
          <w:numId w:val="4"/>
        </w:numPr>
        <w:spacing w:line="520" w:lineRule="exact"/>
        <w:ind w:left="0" w:firstLine="640"/>
        <w:outlineLvl w:val="1"/>
        <w:rPr>
          <w:rFonts w:ascii="Times New Roman" w:eastAsia="楷体_GB2312" w:hAnsi="Times New Roman" w:cs="Times New Roman"/>
          <w:kern w:val="0"/>
          <w:sz w:val="32"/>
          <w:szCs w:val="32"/>
        </w:rPr>
      </w:pPr>
      <w:bookmarkStart w:id="1096" w:name="_Toc116983093"/>
      <w:bookmarkStart w:id="1097" w:name="_Toc116983561"/>
      <w:bookmarkStart w:id="1098" w:name="_Toc116984021"/>
      <w:bookmarkStart w:id="1099" w:name="_Toc116984482"/>
      <w:bookmarkStart w:id="1100" w:name="_Toc117498439"/>
      <w:bookmarkStart w:id="1101" w:name="_Toc116983094"/>
      <w:bookmarkStart w:id="1102" w:name="_Toc116983562"/>
      <w:bookmarkStart w:id="1103" w:name="_Toc116984022"/>
      <w:bookmarkStart w:id="1104" w:name="_Toc116984483"/>
      <w:bookmarkStart w:id="1105" w:name="_Toc117498440"/>
      <w:bookmarkStart w:id="1106" w:name="_Toc116983095"/>
      <w:bookmarkStart w:id="1107" w:name="_Toc116983563"/>
      <w:bookmarkStart w:id="1108" w:name="_Toc116984023"/>
      <w:bookmarkStart w:id="1109" w:name="_Toc116984484"/>
      <w:bookmarkStart w:id="1110" w:name="_Toc117498441"/>
      <w:bookmarkStart w:id="1111" w:name="_Toc116983096"/>
      <w:bookmarkStart w:id="1112" w:name="_Toc116983564"/>
      <w:bookmarkStart w:id="1113" w:name="_Toc116984024"/>
      <w:bookmarkStart w:id="1114" w:name="_Toc116984485"/>
      <w:bookmarkStart w:id="1115" w:name="_Toc117498442"/>
      <w:bookmarkStart w:id="1116" w:name="_Toc116983097"/>
      <w:bookmarkStart w:id="1117" w:name="_Toc116983565"/>
      <w:bookmarkStart w:id="1118" w:name="_Toc116984025"/>
      <w:bookmarkStart w:id="1119" w:name="_Toc116984486"/>
      <w:bookmarkStart w:id="1120" w:name="_Toc117498443"/>
      <w:bookmarkStart w:id="1121" w:name="_Toc116983098"/>
      <w:bookmarkStart w:id="1122" w:name="_Toc116983566"/>
      <w:bookmarkStart w:id="1123" w:name="_Toc116984026"/>
      <w:bookmarkStart w:id="1124" w:name="_Toc116984487"/>
      <w:bookmarkStart w:id="1125" w:name="_Toc117498444"/>
      <w:bookmarkStart w:id="1126" w:name="_Toc110419003"/>
      <w:bookmarkStart w:id="1127" w:name="_Toc110419142"/>
      <w:bookmarkStart w:id="1128" w:name="_Toc11829897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r>
        <w:rPr>
          <w:rFonts w:ascii="Times New Roman" w:eastAsia="楷体_GB2312" w:hAnsi="Times New Roman" w:cs="Times New Roman"/>
          <w:kern w:val="0"/>
          <w:sz w:val="32"/>
          <w:szCs w:val="32"/>
        </w:rPr>
        <w:t>稳定性研究与直接接触性容器</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材料研究</w:t>
      </w:r>
      <w:bookmarkEnd w:id="1126"/>
      <w:bookmarkEnd w:id="1127"/>
      <w:bookmarkEnd w:id="1128"/>
    </w:p>
    <w:p w14:paraId="09A90DFA"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129" w:name="_Toc110419004"/>
      <w:bookmarkStart w:id="1130" w:name="_Toc110419143"/>
      <w:bookmarkStart w:id="1131" w:name="_Toc118298976"/>
      <w:r>
        <w:rPr>
          <w:rFonts w:ascii="Times New Roman" w:eastAsia="仿宋_GB2312" w:hAnsi="Times New Roman" w:cs="Times New Roman"/>
          <w:kern w:val="0"/>
          <w:sz w:val="32"/>
          <w:szCs w:val="32"/>
        </w:rPr>
        <w:lastRenderedPageBreak/>
        <w:t>1.</w:t>
      </w:r>
      <w:r>
        <w:rPr>
          <w:rFonts w:ascii="Times New Roman" w:eastAsia="仿宋_GB2312" w:hAnsi="Times New Roman" w:cs="Times New Roman"/>
          <w:kern w:val="0"/>
          <w:sz w:val="32"/>
          <w:szCs w:val="32"/>
        </w:rPr>
        <w:t>稳定性研究</w:t>
      </w:r>
      <w:bookmarkEnd w:id="1129"/>
      <w:bookmarkEnd w:id="1130"/>
      <w:bookmarkEnd w:id="1131"/>
    </w:p>
    <w:p w14:paraId="3589E65E" w14:textId="77777777" w:rsidR="001B6A5B" w:rsidRDefault="00A41FA1">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组人源胶原合成表达系统如涉及到贮存，则需开展相应的稳定性研究。采用拟贮存阶段样品的代表性批次开展研究，一般包括贮存、运输（如适用）和使用稳定性研究等。研究开展前，需统筹制定稳定性研究方案，关注各稳定性研究所用样品、直接接触性容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材料、检测时间点、检测条件和分析检项等。</w:t>
      </w:r>
    </w:p>
    <w:p w14:paraId="065786FC" w14:textId="77777777" w:rsidR="001B6A5B" w:rsidRDefault="00A41FA1">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研究中需对能够反映质量变化的敏感特征进行研究，如含量、完整性、纯度、微生物安全性和生物学活性等。研究中需涵盖拟定的各项条件，如温度、光照、反复冻融（冷冻贮存时）、振摇等方面。根据实际使用情况，开展使用中稳定性研究，例如复溶或解冻，与复溶稀释剂的相容性等研究。研究中需采用与实际使用相同材质的直接接触性容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材料。</w:t>
      </w:r>
    </w:p>
    <w:p w14:paraId="66E21510" w14:textId="77777777" w:rsidR="001B6A5B" w:rsidRDefault="00A41FA1">
      <w:pPr>
        <w:spacing w:line="520" w:lineRule="exact"/>
        <w:ind w:firstLineChars="200" w:firstLine="640"/>
        <w:jc w:val="left"/>
        <w:outlineLvl w:val="2"/>
        <w:rPr>
          <w:rFonts w:ascii="Times New Roman" w:eastAsia="仿宋_GB2312" w:hAnsi="Times New Roman" w:cs="Times New Roman"/>
          <w:kern w:val="0"/>
          <w:sz w:val="32"/>
          <w:szCs w:val="32"/>
        </w:rPr>
      </w:pPr>
      <w:bookmarkStart w:id="1132" w:name="_Toc110419005"/>
      <w:bookmarkStart w:id="1133" w:name="_Toc110419144"/>
      <w:bookmarkStart w:id="1134" w:name="_Toc118298977"/>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直接接触性容器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材料研究</w:t>
      </w:r>
      <w:bookmarkEnd w:id="1132"/>
      <w:bookmarkEnd w:id="1133"/>
      <w:bookmarkEnd w:id="1134"/>
    </w:p>
    <w:p w14:paraId="0A4EE467" w14:textId="77777777" w:rsidR="001B6A5B" w:rsidRDefault="00A41FA1">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如涉及贮存，需对直接接触的包装容器开展相应的包材相容性研究。根据相容性研究结果，结合稳定性研究，选择合理的包装容器。</w:t>
      </w:r>
    </w:p>
    <w:p w14:paraId="0F9CF1E0" w14:textId="77777777" w:rsidR="001B6A5B" w:rsidRDefault="00A41FA1">
      <w:pPr>
        <w:pStyle w:val="af7"/>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另外，对制备工艺中与样品接触的容器和一次性使用材料（如贮存袋、过滤膜、层析介质、管路等），需开展风险评估和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或相应的相容性研究。</w:t>
      </w:r>
    </w:p>
    <w:p w14:paraId="12F7E988" w14:textId="77777777" w:rsidR="001B6A5B" w:rsidRDefault="00A41FA1">
      <w:pPr>
        <w:pStyle w:val="af7"/>
        <w:spacing w:line="520" w:lineRule="exact"/>
        <w:ind w:left="643" w:firstLineChars="0" w:firstLine="0"/>
        <w:outlineLvl w:val="0"/>
        <w:rPr>
          <w:rFonts w:ascii="Times New Roman" w:eastAsia="黑体" w:hAnsi="Times New Roman" w:cs="Times New Roman"/>
          <w:b/>
          <w:kern w:val="0"/>
          <w:sz w:val="32"/>
          <w:szCs w:val="32"/>
        </w:rPr>
      </w:pPr>
      <w:bookmarkStart w:id="1135" w:name="_Toc110419006"/>
      <w:bookmarkStart w:id="1136" w:name="_Toc110419145"/>
      <w:bookmarkStart w:id="1137" w:name="_Toc118298978"/>
      <w:r>
        <w:rPr>
          <w:rFonts w:ascii="Times New Roman" w:eastAsia="黑体" w:hAnsi="Times New Roman" w:cs="Times New Roman" w:hint="eastAsia"/>
          <w:b/>
          <w:kern w:val="0"/>
          <w:sz w:val="32"/>
          <w:szCs w:val="32"/>
        </w:rPr>
        <w:t>三、</w:t>
      </w:r>
      <w:r>
        <w:rPr>
          <w:rFonts w:ascii="Times New Roman" w:eastAsia="黑体" w:hAnsi="Times New Roman" w:cs="Times New Roman"/>
          <w:b/>
          <w:kern w:val="0"/>
          <w:sz w:val="32"/>
          <w:szCs w:val="32"/>
        </w:rPr>
        <w:t>参考文献</w:t>
      </w:r>
      <w:bookmarkEnd w:id="1135"/>
      <w:bookmarkEnd w:id="1136"/>
      <w:bookmarkEnd w:id="1137"/>
    </w:p>
    <w:p w14:paraId="4BC6C100"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医疗器械监督管理条例</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2021 [Z].</w:t>
      </w:r>
    </w:p>
    <w:p w14:paraId="22E6F87D"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医疗器械注册与备案管理办法</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2021[Z].</w:t>
      </w:r>
    </w:p>
    <w:p w14:paraId="11D7A4EF"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国家药典委员会</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中华人民共和国药典</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三部</w:t>
      </w:r>
      <w:r>
        <w:rPr>
          <w:rFonts w:ascii="Times New Roman" w:eastAsia="仿宋_GB2312" w:hAnsi="Times New Roman" w:cs="Times New Roman"/>
          <w:kern w:val="0"/>
          <w:sz w:val="32"/>
          <w:szCs w:val="32"/>
        </w:rPr>
        <w:t xml:space="preserve">[M]. </w:t>
      </w:r>
      <w:r>
        <w:rPr>
          <w:rFonts w:ascii="Times New Roman" w:eastAsia="仿宋_GB2312" w:hAnsi="Times New Roman" w:cs="Times New Roman"/>
          <w:kern w:val="0"/>
          <w:sz w:val="32"/>
          <w:szCs w:val="32"/>
        </w:rPr>
        <w:t>北京</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中国医药科技出版社</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2020.</w:t>
      </w:r>
    </w:p>
    <w:p w14:paraId="18DF3048"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YY 0954 </w:t>
      </w:r>
      <w:r>
        <w:rPr>
          <w:rFonts w:ascii="Times New Roman" w:eastAsia="仿宋_GB2312" w:hAnsi="Times New Roman" w:cs="Times New Roman"/>
          <w:kern w:val="0"/>
          <w:sz w:val="32"/>
          <w:szCs w:val="32"/>
        </w:rPr>
        <w:t>无源外科植入物</w:t>
      </w:r>
      <w:r>
        <w:rPr>
          <w:rFonts w:ascii="Times New Roman" w:eastAsia="仿宋_GB2312" w:hAnsi="Times New Roman" w:cs="Times New Roman"/>
          <w:kern w:val="0"/>
          <w:sz w:val="32"/>
          <w:szCs w:val="32"/>
        </w:rPr>
        <w:t xml:space="preserve"> I</w:t>
      </w:r>
      <w:r>
        <w:rPr>
          <w:rFonts w:ascii="Times New Roman" w:eastAsia="仿宋_GB2312" w:hAnsi="Times New Roman" w:cs="Times New Roman"/>
          <w:kern w:val="0"/>
          <w:sz w:val="32"/>
          <w:szCs w:val="32"/>
        </w:rPr>
        <w:t>型胶原蛋白植入剂</w:t>
      </w:r>
      <w:r>
        <w:rPr>
          <w:rFonts w:ascii="Times New Roman" w:eastAsia="仿宋_GB2312" w:hAnsi="Times New Roman" w:cs="Times New Roman"/>
          <w:kern w:val="0"/>
          <w:sz w:val="32"/>
          <w:szCs w:val="32"/>
        </w:rPr>
        <w:t>[S].</w:t>
      </w:r>
    </w:p>
    <w:p w14:paraId="454BEA43"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YY/T 1453</w:t>
      </w:r>
      <w:r>
        <w:rPr>
          <w:rFonts w:ascii="Times New Roman" w:eastAsia="仿宋_GB2312" w:hAnsi="Times New Roman" w:cs="Times New Roman"/>
          <w:kern w:val="0"/>
          <w:sz w:val="32"/>
          <w:szCs w:val="32"/>
        </w:rPr>
        <w:t>组织工程医疗器械产品</w:t>
      </w:r>
      <w:r>
        <w:rPr>
          <w:rFonts w:ascii="Times New Roman" w:eastAsia="仿宋_GB2312" w:hAnsi="Times New Roman" w:cs="Times New Roman"/>
          <w:kern w:val="0"/>
          <w:sz w:val="32"/>
          <w:szCs w:val="32"/>
        </w:rPr>
        <w:t xml:space="preserve"> I</w:t>
      </w:r>
      <w:r>
        <w:rPr>
          <w:rFonts w:ascii="Times New Roman" w:eastAsia="仿宋_GB2312" w:hAnsi="Times New Roman" w:cs="Times New Roman"/>
          <w:kern w:val="0"/>
          <w:sz w:val="32"/>
          <w:szCs w:val="32"/>
        </w:rPr>
        <w:t>型胶原蛋白表征方法</w:t>
      </w:r>
      <w:r>
        <w:rPr>
          <w:rFonts w:ascii="Times New Roman" w:eastAsia="仿宋_GB2312" w:hAnsi="Times New Roman" w:cs="Times New Roman"/>
          <w:kern w:val="0"/>
          <w:sz w:val="32"/>
          <w:szCs w:val="32"/>
        </w:rPr>
        <w:t>[S].</w:t>
      </w:r>
    </w:p>
    <w:p w14:paraId="0C66D759"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YY/T 0606.25</w:t>
      </w:r>
      <w:r>
        <w:rPr>
          <w:rFonts w:ascii="Times New Roman" w:eastAsia="仿宋_GB2312" w:hAnsi="Times New Roman" w:cs="Times New Roman"/>
          <w:kern w:val="0"/>
          <w:sz w:val="32"/>
          <w:szCs w:val="32"/>
        </w:rPr>
        <w:t>组织工程医疗产品</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第</w:t>
      </w:r>
      <w:r>
        <w:rPr>
          <w:rFonts w:ascii="Times New Roman" w:eastAsia="仿宋_GB2312" w:hAnsi="Times New Roman" w:cs="Times New Roman"/>
          <w:kern w:val="0"/>
          <w:sz w:val="32"/>
          <w:szCs w:val="32"/>
        </w:rPr>
        <w:t>25</w:t>
      </w:r>
      <w:r>
        <w:rPr>
          <w:rFonts w:ascii="Times New Roman" w:eastAsia="仿宋_GB2312" w:hAnsi="Times New Roman" w:cs="Times New Roman"/>
          <w:kern w:val="0"/>
          <w:sz w:val="32"/>
          <w:szCs w:val="32"/>
        </w:rPr>
        <w:t>部分</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动物源性生物材料</w:t>
      </w:r>
      <w:r>
        <w:rPr>
          <w:rFonts w:ascii="Times New Roman" w:eastAsia="仿宋_GB2312" w:hAnsi="Times New Roman" w:cs="Times New Roman"/>
          <w:kern w:val="0"/>
          <w:sz w:val="32"/>
          <w:szCs w:val="32"/>
        </w:rPr>
        <w:t>DNA</w:t>
      </w:r>
      <w:r>
        <w:rPr>
          <w:rFonts w:ascii="Times New Roman" w:eastAsia="仿宋_GB2312" w:hAnsi="Times New Roman" w:cs="Times New Roman"/>
          <w:kern w:val="0"/>
          <w:sz w:val="32"/>
          <w:szCs w:val="32"/>
        </w:rPr>
        <w:t>残留领测定法：荧光染色法</w:t>
      </w:r>
      <w:r>
        <w:rPr>
          <w:rFonts w:ascii="Times New Roman" w:eastAsia="仿宋_GB2312" w:hAnsi="Times New Roman" w:cs="Times New Roman"/>
          <w:kern w:val="0"/>
          <w:sz w:val="32"/>
          <w:szCs w:val="32"/>
        </w:rPr>
        <w:t>[S].</w:t>
      </w:r>
    </w:p>
    <w:p w14:paraId="60601DFD"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YY/T 1849 </w:t>
      </w:r>
      <w:r>
        <w:rPr>
          <w:rFonts w:ascii="Times New Roman" w:eastAsia="仿宋_GB2312" w:hAnsi="Times New Roman" w:cs="Times New Roman"/>
          <w:kern w:val="0"/>
          <w:sz w:val="32"/>
          <w:szCs w:val="32"/>
        </w:rPr>
        <w:t>重组胶原蛋白</w:t>
      </w:r>
      <w:r>
        <w:rPr>
          <w:rFonts w:ascii="Times New Roman" w:eastAsia="仿宋_GB2312" w:hAnsi="Times New Roman" w:cs="Times New Roman"/>
          <w:kern w:val="0"/>
          <w:sz w:val="32"/>
          <w:szCs w:val="32"/>
        </w:rPr>
        <w:t>[S].</w:t>
      </w:r>
    </w:p>
    <w:p w14:paraId="626B56A3"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GBT16886.1 </w:t>
      </w:r>
      <w:r>
        <w:rPr>
          <w:rFonts w:ascii="Times New Roman" w:eastAsia="仿宋_GB2312" w:hAnsi="Times New Roman" w:cs="Times New Roman"/>
          <w:kern w:val="0"/>
          <w:sz w:val="32"/>
          <w:szCs w:val="32"/>
        </w:rPr>
        <w:t>医疗器械生物学评价</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第</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部分：风险管理过程中的评价与试验</w:t>
      </w:r>
      <w:r>
        <w:rPr>
          <w:rFonts w:ascii="Times New Roman" w:eastAsia="仿宋_GB2312" w:hAnsi="Times New Roman" w:cs="Times New Roman"/>
          <w:kern w:val="0"/>
          <w:sz w:val="32"/>
          <w:szCs w:val="32"/>
        </w:rPr>
        <w:t>[S].</w:t>
      </w:r>
    </w:p>
    <w:p w14:paraId="4AE7A25A"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治疗用生物制品非临床安全性技术审评一般原则</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2007</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[Z].</w:t>
      </w:r>
    </w:p>
    <w:p w14:paraId="334C2931"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人用重组</w:t>
      </w:r>
      <w:r>
        <w:rPr>
          <w:rFonts w:ascii="Times New Roman" w:eastAsia="仿宋_GB2312" w:hAnsi="Times New Roman" w:cs="Times New Roman"/>
          <w:kern w:val="0"/>
          <w:sz w:val="32"/>
          <w:szCs w:val="32"/>
        </w:rPr>
        <w:t>DNA</w:t>
      </w:r>
      <w:r>
        <w:rPr>
          <w:rFonts w:ascii="Times New Roman" w:eastAsia="仿宋_GB2312" w:hAnsi="Times New Roman" w:cs="Times New Roman"/>
          <w:kern w:val="0"/>
          <w:sz w:val="32"/>
          <w:szCs w:val="32"/>
        </w:rPr>
        <w:t>制品质量控制技术指导原则</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2003</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[Z].</w:t>
      </w:r>
    </w:p>
    <w:p w14:paraId="0BD5161E"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特异性人免疫球蛋白药学研究与评价技术指导原则</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2022</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[Z].</w:t>
      </w:r>
    </w:p>
    <w:p w14:paraId="08BE4429"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重组制品生产用哺乳动物细胞质量控制技术评价一般原则</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2007</w:t>
      </w:r>
      <w:r>
        <w:rPr>
          <w:rFonts w:ascii="Times New Roman" w:eastAsia="仿宋_GB2312" w:hAnsi="Times New Roman" w:cs="Times New Roman" w:hint="eastAsia"/>
          <w:kern w:val="0"/>
          <w:sz w:val="32"/>
          <w:szCs w:val="32"/>
        </w:rPr>
        <w:t>年</w:t>
      </w:r>
      <w:r>
        <w:rPr>
          <w:rFonts w:ascii="Times New Roman" w:eastAsia="仿宋_GB2312" w:hAnsi="Times New Roman" w:cs="Times New Roman"/>
          <w:kern w:val="0"/>
          <w:sz w:val="32"/>
          <w:szCs w:val="32"/>
        </w:rPr>
        <w:t>[Z].</w:t>
      </w:r>
    </w:p>
    <w:p w14:paraId="06498269"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体外基因修饰系统药学研究与评价技术指导原则</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 xml:space="preserve"> 2022</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[Z].</w:t>
      </w:r>
    </w:p>
    <w:p w14:paraId="4D1C9B62"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重组胶原蛋白生物材料命名指导原则</w:t>
      </w:r>
      <w:r>
        <w:rPr>
          <w:rFonts w:ascii="Times New Roman" w:eastAsia="仿宋_GB2312" w:hAnsi="Times New Roman" w:cs="Times New Roman"/>
          <w:kern w:val="0"/>
          <w:sz w:val="32"/>
          <w:szCs w:val="32"/>
        </w:rPr>
        <w:t>: 2022</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[Z].</w:t>
      </w:r>
    </w:p>
    <w:p w14:paraId="5D81E301"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U.S. Food and Drug Administration. Guidance for Industry: For the Submission of Chemistry, Manufacturing, and Controls Information for a Therapeutic Recombinant DNA-Derived Product or a Monoclonal Antibody product for in vivo use [EB]. 1996-08</w:t>
      </w:r>
    </w:p>
    <w:p w14:paraId="5AEE867D"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U.S. Food and Drug Administration. Guidance for Industry: Immunogenicity Testing of Therapeutic Protein Products —Developing and Validating Assays for Anti-Drug </w:t>
      </w:r>
      <w:r>
        <w:rPr>
          <w:rFonts w:ascii="Times New Roman" w:eastAsia="仿宋_GB2312" w:hAnsi="Times New Roman" w:cs="Times New Roman"/>
          <w:kern w:val="0"/>
          <w:sz w:val="32"/>
          <w:szCs w:val="32"/>
        </w:rPr>
        <w:lastRenderedPageBreak/>
        <w:t>Antibody Detection [EB]. 2019-01</w:t>
      </w:r>
    </w:p>
    <w:p w14:paraId="0BAA3D2F" w14:textId="77777777" w:rsidR="001B6A5B" w:rsidRDefault="00A41FA1">
      <w:pPr>
        <w:pStyle w:val="af7"/>
        <w:numPr>
          <w:ilvl w:val="0"/>
          <w:numId w:val="5"/>
        </w:numPr>
        <w:spacing w:line="520" w:lineRule="exact"/>
        <w:ind w:left="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European Medicines Agency. Guideline on similar biological medicinal products containing biotechnology-derived proteins as active substance: non-clinical and clinical issues [EB]. 2014-12-18</w:t>
      </w:r>
    </w:p>
    <w:p w14:paraId="1CF9EA66" w14:textId="77777777" w:rsidR="001B6A5B" w:rsidRDefault="00A41FA1">
      <w:pPr>
        <w:pStyle w:val="af7"/>
        <w:spacing w:line="520" w:lineRule="exact"/>
        <w:ind w:left="643" w:firstLineChars="0" w:firstLine="0"/>
        <w:outlineLvl w:val="0"/>
        <w:rPr>
          <w:rFonts w:ascii="Times New Roman" w:eastAsia="黑体" w:hAnsi="Times New Roman" w:cs="Times New Roman"/>
          <w:b/>
          <w:kern w:val="0"/>
          <w:sz w:val="32"/>
          <w:szCs w:val="32"/>
        </w:rPr>
      </w:pPr>
      <w:bookmarkStart w:id="1138" w:name="_Toc110419146"/>
      <w:bookmarkStart w:id="1139" w:name="_Toc110419007"/>
      <w:bookmarkStart w:id="1140" w:name="_Toc118298979"/>
      <w:r>
        <w:rPr>
          <w:rFonts w:ascii="Times New Roman" w:eastAsia="黑体" w:hAnsi="Times New Roman" w:cs="Times New Roman" w:hint="eastAsia"/>
          <w:b/>
          <w:kern w:val="0"/>
          <w:sz w:val="32"/>
          <w:szCs w:val="32"/>
        </w:rPr>
        <w:t>四、</w:t>
      </w:r>
      <w:r>
        <w:rPr>
          <w:rFonts w:ascii="Times New Roman" w:eastAsia="黑体" w:hAnsi="Times New Roman" w:cs="Times New Roman"/>
          <w:b/>
          <w:kern w:val="0"/>
          <w:sz w:val="32"/>
          <w:szCs w:val="32"/>
        </w:rPr>
        <w:t>起草单位</w:t>
      </w:r>
      <w:bookmarkEnd w:id="1138"/>
      <w:bookmarkEnd w:id="1139"/>
      <w:bookmarkEnd w:id="1140"/>
    </w:p>
    <w:p w14:paraId="3AA218FB" w14:textId="77777777" w:rsidR="001B6A5B" w:rsidRDefault="00A41FA1">
      <w:pPr>
        <w:pStyle w:val="afb"/>
        <w:spacing w:line="520" w:lineRule="exact"/>
        <w:ind w:firstLine="640"/>
        <w:rPr>
          <w:rFonts w:ascii="Times New Roman" w:eastAsia="仿宋_GB2312"/>
          <w:sz w:val="32"/>
          <w:szCs w:val="32"/>
        </w:rPr>
      </w:pPr>
      <w:r>
        <w:rPr>
          <w:rFonts w:ascii="Times New Roman" w:eastAsia="仿宋_GB2312"/>
          <w:sz w:val="32"/>
          <w:szCs w:val="32"/>
        </w:rPr>
        <w:t>国家药品监督管理局医疗器械技术审评中心</w:t>
      </w:r>
    </w:p>
    <w:p w14:paraId="77A52B6C" w14:textId="77777777" w:rsidR="001B6A5B" w:rsidRDefault="001B6A5B">
      <w:pPr>
        <w:spacing w:line="520" w:lineRule="exact"/>
        <w:ind w:firstLineChars="200" w:firstLine="640"/>
        <w:jc w:val="left"/>
        <w:rPr>
          <w:rFonts w:ascii="Times New Roman" w:eastAsia="仿宋_GB2312" w:hAnsi="Times New Roman" w:cs="Times New Roman"/>
          <w:kern w:val="0"/>
          <w:sz w:val="32"/>
          <w:szCs w:val="32"/>
        </w:rPr>
      </w:pPr>
    </w:p>
    <w:p w14:paraId="167FD110" w14:textId="69524F2A" w:rsidR="009562AD" w:rsidRDefault="009562A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15B3FAA4" w14:textId="137BEFD6" w:rsidR="001B6A5B" w:rsidRDefault="00CF33B3" w:rsidP="00205AAB">
      <w:pPr>
        <w:pStyle w:val="1"/>
        <w:rPr>
          <w:rFonts w:ascii="黑体" w:eastAsia="黑体" w:hAnsi="黑体" w:cs="黑体"/>
          <w:sz w:val="32"/>
          <w:szCs w:val="32"/>
        </w:rPr>
      </w:pPr>
      <w:bookmarkStart w:id="1141" w:name="_Toc118298980"/>
      <w:r>
        <w:rPr>
          <w:rFonts w:ascii="黑体" w:eastAsia="黑体" w:hAnsi="黑体" w:cs="黑体" w:hint="eastAsia"/>
          <w:bCs w:val="0"/>
          <w:sz w:val="32"/>
          <w:szCs w:val="32"/>
        </w:rPr>
        <w:lastRenderedPageBreak/>
        <w:t>资料性</w:t>
      </w:r>
      <w:r w:rsidR="0066627F" w:rsidRPr="00BA422C">
        <w:rPr>
          <w:rFonts w:ascii="黑体" w:eastAsia="黑体" w:hAnsi="黑体" w:cs="黑体" w:hint="eastAsia"/>
          <w:bCs w:val="0"/>
          <w:sz w:val="32"/>
          <w:szCs w:val="32"/>
        </w:rPr>
        <w:t>附录</w:t>
      </w:r>
      <w:bookmarkEnd w:id="1141"/>
    </w:p>
    <w:p w14:paraId="62C804FA" w14:textId="46F17DA5" w:rsidR="00F20E1B" w:rsidRPr="00205AAB" w:rsidRDefault="00F20E1B" w:rsidP="00205AAB">
      <w:pPr>
        <w:spacing w:line="520" w:lineRule="exact"/>
        <w:ind w:left="176" w:hangingChars="40" w:hanging="176"/>
        <w:jc w:val="center"/>
        <w:rPr>
          <w:rFonts w:ascii="Times New Roman" w:eastAsia="方正小标宋简体" w:hAnsi="Times New Roman" w:cs="Times New Roman"/>
          <w:color w:val="000000"/>
          <w:sz w:val="44"/>
          <w:szCs w:val="44"/>
        </w:rPr>
      </w:pPr>
      <w:r w:rsidRPr="00205AAB">
        <w:rPr>
          <w:rFonts w:ascii="Times New Roman" w:eastAsia="方正小标宋简体" w:hAnsi="Times New Roman" w:cs="Times New Roman"/>
          <w:color w:val="000000"/>
          <w:sz w:val="44"/>
          <w:szCs w:val="44"/>
        </w:rPr>
        <w:t>重组人源化胶原蛋白原材料</w:t>
      </w:r>
      <w:r w:rsidRPr="00205AAB">
        <w:rPr>
          <w:rFonts w:ascii="Times New Roman" w:eastAsia="方正小标宋简体" w:hAnsi="Times New Roman" w:cs="Times New Roman" w:hint="eastAsia"/>
          <w:color w:val="000000"/>
          <w:sz w:val="44"/>
          <w:szCs w:val="44"/>
        </w:rPr>
        <w:t>制造过程控制</w:t>
      </w:r>
    </w:p>
    <w:p w14:paraId="4DBAE736" w14:textId="374F5709" w:rsidR="00F20E1B" w:rsidRDefault="00F20E1B" w:rsidP="00205AAB">
      <w:pPr>
        <w:pStyle w:val="af7"/>
        <w:spacing w:line="520" w:lineRule="exact"/>
        <w:ind w:firstLine="640"/>
        <w:rPr>
          <w:rFonts w:ascii="Times New Roman" w:eastAsia="黑体" w:hAnsi="Times New Roman" w:cs="Times New Roman"/>
          <w:b/>
          <w:kern w:val="0"/>
          <w:sz w:val="32"/>
          <w:szCs w:val="32"/>
        </w:rPr>
      </w:pPr>
      <w:bookmarkStart w:id="1142" w:name="_Toc116983583"/>
      <w:r>
        <w:rPr>
          <w:rFonts w:ascii="Times New Roman" w:eastAsia="仿宋_GB2312" w:hAnsi="Times New Roman" w:cs="Times New Roman" w:hint="eastAsia"/>
          <w:kern w:val="0"/>
          <w:sz w:val="32"/>
          <w:szCs w:val="32"/>
        </w:rPr>
        <w:t>主要包括</w:t>
      </w:r>
      <w:r>
        <w:rPr>
          <w:rFonts w:ascii="Times New Roman" w:eastAsia="仿宋_GB2312" w:hAnsi="Times New Roman" w:cs="Times New Roman"/>
          <w:kern w:val="0"/>
          <w:sz w:val="32"/>
          <w:szCs w:val="32"/>
        </w:rPr>
        <w:t>工程细胞构建过程</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生产用细胞的质量控制</w:t>
      </w:r>
      <w:r>
        <w:rPr>
          <w:rFonts w:ascii="Times New Roman" w:eastAsia="仿宋_GB2312" w:hAnsi="Times New Roman" w:cs="Times New Roman" w:hint="eastAsia"/>
          <w:kern w:val="0"/>
          <w:sz w:val="32"/>
          <w:szCs w:val="32"/>
        </w:rPr>
        <w:t>及常规生产过程控制。</w:t>
      </w:r>
      <w:bookmarkEnd w:id="1142"/>
    </w:p>
    <w:p w14:paraId="1644EA8C" w14:textId="64447E04" w:rsidR="00F20E1B" w:rsidRPr="00205AAB" w:rsidRDefault="00D55CA4" w:rsidP="00205AAB">
      <w:pPr>
        <w:pStyle w:val="af7"/>
        <w:spacing w:line="520" w:lineRule="exact"/>
        <w:ind w:left="640" w:firstLineChars="0" w:firstLine="0"/>
        <w:outlineLvl w:val="1"/>
        <w:rPr>
          <w:rFonts w:ascii="楷体" w:eastAsia="楷体" w:hAnsi="楷体" w:cs="Times New Roman"/>
          <w:b/>
          <w:kern w:val="0"/>
          <w:sz w:val="32"/>
          <w:szCs w:val="32"/>
        </w:rPr>
      </w:pPr>
      <w:bookmarkStart w:id="1143" w:name="_Toc118298981"/>
      <w:r w:rsidRPr="00205AAB">
        <w:rPr>
          <w:rFonts w:ascii="Times New Roman" w:eastAsia="楷体_GB2312" w:hAnsi="Times New Roman" w:cs="Times New Roman" w:hint="eastAsia"/>
          <w:kern w:val="0"/>
          <w:sz w:val="32"/>
          <w:szCs w:val="32"/>
        </w:rPr>
        <w:t>一、</w:t>
      </w:r>
      <w:r w:rsidR="00F20E1B" w:rsidRPr="00205AAB">
        <w:rPr>
          <w:rFonts w:ascii="Times New Roman" w:eastAsia="楷体_GB2312" w:hAnsi="Times New Roman" w:cs="Times New Roman"/>
          <w:kern w:val="0"/>
          <w:sz w:val="32"/>
          <w:szCs w:val="32"/>
        </w:rPr>
        <w:t>重组工程细胞构建及生产用细胞的质量控制</w:t>
      </w:r>
      <w:bookmarkEnd w:id="1143"/>
    </w:p>
    <w:p w14:paraId="6CE6ADDC" w14:textId="77777777" w:rsidR="00F20E1B" w:rsidRDefault="00F20E1B" w:rsidP="00F20E1B">
      <w:pPr>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重组人源化胶原蛋白</w:t>
      </w:r>
      <w:r>
        <w:rPr>
          <w:rFonts w:ascii="Times New Roman" w:eastAsia="仿宋_GB2312" w:hAnsi="Times New Roman" w:cs="Times New Roman" w:hint="eastAsia"/>
          <w:kern w:val="0"/>
          <w:sz w:val="32"/>
          <w:szCs w:val="32"/>
        </w:rPr>
        <w:t>属于</w:t>
      </w:r>
      <w:r>
        <w:rPr>
          <w:rFonts w:ascii="Times New Roman" w:eastAsia="仿宋_GB2312" w:hAnsi="Times New Roman" w:cs="Times New Roman"/>
          <w:kern w:val="0"/>
          <w:sz w:val="32"/>
          <w:szCs w:val="32"/>
        </w:rPr>
        <w:t>采用重组</w:t>
      </w:r>
      <w:r>
        <w:rPr>
          <w:rFonts w:ascii="Times New Roman" w:eastAsia="仿宋_GB2312" w:hAnsi="Times New Roman" w:cs="Times New Roman"/>
          <w:kern w:val="0"/>
          <w:sz w:val="32"/>
          <w:szCs w:val="32"/>
        </w:rPr>
        <w:t>DNA</w:t>
      </w:r>
      <w:r>
        <w:rPr>
          <w:rFonts w:ascii="Times New Roman" w:eastAsia="仿宋_GB2312" w:hAnsi="Times New Roman" w:cs="Times New Roman"/>
          <w:kern w:val="0"/>
          <w:sz w:val="32"/>
          <w:szCs w:val="32"/>
        </w:rPr>
        <w:t>技术，对编码所需人胶原蛋白的基因进行遗传修饰，利用质粒将目的基因导入适当的宿主细胞，表达并翻译成蛋白质，经过提取和纯化等步骤制备而成的具有生物学活性的胶原蛋白之一。</w:t>
      </w:r>
    </w:p>
    <w:p w14:paraId="68A8C92E" w14:textId="77777777" w:rsidR="00F20E1B" w:rsidRDefault="00F20E1B" w:rsidP="00F20E1B">
      <w:pPr>
        <w:spacing w:line="520" w:lineRule="exact"/>
        <w:ind w:firstLineChars="200" w:firstLine="640"/>
        <w:jc w:val="left"/>
        <w:outlineLvl w:val="2"/>
        <w:rPr>
          <w:rFonts w:ascii="Times New Roman" w:eastAsia="仿宋_GB2312" w:hAnsi="Times New Roman" w:cs="Times New Roman"/>
          <w:kern w:val="0"/>
          <w:sz w:val="32"/>
          <w:szCs w:val="32"/>
        </w:rPr>
      </w:pPr>
      <w:bookmarkStart w:id="1144" w:name="_Toc118298982"/>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工程细胞的构建</w:t>
      </w:r>
      <w:bookmarkEnd w:id="1144"/>
    </w:p>
    <w:p w14:paraId="2E3AD815"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45" w:name="_Toc118298983"/>
      <w:r>
        <w:rPr>
          <w:rFonts w:ascii="Times New Roman" w:eastAsia="仿宋_GB2312" w:hAnsi="Times New Roman" w:cs="Times New Roman"/>
          <w:kern w:val="0"/>
          <w:sz w:val="32"/>
          <w:szCs w:val="32"/>
        </w:rPr>
        <w:t>1.1</w:t>
      </w:r>
      <w:r>
        <w:rPr>
          <w:rFonts w:ascii="Times New Roman" w:eastAsia="仿宋_GB2312" w:hAnsi="Times New Roman" w:cs="Times New Roman"/>
          <w:kern w:val="0"/>
          <w:sz w:val="32"/>
          <w:szCs w:val="32"/>
        </w:rPr>
        <w:t>宿主细胞的选择、来源、历史和一般特性</w:t>
      </w:r>
      <w:bookmarkEnd w:id="1145"/>
    </w:p>
    <w:p w14:paraId="22806676"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经过全面检测的种子细胞是实现重组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生产的前提和基础。生产用种子细胞应具有共同的</w:t>
      </w:r>
      <w:r w:rsidRPr="006F3EDD">
        <w:rPr>
          <w:rFonts w:ascii="Times New Roman" w:eastAsia="仿宋_GB2312" w:hAnsi="Times New Roman" w:cs="Times New Roman" w:hint="eastAsia"/>
          <w:sz w:val="32"/>
          <w:szCs w:val="32"/>
        </w:rPr>
        <w:t>始祖细胞</w:t>
      </w:r>
      <w:r>
        <w:rPr>
          <w:rFonts w:ascii="Times New Roman" w:eastAsia="仿宋_GB2312" w:hAnsi="Times New Roman" w:cs="Times New Roman"/>
          <w:sz w:val="32"/>
          <w:szCs w:val="32"/>
        </w:rPr>
        <w:t>，保持相同的遗传和生物学特征，在特定的培养环境和条件下持续稳定表达携带的外源目的基因。</w:t>
      </w:r>
      <w:r>
        <w:rPr>
          <w:rFonts w:ascii="Times New Roman" w:eastAsia="仿宋_GB2312" w:hAnsi="Times New Roman" w:cs="Times New Roman" w:hint="eastAsia"/>
          <w:sz w:val="32"/>
          <w:szCs w:val="32"/>
        </w:rPr>
        <w:t>建议详细阐述共同</w:t>
      </w:r>
      <w:r w:rsidRPr="00F85CE4">
        <w:rPr>
          <w:rFonts w:ascii="Times New Roman" w:eastAsia="仿宋_GB2312" w:hAnsi="Times New Roman" w:cs="Times New Roman" w:hint="eastAsia"/>
          <w:sz w:val="32"/>
          <w:szCs w:val="32"/>
        </w:rPr>
        <w:t>始祖细胞的判定标准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只有经过研究确定细胞在扩增培养和生产过程中的变化，才能够有效控制风险性因素，满足生产的持续需求，使</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质量保持一致。</w:t>
      </w:r>
    </w:p>
    <w:p w14:paraId="32E785A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在宿主细胞选择、重组工程细胞构建以及生产细胞的培养扩增和监控过程中，不仅要关注细胞的适用性、目的产物表达生产能力，同时还应当重视伴随细胞培养产生的内源性病毒、宿主细胞残余蛋白和</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、致肿瘤成分等潜在的风险性因素对重组</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带来的安全性影响。在早期研究阶段，需同步开展库细胞、生产培养过程细胞、生产终末细</w:t>
      </w:r>
      <w:r>
        <w:rPr>
          <w:rFonts w:ascii="Times New Roman" w:eastAsia="仿宋_GB2312" w:hAnsi="Times New Roman" w:cs="Times New Roman"/>
          <w:sz w:val="32"/>
          <w:szCs w:val="32"/>
        </w:rPr>
        <w:lastRenderedPageBreak/>
        <w:t>胞的全面检定和控制。针对哺乳动物细胞，应进行病毒和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或致瘤性成分的去除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灭活工艺的验证。</w:t>
      </w:r>
    </w:p>
    <w:p w14:paraId="76FE0CE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应选择来源、背景十分清楚的适宜宿主细胞，明确存在的内源性病毒和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或致瘤性等影响</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安全性的因素，并结合</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纯化的程度、细胞培养和生产过程中风险性成分的去除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灭活能力及残留量控制水平，以及临床应用适应症和用法用量等特点综合分析，经利弊权衡后确定与特定</w:t>
      </w:r>
      <w:r>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sz w:val="32"/>
          <w:szCs w:val="32"/>
        </w:rPr>
        <w:t>相适应的宿主细胞。尽可能选择致瘤性试验阴性和低增殖代次水平的宿主细胞。对于改良的传代细胞、全新构建的转化细胞，甚至肿瘤细胞等，由于前期研究、背景资料和致瘤性风险等积累的认识有限，其开发应用将引入新的安全性隐患，需要慎重权衡利弊，</w:t>
      </w:r>
      <w:r>
        <w:rPr>
          <w:rFonts w:ascii="Times New Roman" w:eastAsia="仿宋_GB2312" w:hAnsi="Times New Roman" w:cs="Times New Roman" w:hint="eastAsia"/>
          <w:sz w:val="32"/>
          <w:szCs w:val="32"/>
        </w:rPr>
        <w:t>确保</w:t>
      </w:r>
      <w:r w:rsidRPr="00383178">
        <w:rPr>
          <w:rFonts w:ascii="Times New Roman" w:eastAsia="仿宋_GB2312" w:hAnsi="Times New Roman" w:cs="Times New Roman" w:hint="eastAsia"/>
          <w:sz w:val="32"/>
          <w:szCs w:val="32"/>
        </w:rPr>
        <w:t>遗传背景清晰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在开展充分研究的基础上严格控制</w:t>
      </w:r>
      <w:r>
        <w:rPr>
          <w:rFonts w:ascii="Times New Roman" w:eastAsia="仿宋_GB2312" w:hAnsi="Times New Roman" w:cs="Times New Roman" w:hint="eastAsia"/>
          <w:sz w:val="32"/>
          <w:szCs w:val="32"/>
        </w:rPr>
        <w:t>其</w:t>
      </w:r>
      <w:r>
        <w:rPr>
          <w:rFonts w:ascii="Times New Roman" w:eastAsia="仿宋_GB2312" w:hAnsi="Times New Roman" w:cs="Times New Roman"/>
          <w:sz w:val="32"/>
          <w:szCs w:val="32"/>
        </w:rPr>
        <w:t>潜在的风险性。</w:t>
      </w:r>
    </w:p>
    <w:p w14:paraId="0B4232EB"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用于构建重组工程细胞的宿主细胞其来源和培养历史应足够清楚，可溯源有关的背景资料。例如最初分离建立株</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系的机构，在不同机构内引进和传代经过，既往进行过的检测分析项目和确证研究结果，细胞保存状态，经体外传代培养已达到的增殖代次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平及传代过程中所用过的人源或动物源性材料等。需提供宿主细胞来源的相关资料和证明性文件，说明是否曾进行过遗传操作引入了外源基因序列，描述已进行过的研究检定项目例如细胞鉴定、内源和外源性因子检测等的结果及引进时进行的复核检定结果。</w:t>
      </w:r>
      <w:r>
        <w:rPr>
          <w:rFonts w:ascii="Times New Roman" w:eastAsia="仿宋_GB2312" w:hAnsi="Times New Roman" w:cs="Times New Roman"/>
          <w:sz w:val="32"/>
          <w:szCs w:val="32"/>
        </w:rPr>
        <w:t xml:space="preserve"> </w:t>
      </w:r>
    </w:p>
    <w:p w14:paraId="05A826FC"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阐述宿主细胞的基本特征，如形态、培养和生长一般特征、培养条件和培养液要求，新构建的细胞系应检测致瘤性特征。对宿主系统（原核、真核、哺乳细胞等）的特性、遗传背景、基因型、表型、抗性、质粒转化条件特征都应有</w:t>
      </w:r>
      <w:r>
        <w:rPr>
          <w:rFonts w:ascii="Times New Roman" w:eastAsia="仿宋_GB2312" w:hAnsi="Times New Roman" w:cs="Times New Roman"/>
          <w:sz w:val="32"/>
          <w:szCs w:val="32"/>
        </w:rPr>
        <w:lastRenderedPageBreak/>
        <w:t>详细的文献或实验资料。举例如表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14:paraId="67A839CB" w14:textId="77777777" w:rsidR="00F20E1B" w:rsidRDefault="00F20E1B" w:rsidP="00F20E1B">
      <w:pPr>
        <w:pStyle w:val="a1"/>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宿主细胞基本特征信息表</w:t>
      </w:r>
    </w:p>
    <w:tbl>
      <w:tblPr>
        <w:tblW w:w="54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071"/>
        <w:gridCol w:w="1976"/>
        <w:gridCol w:w="2546"/>
      </w:tblGrid>
      <w:tr w:rsidR="00F20E1B" w14:paraId="517A689A" w14:textId="77777777" w:rsidTr="00BF028C">
        <w:trPr>
          <w:jc w:val="center"/>
        </w:trPr>
        <w:tc>
          <w:tcPr>
            <w:tcW w:w="1323" w:type="pct"/>
            <w:vAlign w:val="center"/>
          </w:tcPr>
          <w:p w14:paraId="3BBDFCE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细胞株名称</w:t>
            </w:r>
          </w:p>
        </w:tc>
        <w:tc>
          <w:tcPr>
            <w:tcW w:w="1155" w:type="pct"/>
            <w:vAlign w:val="center"/>
          </w:tcPr>
          <w:p w14:paraId="029C3A29" w14:textId="77777777" w:rsidR="00F20E1B" w:rsidRDefault="00F20E1B" w:rsidP="00BF028C">
            <w:pPr>
              <w:spacing w:line="520" w:lineRule="exact"/>
              <w:jc w:val="center"/>
              <w:rPr>
                <w:rFonts w:ascii="Times New Roman" w:eastAsia="仿宋_GB2312" w:hAnsi="Times New Roman" w:cs="Times New Roman"/>
                <w:sz w:val="28"/>
                <w:szCs w:val="28"/>
              </w:rPr>
            </w:pPr>
            <w:r w:rsidRPr="00851DDB">
              <w:rPr>
                <w:rFonts w:ascii="Times New Roman" w:eastAsia="仿宋_GB2312" w:hAnsi="Times New Roman" w:cs="Times New Roman"/>
                <w:i/>
                <w:iCs/>
                <w:sz w:val="28"/>
                <w:szCs w:val="28"/>
              </w:rPr>
              <w:t>Chinese Hamster Ovary</w:t>
            </w:r>
            <w:r>
              <w:rPr>
                <w:rFonts w:ascii="Times New Roman" w:eastAsia="仿宋_GB2312" w:hAnsi="Times New Roman" w:cs="Times New Roman"/>
                <w:i/>
                <w:iCs/>
                <w:sz w:val="28"/>
                <w:szCs w:val="28"/>
              </w:rPr>
              <w:t xml:space="preserve"> </w:t>
            </w:r>
            <w:r>
              <w:rPr>
                <w:rFonts w:ascii="Times New Roman" w:eastAsia="仿宋_GB2312" w:hAnsi="Times New Roman" w:cs="Times New Roman"/>
                <w:sz w:val="28"/>
                <w:szCs w:val="28"/>
              </w:rPr>
              <w:t>(CHO)</w:t>
            </w:r>
          </w:p>
        </w:tc>
        <w:tc>
          <w:tcPr>
            <w:tcW w:w="1102" w:type="pct"/>
            <w:vAlign w:val="center"/>
          </w:tcPr>
          <w:p w14:paraId="3E6FDD42"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Pichia pastoris</w:t>
            </w:r>
          </w:p>
        </w:tc>
        <w:tc>
          <w:tcPr>
            <w:tcW w:w="1420" w:type="pct"/>
            <w:vAlign w:val="center"/>
          </w:tcPr>
          <w:p w14:paraId="648806D1" w14:textId="77777777" w:rsidR="00F20E1B" w:rsidRDefault="00F20E1B" w:rsidP="00BF028C">
            <w:pPr>
              <w:spacing w:line="520" w:lineRule="exact"/>
              <w:jc w:val="center"/>
              <w:rPr>
                <w:rFonts w:ascii="Times New Roman" w:eastAsia="仿宋_GB2312" w:hAnsi="Times New Roman" w:cs="Times New Roman"/>
                <w:sz w:val="28"/>
                <w:szCs w:val="28"/>
              </w:rPr>
            </w:pPr>
            <w:r w:rsidRPr="00851DDB">
              <w:rPr>
                <w:rFonts w:ascii="Times New Roman" w:eastAsia="仿宋_GB2312" w:hAnsi="Times New Roman" w:cs="Times New Roman"/>
                <w:i/>
                <w:iCs/>
                <w:sz w:val="28"/>
                <w:szCs w:val="28"/>
              </w:rPr>
              <w:t>Escherichia coli</w:t>
            </w:r>
          </w:p>
        </w:tc>
      </w:tr>
      <w:tr w:rsidR="00F20E1B" w14:paraId="6BDCBEEE" w14:textId="77777777" w:rsidTr="00BF028C">
        <w:trPr>
          <w:jc w:val="center"/>
        </w:trPr>
        <w:tc>
          <w:tcPr>
            <w:tcW w:w="1323" w:type="pct"/>
            <w:vAlign w:val="center"/>
          </w:tcPr>
          <w:p w14:paraId="600BAC44"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出品公司</w:t>
            </w:r>
          </w:p>
        </w:tc>
        <w:tc>
          <w:tcPr>
            <w:tcW w:w="1155" w:type="pct"/>
            <w:vAlign w:val="center"/>
          </w:tcPr>
          <w:p w14:paraId="3ADCA21E"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sigma</w:t>
            </w:r>
          </w:p>
        </w:tc>
        <w:tc>
          <w:tcPr>
            <w:tcW w:w="1102" w:type="pct"/>
            <w:vAlign w:val="center"/>
          </w:tcPr>
          <w:p w14:paraId="3D442494" w14:textId="77777777" w:rsidR="00F20E1B" w:rsidRDefault="00F20E1B" w:rsidP="00BF028C">
            <w:pPr>
              <w:spacing w:line="520" w:lineRule="exact"/>
              <w:jc w:val="center"/>
              <w:rPr>
                <w:rFonts w:ascii="Times New Roman" w:eastAsia="仿宋_GB2312" w:hAnsi="Times New Roman" w:cs="Times New Roman"/>
                <w:sz w:val="28"/>
                <w:szCs w:val="28"/>
              </w:rPr>
            </w:pPr>
            <w:r w:rsidRPr="009C2DFB">
              <w:rPr>
                <w:rFonts w:ascii="Times New Roman" w:eastAsia="仿宋_GB2312" w:hAnsi="Times New Roman" w:cs="Times New Roman"/>
                <w:sz w:val="28"/>
                <w:szCs w:val="28"/>
              </w:rPr>
              <w:t>Invitrogen</w:t>
            </w:r>
          </w:p>
        </w:tc>
        <w:tc>
          <w:tcPr>
            <w:tcW w:w="1420" w:type="pct"/>
            <w:vAlign w:val="center"/>
          </w:tcPr>
          <w:p w14:paraId="7A3C06C5" w14:textId="77777777" w:rsidR="00F20E1B" w:rsidRDefault="00F20E1B" w:rsidP="00BF028C">
            <w:pPr>
              <w:spacing w:line="520" w:lineRule="exact"/>
              <w:jc w:val="center"/>
              <w:rPr>
                <w:rFonts w:ascii="Times New Roman" w:eastAsia="仿宋_GB2312" w:hAnsi="Times New Roman" w:cs="Times New Roman"/>
                <w:sz w:val="28"/>
                <w:szCs w:val="28"/>
              </w:rPr>
            </w:pPr>
            <w:r w:rsidRPr="009C2DFB">
              <w:rPr>
                <w:rFonts w:ascii="Times New Roman" w:eastAsia="仿宋_GB2312" w:hAnsi="Times New Roman" w:cs="Times New Roman"/>
                <w:sz w:val="28"/>
                <w:szCs w:val="28"/>
              </w:rPr>
              <w:t>Invitrogen</w:t>
            </w:r>
          </w:p>
        </w:tc>
      </w:tr>
      <w:tr w:rsidR="00F20E1B" w14:paraId="286A4FA6" w14:textId="77777777" w:rsidTr="00BF028C">
        <w:trPr>
          <w:jc w:val="center"/>
        </w:trPr>
        <w:tc>
          <w:tcPr>
            <w:tcW w:w="1323" w:type="pct"/>
            <w:vAlign w:val="center"/>
          </w:tcPr>
          <w:p w14:paraId="0E95AAF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宿主系统类型</w:t>
            </w:r>
          </w:p>
        </w:tc>
        <w:tc>
          <w:tcPr>
            <w:tcW w:w="1155" w:type="pct"/>
            <w:vAlign w:val="center"/>
          </w:tcPr>
          <w:p w14:paraId="1ECCC556" w14:textId="77777777" w:rsidR="00F20E1B" w:rsidRDefault="00F20E1B" w:rsidP="00BF028C">
            <w:pPr>
              <w:spacing w:line="520" w:lineRule="exact"/>
              <w:jc w:val="center"/>
              <w:rPr>
                <w:rFonts w:ascii="Times New Roman" w:eastAsia="仿宋_GB2312" w:hAnsi="Times New Roman" w:cs="Times New Roman"/>
                <w:sz w:val="28"/>
                <w:szCs w:val="28"/>
              </w:rPr>
            </w:pPr>
            <w:r>
              <w:rPr>
                <w:rStyle w:val="af4"/>
                <w:rFonts w:ascii="Times New Roman" w:eastAsia="仿宋_GB2312" w:hAnsi="Times New Roman" w:cs="Times New Roman"/>
                <w:i w:val="0"/>
                <w:iCs w:val="0"/>
                <w:sz w:val="28"/>
                <w:szCs w:val="28"/>
                <w:shd w:val="clear" w:color="auto" w:fill="FFFFFF"/>
              </w:rPr>
              <w:t>中国仓鼠卵巢细胞</w:t>
            </w:r>
          </w:p>
        </w:tc>
        <w:tc>
          <w:tcPr>
            <w:tcW w:w="1102" w:type="pct"/>
            <w:vAlign w:val="center"/>
          </w:tcPr>
          <w:p w14:paraId="30BB3488" w14:textId="77777777" w:rsidR="00F20E1B" w:rsidRDefault="00F20E1B" w:rsidP="00BF028C">
            <w:pPr>
              <w:spacing w:line="520" w:lineRule="exact"/>
              <w:jc w:val="center"/>
              <w:rPr>
                <w:rStyle w:val="af4"/>
                <w:rFonts w:ascii="Times New Roman" w:eastAsia="仿宋_GB2312" w:hAnsi="Times New Roman" w:cs="Times New Roman"/>
                <w:i w:val="0"/>
                <w:iCs w:val="0"/>
                <w:sz w:val="28"/>
                <w:szCs w:val="28"/>
                <w:shd w:val="clear" w:color="auto" w:fill="FFFFFF"/>
              </w:rPr>
            </w:pPr>
            <w:r w:rsidRPr="006F3EDD">
              <w:rPr>
                <w:rStyle w:val="af4"/>
                <w:rFonts w:ascii="Times New Roman" w:eastAsia="仿宋_GB2312" w:hAnsi="Times New Roman" w:cs="Times New Roman" w:hint="eastAsia"/>
                <w:i w:val="0"/>
                <w:iCs w:val="0"/>
                <w:sz w:val="28"/>
                <w:szCs w:val="28"/>
              </w:rPr>
              <w:t>毕赤酵母</w:t>
            </w:r>
            <w:r>
              <w:rPr>
                <w:rStyle w:val="af4"/>
                <w:rFonts w:ascii="Times New Roman" w:eastAsia="仿宋_GB2312" w:hAnsi="Times New Roman" w:cs="Times New Roman"/>
                <w:sz w:val="28"/>
                <w:szCs w:val="28"/>
              </w:rPr>
              <w:t>GS115</w:t>
            </w:r>
          </w:p>
        </w:tc>
        <w:tc>
          <w:tcPr>
            <w:tcW w:w="1420" w:type="pct"/>
            <w:vAlign w:val="center"/>
          </w:tcPr>
          <w:p w14:paraId="18DB1967" w14:textId="77777777" w:rsidR="00F20E1B" w:rsidRDefault="00F20E1B" w:rsidP="00BF028C">
            <w:pPr>
              <w:spacing w:line="520" w:lineRule="exact"/>
              <w:jc w:val="center"/>
              <w:rPr>
                <w:rStyle w:val="af4"/>
                <w:rFonts w:ascii="Times New Roman" w:eastAsia="仿宋_GB2312" w:hAnsi="Times New Roman" w:cs="Times New Roman"/>
                <w:i w:val="0"/>
                <w:iCs w:val="0"/>
                <w:sz w:val="28"/>
                <w:szCs w:val="28"/>
                <w:shd w:val="clear" w:color="auto" w:fill="FFFFFF"/>
              </w:rPr>
            </w:pPr>
            <w:r>
              <w:rPr>
                <w:rStyle w:val="af4"/>
                <w:rFonts w:ascii="Times New Roman" w:eastAsia="仿宋_GB2312" w:hAnsi="Times New Roman" w:cs="Times New Roman"/>
                <w:i w:val="0"/>
                <w:iCs w:val="0"/>
                <w:sz w:val="28"/>
                <w:szCs w:val="28"/>
                <w:shd w:val="clear" w:color="auto" w:fill="FFFFFF"/>
              </w:rPr>
              <w:t>大肠杆菌</w:t>
            </w:r>
            <w:r w:rsidRPr="00851DDB">
              <w:rPr>
                <w:rFonts w:ascii="Times New Roman" w:eastAsia="仿宋_GB2312" w:hAnsi="Times New Roman" w:cs="Times New Roman"/>
                <w:i/>
                <w:iCs/>
                <w:sz w:val="28"/>
                <w:szCs w:val="28"/>
              </w:rPr>
              <w:t xml:space="preserve"> BL21(DE3)</w:t>
            </w:r>
          </w:p>
        </w:tc>
      </w:tr>
      <w:tr w:rsidR="00F20E1B" w14:paraId="1204B95A" w14:textId="77777777" w:rsidTr="00BF028C">
        <w:trPr>
          <w:jc w:val="center"/>
        </w:trPr>
        <w:tc>
          <w:tcPr>
            <w:tcW w:w="1323" w:type="pct"/>
            <w:vAlign w:val="center"/>
          </w:tcPr>
          <w:p w14:paraId="117E54D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生长条件</w:t>
            </w:r>
          </w:p>
        </w:tc>
        <w:tc>
          <w:tcPr>
            <w:tcW w:w="1155" w:type="pct"/>
            <w:vAlign w:val="center"/>
          </w:tcPr>
          <w:p w14:paraId="368AA004"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36.5℃,  </w:t>
            </w:r>
            <w:r>
              <w:rPr>
                <w:rFonts w:ascii="Times New Roman" w:eastAsia="仿宋_GB2312" w:hAnsi="Times New Roman" w:cs="Times New Roman"/>
                <w:sz w:val="28"/>
                <w:szCs w:val="28"/>
              </w:rPr>
              <w:t>有氧</w:t>
            </w:r>
          </w:p>
        </w:tc>
        <w:tc>
          <w:tcPr>
            <w:tcW w:w="1102" w:type="pct"/>
            <w:vAlign w:val="center"/>
          </w:tcPr>
          <w:p w14:paraId="7F298B5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28℃,  </w:t>
            </w:r>
            <w:r>
              <w:rPr>
                <w:rFonts w:ascii="Times New Roman" w:eastAsia="仿宋_GB2312" w:hAnsi="Times New Roman" w:cs="Times New Roman"/>
                <w:sz w:val="28"/>
                <w:szCs w:val="28"/>
              </w:rPr>
              <w:t>有氧</w:t>
            </w:r>
          </w:p>
        </w:tc>
        <w:tc>
          <w:tcPr>
            <w:tcW w:w="1420" w:type="pct"/>
            <w:vAlign w:val="center"/>
          </w:tcPr>
          <w:p w14:paraId="77D3C3A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37℃,  </w:t>
            </w:r>
            <w:r>
              <w:rPr>
                <w:rFonts w:ascii="Times New Roman" w:eastAsia="仿宋_GB2312" w:hAnsi="Times New Roman" w:cs="Times New Roman"/>
                <w:sz w:val="28"/>
                <w:szCs w:val="28"/>
              </w:rPr>
              <w:t>有氧</w:t>
            </w:r>
          </w:p>
        </w:tc>
      </w:tr>
      <w:tr w:rsidR="00F20E1B" w14:paraId="3770A514" w14:textId="77777777" w:rsidTr="00BF028C">
        <w:trPr>
          <w:jc w:val="center"/>
        </w:trPr>
        <w:tc>
          <w:tcPr>
            <w:tcW w:w="1323" w:type="pct"/>
            <w:vAlign w:val="center"/>
          </w:tcPr>
          <w:p w14:paraId="5A477EA5"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shd w:val="clear" w:color="auto" w:fill="F8F8F8"/>
              </w:rPr>
              <w:t>质粒转化条件</w:t>
            </w:r>
          </w:p>
        </w:tc>
        <w:tc>
          <w:tcPr>
            <w:tcW w:w="1155" w:type="pct"/>
            <w:vAlign w:val="center"/>
          </w:tcPr>
          <w:p w14:paraId="03D26EB0"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电转</w:t>
            </w:r>
          </w:p>
        </w:tc>
        <w:tc>
          <w:tcPr>
            <w:tcW w:w="1102" w:type="pct"/>
            <w:vAlign w:val="center"/>
          </w:tcPr>
          <w:p w14:paraId="3AED1B3F"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电转</w:t>
            </w:r>
          </w:p>
        </w:tc>
        <w:tc>
          <w:tcPr>
            <w:tcW w:w="1420" w:type="pct"/>
            <w:vAlign w:val="center"/>
          </w:tcPr>
          <w:p w14:paraId="353B1A67"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电转</w:t>
            </w:r>
          </w:p>
        </w:tc>
      </w:tr>
      <w:tr w:rsidR="00F20E1B" w14:paraId="3B22D6B1" w14:textId="77777777" w:rsidTr="00BF028C">
        <w:trPr>
          <w:jc w:val="center"/>
        </w:trPr>
        <w:tc>
          <w:tcPr>
            <w:tcW w:w="1323" w:type="pct"/>
            <w:vAlign w:val="center"/>
          </w:tcPr>
          <w:p w14:paraId="7779CAED"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基因型</w:t>
            </w:r>
          </w:p>
        </w:tc>
        <w:tc>
          <w:tcPr>
            <w:tcW w:w="1155" w:type="pct"/>
            <w:vAlign w:val="center"/>
          </w:tcPr>
          <w:p w14:paraId="166ADE10"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Wild type</w:t>
            </w:r>
          </w:p>
        </w:tc>
        <w:tc>
          <w:tcPr>
            <w:tcW w:w="1102" w:type="pct"/>
            <w:vAlign w:val="center"/>
          </w:tcPr>
          <w:p w14:paraId="1CD5B7F3"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His4</w:t>
            </w:r>
          </w:p>
        </w:tc>
        <w:tc>
          <w:tcPr>
            <w:tcW w:w="1420" w:type="pct"/>
            <w:vAlign w:val="center"/>
          </w:tcPr>
          <w:p w14:paraId="4DFE983A" w14:textId="77777777" w:rsidR="00F20E1B" w:rsidRDefault="00F20E1B" w:rsidP="00BF028C">
            <w:pPr>
              <w:spacing w:line="520" w:lineRule="exact"/>
              <w:jc w:val="center"/>
              <w:rPr>
                <w:rFonts w:ascii="Times New Roman" w:eastAsia="仿宋_GB2312" w:hAnsi="Times New Roman" w:cs="Times New Roman"/>
                <w:sz w:val="28"/>
                <w:szCs w:val="28"/>
                <w:shd w:val="clear" w:color="auto" w:fill="F8F8F8"/>
              </w:rPr>
            </w:pPr>
            <w:r>
              <w:rPr>
                <w:rFonts w:ascii="Times New Roman" w:eastAsia="仿宋_GB2312" w:hAnsi="Times New Roman" w:cs="Times New Roman"/>
                <w:sz w:val="28"/>
                <w:szCs w:val="28"/>
                <w:shd w:val="clear" w:color="auto" w:fill="F8F8F8"/>
              </w:rPr>
              <w:t>F-ompT hsdSB(rB-mB-)gal dcm rne131(DE3)</w:t>
            </w:r>
          </w:p>
        </w:tc>
      </w:tr>
    </w:tbl>
    <w:p w14:paraId="4293142D"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p>
    <w:p w14:paraId="1F79CDF4"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46" w:name="_Toc118298984"/>
      <w:r>
        <w:rPr>
          <w:rFonts w:ascii="Times New Roman" w:eastAsia="仿宋_GB2312" w:hAnsi="Times New Roman" w:cs="Times New Roman"/>
          <w:kern w:val="0"/>
          <w:sz w:val="32"/>
          <w:szCs w:val="32"/>
        </w:rPr>
        <w:t xml:space="preserve">1.2 </w:t>
      </w:r>
      <w:r>
        <w:rPr>
          <w:rFonts w:ascii="Times New Roman" w:eastAsia="仿宋_GB2312" w:hAnsi="Times New Roman" w:cs="Times New Roman"/>
          <w:kern w:val="0"/>
          <w:sz w:val="32"/>
          <w:szCs w:val="32"/>
        </w:rPr>
        <w:t>宿主细胞鉴定</w:t>
      </w:r>
      <w:bookmarkEnd w:id="1146"/>
    </w:p>
    <w:p w14:paraId="1EDEC7A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宿主细胞（原核、真核、哺乳细胞等）污染和营养缺陷表型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或基因敲除</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、过表达及导入外源基因等鉴定检测方法都应有详细的文献或实验资料。举例如表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639F4755" w14:textId="77777777" w:rsidR="00F20E1B" w:rsidRDefault="00F20E1B" w:rsidP="00F20E1B">
      <w:pPr>
        <w:pStyle w:val="a1"/>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宿主细胞鉴定项目</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40"/>
        <w:gridCol w:w="2268"/>
      </w:tblGrid>
      <w:tr w:rsidR="00F20E1B" w14:paraId="0D2CCB76" w14:textId="77777777" w:rsidTr="00BF028C">
        <w:tc>
          <w:tcPr>
            <w:tcW w:w="2518" w:type="dxa"/>
            <w:vAlign w:val="center"/>
          </w:tcPr>
          <w:p w14:paraId="70808202"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检测项目</w:t>
            </w:r>
          </w:p>
        </w:tc>
        <w:tc>
          <w:tcPr>
            <w:tcW w:w="4140" w:type="dxa"/>
            <w:vAlign w:val="center"/>
          </w:tcPr>
          <w:p w14:paraId="0D0889C8"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检测方法</w:t>
            </w:r>
          </w:p>
        </w:tc>
        <w:tc>
          <w:tcPr>
            <w:tcW w:w="2268" w:type="dxa"/>
            <w:vAlign w:val="center"/>
          </w:tcPr>
          <w:p w14:paraId="1B9A654C"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质量标准</w:t>
            </w:r>
          </w:p>
        </w:tc>
      </w:tr>
      <w:tr w:rsidR="00F20E1B" w14:paraId="2E6A5E44" w14:textId="77777777" w:rsidTr="00BF028C">
        <w:tc>
          <w:tcPr>
            <w:tcW w:w="2518" w:type="dxa"/>
            <w:vAlign w:val="center"/>
          </w:tcPr>
          <w:p w14:paraId="0A861FD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污染</w:t>
            </w:r>
          </w:p>
        </w:tc>
        <w:tc>
          <w:tcPr>
            <w:tcW w:w="4140" w:type="dxa"/>
            <w:vAlign w:val="center"/>
          </w:tcPr>
          <w:p w14:paraId="5680813A"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平板划线，显微镜检测、支原体检测试剂盒</w:t>
            </w:r>
          </w:p>
        </w:tc>
        <w:tc>
          <w:tcPr>
            <w:tcW w:w="2268" w:type="dxa"/>
            <w:vAlign w:val="center"/>
          </w:tcPr>
          <w:p w14:paraId="1AEA6D28"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无污染</w:t>
            </w:r>
          </w:p>
        </w:tc>
      </w:tr>
      <w:tr w:rsidR="00F20E1B" w14:paraId="02018F3E" w14:textId="77777777" w:rsidTr="00BF028C">
        <w:tc>
          <w:tcPr>
            <w:tcW w:w="2518" w:type="dxa"/>
            <w:vAlign w:val="center"/>
          </w:tcPr>
          <w:p w14:paraId="41AF1C2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营养缺陷表型鉴定</w:t>
            </w:r>
          </w:p>
        </w:tc>
        <w:tc>
          <w:tcPr>
            <w:tcW w:w="4140" w:type="dxa"/>
            <w:vAlign w:val="center"/>
          </w:tcPr>
          <w:p w14:paraId="75D8395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营养缺陷平板生长鉴定</w:t>
            </w:r>
          </w:p>
        </w:tc>
        <w:tc>
          <w:tcPr>
            <w:tcW w:w="2268" w:type="dxa"/>
            <w:vAlign w:val="center"/>
          </w:tcPr>
          <w:p w14:paraId="031CC6C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不生长</w:t>
            </w:r>
          </w:p>
        </w:tc>
      </w:tr>
      <w:tr w:rsidR="00F20E1B" w14:paraId="534FEDE1" w14:textId="77777777" w:rsidTr="00BF028C">
        <w:tc>
          <w:tcPr>
            <w:tcW w:w="2518" w:type="dxa"/>
            <w:vAlign w:val="center"/>
          </w:tcPr>
          <w:p w14:paraId="10E0E8B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甲醇利用性</w:t>
            </w:r>
          </w:p>
        </w:tc>
        <w:tc>
          <w:tcPr>
            <w:tcW w:w="4140" w:type="dxa"/>
            <w:vAlign w:val="center"/>
          </w:tcPr>
          <w:p w14:paraId="1F4B640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含甲醇的平板生长鉴定</w:t>
            </w:r>
          </w:p>
        </w:tc>
        <w:tc>
          <w:tcPr>
            <w:tcW w:w="2268" w:type="dxa"/>
            <w:vAlign w:val="center"/>
          </w:tcPr>
          <w:p w14:paraId="2A492652"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符合菌株表型</w:t>
            </w:r>
          </w:p>
        </w:tc>
      </w:tr>
      <w:tr w:rsidR="00F20E1B" w14:paraId="200649B1" w14:textId="77777777" w:rsidTr="00BF028C">
        <w:tc>
          <w:tcPr>
            <w:tcW w:w="2518" w:type="dxa"/>
            <w:vAlign w:val="center"/>
          </w:tcPr>
          <w:p w14:paraId="3C65C5A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导入外源基因鉴定</w:t>
            </w:r>
          </w:p>
        </w:tc>
        <w:tc>
          <w:tcPr>
            <w:tcW w:w="4140" w:type="dxa"/>
            <w:vAlign w:val="center"/>
          </w:tcPr>
          <w:p w14:paraId="275B72C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PCR</w:t>
            </w:r>
            <w:r>
              <w:rPr>
                <w:rFonts w:ascii="Times New Roman" w:eastAsia="仿宋_GB2312" w:hAnsi="Times New Roman" w:cs="Times New Roman" w:hint="eastAsia"/>
                <w:sz w:val="28"/>
                <w:szCs w:val="28"/>
              </w:rPr>
              <w:t>扩增，产物测序</w:t>
            </w:r>
          </w:p>
        </w:tc>
        <w:tc>
          <w:tcPr>
            <w:tcW w:w="2268" w:type="dxa"/>
            <w:vAlign w:val="center"/>
          </w:tcPr>
          <w:p w14:paraId="7A4E119A"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符合菌株</w:t>
            </w:r>
            <w:r>
              <w:rPr>
                <w:rFonts w:ascii="Times New Roman" w:eastAsia="仿宋_GB2312" w:hAnsi="Times New Roman" w:cs="Times New Roman" w:hint="eastAsia"/>
                <w:sz w:val="28"/>
                <w:szCs w:val="28"/>
              </w:rPr>
              <w:t>基因型</w:t>
            </w:r>
          </w:p>
        </w:tc>
      </w:tr>
      <w:tr w:rsidR="00F20E1B" w14:paraId="085200FE" w14:textId="77777777" w:rsidTr="00BF028C">
        <w:tc>
          <w:tcPr>
            <w:tcW w:w="2518" w:type="dxa"/>
            <w:vAlign w:val="center"/>
          </w:tcPr>
          <w:p w14:paraId="2C45D1C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过表达基因鉴定</w:t>
            </w:r>
          </w:p>
        </w:tc>
        <w:tc>
          <w:tcPr>
            <w:tcW w:w="4140" w:type="dxa"/>
            <w:vAlign w:val="center"/>
          </w:tcPr>
          <w:p w14:paraId="0D8EC91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q</w:t>
            </w:r>
            <w:r>
              <w:rPr>
                <w:rFonts w:ascii="Times New Roman" w:eastAsia="仿宋_GB2312" w:hAnsi="Times New Roman" w:cs="Times New Roman"/>
                <w:sz w:val="28"/>
                <w:szCs w:val="28"/>
              </w:rPr>
              <w:t>PCR</w:t>
            </w:r>
            <w:r>
              <w:rPr>
                <w:rFonts w:ascii="Times New Roman" w:eastAsia="仿宋_GB2312" w:hAnsi="Times New Roman" w:cs="Times New Roman" w:hint="eastAsia"/>
                <w:sz w:val="28"/>
                <w:szCs w:val="28"/>
              </w:rPr>
              <w:t>检测过表达基因转录水平</w:t>
            </w:r>
          </w:p>
        </w:tc>
        <w:tc>
          <w:tcPr>
            <w:tcW w:w="2268" w:type="dxa"/>
            <w:vAlign w:val="center"/>
          </w:tcPr>
          <w:p w14:paraId="39C6525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符合菌株表型</w:t>
            </w:r>
          </w:p>
        </w:tc>
      </w:tr>
    </w:tbl>
    <w:p w14:paraId="4CFCCFE3" w14:textId="77777777" w:rsidR="00F20E1B" w:rsidRDefault="00F20E1B" w:rsidP="00F20E1B">
      <w:pPr>
        <w:pStyle w:val="a1"/>
        <w:spacing w:line="520" w:lineRule="exact"/>
        <w:ind w:firstLineChars="200" w:firstLine="640"/>
        <w:rPr>
          <w:rFonts w:ascii="Times New Roman" w:eastAsia="仿宋_GB2312" w:hAnsi="Times New Roman" w:cs="Times New Roman"/>
          <w:sz w:val="32"/>
          <w:szCs w:val="32"/>
        </w:rPr>
      </w:pPr>
    </w:p>
    <w:p w14:paraId="19C01979"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47" w:name="_Toc118298985"/>
      <w:r>
        <w:rPr>
          <w:rFonts w:ascii="Times New Roman" w:eastAsia="仿宋_GB2312" w:hAnsi="Times New Roman" w:cs="Times New Roman"/>
          <w:kern w:val="0"/>
          <w:sz w:val="32"/>
          <w:szCs w:val="32"/>
        </w:rPr>
        <w:t xml:space="preserve">1.3 </w:t>
      </w:r>
      <w:r>
        <w:rPr>
          <w:rFonts w:ascii="Times New Roman" w:eastAsia="仿宋_GB2312" w:hAnsi="Times New Roman" w:cs="Times New Roman"/>
          <w:kern w:val="0"/>
          <w:sz w:val="32"/>
          <w:szCs w:val="32"/>
        </w:rPr>
        <w:t>重组工程细胞克隆构建过程、筛选及相关鉴定</w:t>
      </w:r>
      <w:bookmarkEnd w:id="1147"/>
    </w:p>
    <w:p w14:paraId="799E00E8" w14:textId="77777777" w:rsidR="00F20E1B" w:rsidRDefault="00F20E1B" w:rsidP="00F20E1B">
      <w:pPr>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工程细胞的构建一般包括基因获得、质粒构建和表达体系构建三个阶段。举例如图</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p>
    <w:p w14:paraId="3D95CF33" w14:textId="6388FC6A" w:rsidR="00F20E1B" w:rsidRDefault="00BC3729" w:rsidP="00F20E1B">
      <w:pPr>
        <w:pStyle w:val="a1"/>
        <w:jc w:val="center"/>
      </w:pPr>
      <w:r>
        <w:object w:dxaOrig="10441" w:dyaOrig="15135" w14:anchorId="16140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2pt;height:510pt" o:ole="">
            <v:imagedata r:id="rId9" o:title=""/>
          </v:shape>
          <o:OLEObject Type="Embed" ProgID="Visio.Drawing.11" ShapeID="_x0000_i1025" DrawAspect="Content" ObjectID="_1729316229" r:id="rId10"/>
        </w:object>
      </w:r>
    </w:p>
    <w:p w14:paraId="373AA860" w14:textId="77777777" w:rsidR="00F20E1B" w:rsidRDefault="00F20E1B" w:rsidP="00F20E1B">
      <w:pPr>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图</w:t>
      </w:r>
      <w:r>
        <w:rPr>
          <w:rFonts w:ascii="Times New Roman" w:eastAsia="黑体" w:hAnsi="Times New Roman" w:cs="Times New Roman"/>
          <w:sz w:val="28"/>
          <w:szCs w:val="28"/>
        </w:rPr>
        <w:t xml:space="preserve">1 </w:t>
      </w:r>
      <w:r>
        <w:rPr>
          <w:rFonts w:ascii="Times New Roman" w:eastAsia="黑体" w:hAnsi="Times New Roman" w:cs="Times New Roman"/>
          <w:sz w:val="28"/>
          <w:szCs w:val="28"/>
        </w:rPr>
        <w:t>工程细胞构建一般流程</w:t>
      </w:r>
    </w:p>
    <w:p w14:paraId="605A4456" w14:textId="77777777" w:rsidR="00F20E1B" w:rsidRDefault="00F20E1B" w:rsidP="00F20E1B">
      <w:pPr>
        <w:pStyle w:val="a1"/>
        <w:spacing w:line="520" w:lineRule="exact"/>
        <w:rPr>
          <w:rFonts w:ascii="Times New Roman" w:hAnsi="Times New Roman" w:cs="Times New Roman"/>
        </w:rPr>
      </w:pPr>
    </w:p>
    <w:p w14:paraId="01FC92C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目前可采用多种表达载体、宿主细胞、基因导入方法和筛选标记等进行工程细胞的构建和筛选，构建成功的标志是工程细胞能够稳定、高效地表达结构正确且具有生物活性的目的产物。因此，应尽可能提供关于重组工程细胞构建和鉴定的详细资料，重点描述的内容举例如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14:paraId="51988A1A" w14:textId="77777777" w:rsidR="00F20E1B" w:rsidRDefault="00F20E1B" w:rsidP="00F20E1B">
      <w:pPr>
        <w:pStyle w:val="a1"/>
        <w:spacing w:line="520" w:lineRule="exact"/>
        <w:ind w:firstLine="420"/>
        <w:rPr>
          <w:rFonts w:ascii="Times New Roman" w:hAnsi="Times New Roman" w:cs="Times New Roman"/>
        </w:rPr>
      </w:pPr>
    </w:p>
    <w:p w14:paraId="63F6FA29" w14:textId="77777777" w:rsidR="00F20E1B" w:rsidRDefault="00F20E1B" w:rsidP="00F20E1B">
      <w:pPr>
        <w:pStyle w:val="a1"/>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工程细胞鉴定项目</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351"/>
        <w:gridCol w:w="2845"/>
      </w:tblGrid>
      <w:tr w:rsidR="00F20E1B" w14:paraId="4442170D" w14:textId="77777777" w:rsidTr="00BF028C">
        <w:tc>
          <w:tcPr>
            <w:tcW w:w="2518" w:type="dxa"/>
            <w:vAlign w:val="center"/>
          </w:tcPr>
          <w:p w14:paraId="14E7EB43"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检测项目</w:t>
            </w:r>
          </w:p>
        </w:tc>
        <w:tc>
          <w:tcPr>
            <w:tcW w:w="3351" w:type="dxa"/>
            <w:vAlign w:val="center"/>
          </w:tcPr>
          <w:p w14:paraId="2039203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检测方法</w:t>
            </w:r>
          </w:p>
        </w:tc>
        <w:tc>
          <w:tcPr>
            <w:tcW w:w="2845" w:type="dxa"/>
            <w:vAlign w:val="center"/>
          </w:tcPr>
          <w:p w14:paraId="4A94A9C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质量标准</w:t>
            </w:r>
          </w:p>
        </w:tc>
      </w:tr>
      <w:tr w:rsidR="00F20E1B" w14:paraId="600B6F9B" w14:textId="77777777" w:rsidTr="00BF028C">
        <w:tc>
          <w:tcPr>
            <w:tcW w:w="2518" w:type="dxa"/>
            <w:vAlign w:val="center"/>
          </w:tcPr>
          <w:p w14:paraId="367B2CC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工程质粒线性化</w:t>
            </w:r>
          </w:p>
        </w:tc>
        <w:tc>
          <w:tcPr>
            <w:tcW w:w="3351" w:type="dxa"/>
            <w:vAlign w:val="center"/>
          </w:tcPr>
          <w:p w14:paraId="2E72C7E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核酸电泳法</w:t>
            </w:r>
          </w:p>
        </w:tc>
        <w:tc>
          <w:tcPr>
            <w:tcW w:w="2845" w:type="dxa"/>
            <w:vAlign w:val="center"/>
          </w:tcPr>
          <w:p w14:paraId="046CE14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单一条带，大小正确</w:t>
            </w:r>
          </w:p>
        </w:tc>
      </w:tr>
      <w:tr w:rsidR="00F20E1B" w14:paraId="318924E9" w14:textId="77777777" w:rsidTr="00BF028C">
        <w:tc>
          <w:tcPr>
            <w:tcW w:w="2518" w:type="dxa"/>
            <w:vAlign w:val="center"/>
          </w:tcPr>
          <w:p w14:paraId="31C56F1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线性质粒纯化</w:t>
            </w:r>
          </w:p>
        </w:tc>
        <w:tc>
          <w:tcPr>
            <w:tcW w:w="3351" w:type="dxa"/>
            <w:vAlign w:val="center"/>
          </w:tcPr>
          <w:p w14:paraId="7E43A0C4"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紫外分光光度扫描</w:t>
            </w:r>
          </w:p>
        </w:tc>
        <w:tc>
          <w:tcPr>
            <w:tcW w:w="2845" w:type="dxa"/>
            <w:vAlign w:val="center"/>
          </w:tcPr>
          <w:p w14:paraId="037B702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DNA</w:t>
            </w:r>
            <w:r>
              <w:rPr>
                <w:rFonts w:ascii="Times New Roman" w:eastAsia="仿宋_GB2312" w:hAnsi="Times New Roman" w:cs="Times New Roman"/>
                <w:sz w:val="28"/>
                <w:szCs w:val="28"/>
              </w:rPr>
              <w:t>浓度不低于</w:t>
            </w:r>
            <w:r>
              <w:rPr>
                <w:rFonts w:ascii="Times New Roman" w:eastAsia="仿宋_GB2312" w:hAnsi="Times New Roman" w:cs="Times New Roman"/>
                <w:sz w:val="28"/>
                <w:szCs w:val="28"/>
              </w:rPr>
              <w:t>100ng/μL</w:t>
            </w:r>
            <w:r>
              <w:rPr>
                <w:rFonts w:ascii="Times New Roman" w:eastAsia="仿宋_GB2312" w:hAnsi="Times New Roman" w:cs="Times New Roman"/>
                <w:sz w:val="28"/>
                <w:szCs w:val="28"/>
              </w:rPr>
              <w:t>；</w:t>
            </w:r>
            <w:r>
              <w:rPr>
                <w:rFonts w:ascii="Times New Roman" w:eastAsia="仿宋_GB2312" w:hAnsi="Times New Roman" w:cs="Times New Roman"/>
                <w:sz w:val="28"/>
                <w:szCs w:val="28"/>
              </w:rPr>
              <w:t>OD260/280=1.8~2.0</w:t>
            </w:r>
          </w:p>
        </w:tc>
      </w:tr>
      <w:tr w:rsidR="00F20E1B" w14:paraId="1E17AE9D" w14:textId="77777777" w:rsidTr="00BF028C">
        <w:tc>
          <w:tcPr>
            <w:tcW w:w="2518" w:type="dxa"/>
            <w:vAlign w:val="center"/>
          </w:tcPr>
          <w:p w14:paraId="7559DBB4"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转化表达受体细胞</w:t>
            </w:r>
          </w:p>
        </w:tc>
        <w:tc>
          <w:tcPr>
            <w:tcW w:w="3351" w:type="dxa"/>
            <w:vAlign w:val="center"/>
          </w:tcPr>
          <w:p w14:paraId="134E792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平板筛选，</w:t>
            </w:r>
            <w:r>
              <w:rPr>
                <w:rFonts w:ascii="Times New Roman" w:eastAsia="仿宋_GB2312" w:hAnsi="Times New Roman" w:cs="Times New Roman"/>
                <w:sz w:val="28"/>
                <w:szCs w:val="28"/>
              </w:rPr>
              <w:t>PCR</w:t>
            </w:r>
            <w:r>
              <w:rPr>
                <w:rFonts w:ascii="Times New Roman" w:eastAsia="仿宋_GB2312" w:hAnsi="Times New Roman" w:cs="Times New Roman" w:hint="eastAsia"/>
                <w:sz w:val="28"/>
                <w:szCs w:val="28"/>
              </w:rPr>
              <w:t>扩增</w:t>
            </w:r>
            <w:r>
              <w:rPr>
                <w:rFonts w:ascii="Times New Roman" w:eastAsia="仿宋_GB2312" w:hAnsi="Times New Roman" w:cs="Times New Roman"/>
                <w:sz w:val="28"/>
                <w:szCs w:val="28"/>
              </w:rPr>
              <w:t>产物测序</w:t>
            </w:r>
          </w:p>
        </w:tc>
        <w:tc>
          <w:tcPr>
            <w:tcW w:w="2845" w:type="dxa"/>
            <w:vAlign w:val="center"/>
          </w:tcPr>
          <w:p w14:paraId="448ADB9B"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测序结果正确</w:t>
            </w:r>
          </w:p>
        </w:tc>
      </w:tr>
      <w:tr w:rsidR="00F20E1B" w14:paraId="3225822E" w14:textId="77777777" w:rsidTr="00BF028C">
        <w:tc>
          <w:tcPr>
            <w:tcW w:w="2518" w:type="dxa"/>
            <w:vMerge w:val="restart"/>
            <w:vAlign w:val="center"/>
          </w:tcPr>
          <w:p w14:paraId="0D9286B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表达鉴定</w:t>
            </w:r>
          </w:p>
        </w:tc>
        <w:tc>
          <w:tcPr>
            <w:tcW w:w="3351" w:type="dxa"/>
            <w:vAlign w:val="center"/>
          </w:tcPr>
          <w:p w14:paraId="4945FCFB" w14:textId="77777777" w:rsidR="00F20E1B" w:rsidRDefault="00F20E1B" w:rsidP="00BF028C">
            <w:pPr>
              <w:widowControl/>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SDS-PAGE</w:t>
            </w:r>
            <w:r>
              <w:rPr>
                <w:rFonts w:ascii="Times New Roman" w:eastAsia="仿宋_GB2312" w:hAnsi="Times New Roman" w:cs="Times New Roman"/>
                <w:sz w:val="28"/>
                <w:szCs w:val="28"/>
              </w:rPr>
              <w:t>电泳</w:t>
            </w:r>
            <w:r>
              <w:rPr>
                <w:rFonts w:ascii="Times New Roman" w:eastAsia="仿宋_GB2312" w:hAnsi="Times New Roman" w:cs="Times New Roman" w:hint="eastAsia"/>
                <w:sz w:val="28"/>
                <w:szCs w:val="28"/>
              </w:rPr>
              <w:t>考马斯亮蓝染色</w:t>
            </w:r>
            <w:r>
              <w:rPr>
                <w:rFonts w:ascii="Times New Roman" w:eastAsia="仿宋_GB2312" w:hAnsi="Times New Roman" w:cs="Times New Roman"/>
                <w:sz w:val="28"/>
                <w:szCs w:val="28"/>
              </w:rPr>
              <w:t>法</w:t>
            </w:r>
          </w:p>
        </w:tc>
        <w:tc>
          <w:tcPr>
            <w:tcW w:w="2845" w:type="dxa"/>
            <w:vAlign w:val="center"/>
          </w:tcPr>
          <w:p w14:paraId="1D070A5E"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分子量</w:t>
            </w:r>
            <w:r>
              <w:rPr>
                <w:rFonts w:ascii="Times New Roman" w:eastAsia="仿宋_GB2312" w:hAnsi="Times New Roman" w:cs="Times New Roman"/>
                <w:sz w:val="28"/>
                <w:szCs w:val="28"/>
              </w:rPr>
              <w:t>符合预期</w:t>
            </w:r>
          </w:p>
        </w:tc>
      </w:tr>
      <w:tr w:rsidR="00F20E1B" w14:paraId="2E4BC678" w14:textId="77777777" w:rsidTr="00BF028C">
        <w:tc>
          <w:tcPr>
            <w:tcW w:w="2518" w:type="dxa"/>
            <w:vMerge/>
            <w:vAlign w:val="center"/>
          </w:tcPr>
          <w:p w14:paraId="63FFE3DE" w14:textId="77777777" w:rsidR="00F20E1B" w:rsidRDefault="00F20E1B" w:rsidP="00BF028C">
            <w:pPr>
              <w:spacing w:line="520" w:lineRule="exact"/>
              <w:jc w:val="center"/>
              <w:rPr>
                <w:rFonts w:ascii="Times New Roman" w:eastAsia="仿宋_GB2312" w:hAnsi="Times New Roman" w:cs="Times New Roman"/>
                <w:sz w:val="28"/>
                <w:szCs w:val="28"/>
              </w:rPr>
            </w:pPr>
          </w:p>
        </w:tc>
        <w:tc>
          <w:tcPr>
            <w:tcW w:w="3351" w:type="dxa"/>
            <w:vAlign w:val="center"/>
          </w:tcPr>
          <w:p w14:paraId="6AD5AE96"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免疫印迹法</w:t>
            </w:r>
          </w:p>
        </w:tc>
        <w:tc>
          <w:tcPr>
            <w:tcW w:w="2845" w:type="dxa"/>
            <w:vAlign w:val="center"/>
          </w:tcPr>
          <w:p w14:paraId="2297A2C3"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分子量</w:t>
            </w:r>
            <w:r>
              <w:rPr>
                <w:rFonts w:ascii="Times New Roman" w:eastAsia="仿宋_GB2312" w:hAnsi="Times New Roman" w:cs="Times New Roman"/>
                <w:sz w:val="28"/>
                <w:szCs w:val="28"/>
              </w:rPr>
              <w:t>符合预期</w:t>
            </w:r>
          </w:p>
        </w:tc>
      </w:tr>
      <w:tr w:rsidR="00F20E1B" w14:paraId="00DD7C92" w14:textId="77777777" w:rsidTr="00BF028C">
        <w:tc>
          <w:tcPr>
            <w:tcW w:w="2518" w:type="dxa"/>
            <w:vMerge/>
            <w:vAlign w:val="center"/>
          </w:tcPr>
          <w:p w14:paraId="2C09A2D7" w14:textId="77777777" w:rsidR="00F20E1B" w:rsidRDefault="00F20E1B" w:rsidP="00BF028C">
            <w:pPr>
              <w:spacing w:line="520" w:lineRule="exact"/>
              <w:jc w:val="center"/>
              <w:rPr>
                <w:rFonts w:ascii="Times New Roman" w:eastAsia="仿宋_GB2312" w:hAnsi="Times New Roman" w:cs="Times New Roman"/>
                <w:sz w:val="28"/>
                <w:szCs w:val="28"/>
              </w:rPr>
            </w:pPr>
          </w:p>
        </w:tc>
        <w:tc>
          <w:tcPr>
            <w:tcW w:w="3351" w:type="dxa"/>
            <w:vAlign w:val="center"/>
          </w:tcPr>
          <w:p w14:paraId="08B8E342"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水解氨基酸测定</w:t>
            </w:r>
          </w:p>
        </w:tc>
        <w:tc>
          <w:tcPr>
            <w:tcW w:w="2845" w:type="dxa"/>
            <w:vAlign w:val="center"/>
          </w:tcPr>
          <w:p w14:paraId="37F3039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氨基酸组成正确</w:t>
            </w:r>
          </w:p>
        </w:tc>
      </w:tr>
      <w:tr w:rsidR="00F20E1B" w14:paraId="6EA16D2C" w14:textId="77777777" w:rsidTr="00BF028C">
        <w:tc>
          <w:tcPr>
            <w:tcW w:w="2518" w:type="dxa"/>
            <w:vAlign w:val="center"/>
          </w:tcPr>
          <w:p w14:paraId="4C008FCE"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表达筛选</w:t>
            </w:r>
          </w:p>
        </w:tc>
        <w:tc>
          <w:tcPr>
            <w:tcW w:w="3351" w:type="dxa"/>
            <w:vAlign w:val="center"/>
          </w:tcPr>
          <w:p w14:paraId="4C99B67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S</w:t>
            </w:r>
            <w:r>
              <w:rPr>
                <w:rFonts w:ascii="Times New Roman" w:eastAsia="仿宋_GB2312" w:hAnsi="Times New Roman" w:cs="Times New Roman"/>
                <w:sz w:val="28"/>
                <w:szCs w:val="28"/>
              </w:rPr>
              <w:t>DS-PAGE/Western bloting</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酶联免疫吸附法</w:t>
            </w:r>
            <w:r>
              <w:rPr>
                <w:rFonts w:ascii="Times New Roman" w:eastAsia="仿宋_GB2312" w:hAnsi="Times New Roman" w:cs="Times New Roman" w:hint="eastAsia"/>
                <w:sz w:val="28"/>
                <w:szCs w:val="28"/>
              </w:rPr>
              <w:t>（酵母除外）</w:t>
            </w:r>
          </w:p>
        </w:tc>
        <w:tc>
          <w:tcPr>
            <w:tcW w:w="2845" w:type="dxa"/>
            <w:vAlign w:val="center"/>
          </w:tcPr>
          <w:p w14:paraId="3FF9D65C"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按表达量前</w:t>
            </w:r>
            <w:r>
              <w:rPr>
                <w:rFonts w:ascii="Times New Roman" w:eastAsia="仿宋_GB2312" w:hAnsi="Times New Roman" w:cs="Times New Roman"/>
                <w:sz w:val="28"/>
                <w:szCs w:val="28"/>
              </w:rPr>
              <w:t>5%</w:t>
            </w:r>
            <w:r>
              <w:rPr>
                <w:rFonts w:ascii="Times New Roman" w:eastAsia="仿宋_GB2312" w:hAnsi="Times New Roman" w:cs="Times New Roman"/>
                <w:sz w:val="28"/>
                <w:szCs w:val="28"/>
              </w:rPr>
              <w:t>选择</w:t>
            </w:r>
          </w:p>
        </w:tc>
      </w:tr>
    </w:tbl>
    <w:p w14:paraId="41E62473" w14:textId="77777777" w:rsidR="00F20E1B" w:rsidRDefault="00F20E1B" w:rsidP="00F20E1B">
      <w:pPr>
        <w:pStyle w:val="a1"/>
        <w:spacing w:line="520" w:lineRule="exact"/>
        <w:ind w:leftChars="0" w:left="0" w:firstLineChars="200" w:firstLine="640"/>
        <w:rPr>
          <w:rFonts w:ascii="Times New Roman" w:eastAsia="仿宋_GB2312" w:hAnsi="Times New Roman" w:cs="Times New Roman"/>
          <w:sz w:val="32"/>
          <w:szCs w:val="32"/>
        </w:rPr>
      </w:pPr>
    </w:p>
    <w:p w14:paraId="3511262C"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48" w:name="_Toc118298986"/>
      <w:r>
        <w:rPr>
          <w:rFonts w:ascii="Times New Roman" w:eastAsia="仿宋_GB2312" w:hAnsi="Times New Roman" w:cs="Times New Roman"/>
          <w:sz w:val="32"/>
          <w:szCs w:val="32"/>
        </w:rPr>
        <w:t>1.3.1</w:t>
      </w:r>
      <w:r>
        <w:rPr>
          <w:rFonts w:ascii="Times New Roman" w:eastAsia="仿宋_GB2312" w:hAnsi="Times New Roman" w:cs="Times New Roman"/>
          <w:sz w:val="32"/>
          <w:szCs w:val="32"/>
        </w:rPr>
        <w:t>目的基因来源及插入目的基因的设计</w:t>
      </w:r>
      <w:bookmarkEnd w:id="1148"/>
    </w:p>
    <w:p w14:paraId="6DF22A0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需包括最初获得目的基因序列的来源和背景方面的资料，包括但不限于用于制备目的基因</w:t>
      </w:r>
      <w:r>
        <w:rPr>
          <w:rFonts w:ascii="Times New Roman" w:eastAsia="仿宋_GB2312" w:hAnsi="Times New Roman" w:cs="Times New Roman"/>
          <w:sz w:val="32"/>
          <w:szCs w:val="32"/>
        </w:rPr>
        <w:t>cDNA</w:t>
      </w:r>
      <w:r>
        <w:rPr>
          <w:rFonts w:ascii="Times New Roman" w:eastAsia="仿宋_GB2312" w:hAnsi="Times New Roman" w:cs="Times New Roman"/>
          <w:sz w:val="32"/>
          <w:szCs w:val="32"/>
        </w:rPr>
        <w:t>的方法，以及必要的初步序列分析。</w:t>
      </w:r>
      <w:r>
        <w:rPr>
          <w:rFonts w:ascii="Times New Roman" w:eastAsia="仿宋_GB2312" w:hAnsi="Times New Roman" w:cs="Times New Roman"/>
          <w:sz w:val="32"/>
          <w:szCs w:val="32"/>
        </w:rPr>
        <w:t xml:space="preserve"> </w:t>
      </w:r>
    </w:p>
    <w:p w14:paraId="7E42D8F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宜根据人胶原蛋白的氨基酸序列和学术研究，检索公开数据库，如美国国立生物技术信息中心（</w:t>
      </w:r>
      <w:r>
        <w:rPr>
          <w:rFonts w:ascii="Times New Roman" w:eastAsia="仿宋_GB2312" w:hAnsi="Times New Roman" w:cs="Times New Roman"/>
          <w:sz w:val="32"/>
          <w:szCs w:val="32"/>
        </w:rPr>
        <w:t>National Center for Biotechnology Information</w:t>
      </w:r>
      <w:r>
        <w:rPr>
          <w:rFonts w:ascii="Times New Roman" w:eastAsia="仿宋_GB2312" w:hAnsi="Times New Roman" w:cs="Times New Roman"/>
          <w:sz w:val="32"/>
          <w:szCs w:val="32"/>
        </w:rPr>
        <w:t>，简称</w:t>
      </w:r>
      <w:r>
        <w:rPr>
          <w:rFonts w:ascii="Times New Roman" w:eastAsia="仿宋_GB2312" w:hAnsi="Times New Roman" w:cs="Times New Roman"/>
          <w:sz w:val="32"/>
          <w:szCs w:val="32"/>
        </w:rPr>
        <w:t>NCBI</w:t>
      </w:r>
      <w:r>
        <w:rPr>
          <w:rFonts w:ascii="Times New Roman" w:eastAsia="仿宋_GB2312" w:hAnsi="Times New Roman" w:cs="Times New Roman"/>
          <w:sz w:val="32"/>
          <w:szCs w:val="32"/>
        </w:rPr>
        <w:t>）生物信息数据库（</w:t>
      </w:r>
      <w:r>
        <w:rPr>
          <w:rFonts w:ascii="Times New Roman" w:eastAsia="仿宋_GB2312" w:hAnsi="Times New Roman" w:cs="Times New Roman"/>
          <w:sz w:val="32"/>
          <w:szCs w:val="32"/>
        </w:rPr>
        <w:t>http://www.ncbi.nlm.nih.gov/</w:t>
      </w:r>
      <w:r>
        <w:rPr>
          <w:rFonts w:ascii="Times New Roman" w:eastAsia="仿宋_GB2312" w:hAnsi="Times New Roman" w:cs="Times New Roman"/>
          <w:sz w:val="32"/>
          <w:szCs w:val="32"/>
        </w:rPr>
        <w:t>）、公开发表的蛋白质学术论文等，获取人胶原蛋白的氨基酸序列及其对应的核酸序列，包括全长人氨基酸序列、片段人氨基酸序列、片段重复人氨基酸序列等。衡量目的基因质量时至少应考量下述项目：</w:t>
      </w:r>
    </w:p>
    <w:p w14:paraId="658A126F" w14:textId="77777777" w:rsidR="00F20E1B" w:rsidRDefault="00F20E1B" w:rsidP="00F20E1B">
      <w:pPr>
        <w:pStyle w:val="a1"/>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4 </w:t>
      </w:r>
      <w:r>
        <w:rPr>
          <w:rFonts w:ascii="Times New Roman" w:eastAsia="黑体" w:hAnsi="Times New Roman" w:cs="Times New Roman"/>
          <w:sz w:val="28"/>
          <w:szCs w:val="28"/>
        </w:rPr>
        <w:t>衡量目的基因质量的项目</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263"/>
        <w:gridCol w:w="3500"/>
      </w:tblGrid>
      <w:tr w:rsidR="00F20E1B" w14:paraId="2A522E4B" w14:textId="77777777" w:rsidTr="00BF028C">
        <w:trPr>
          <w:jc w:val="center"/>
        </w:trPr>
        <w:tc>
          <w:tcPr>
            <w:tcW w:w="1033" w:type="pct"/>
            <w:vAlign w:val="center"/>
          </w:tcPr>
          <w:p w14:paraId="7CF207A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检查项目</w:t>
            </w:r>
          </w:p>
        </w:tc>
        <w:tc>
          <w:tcPr>
            <w:tcW w:w="1914" w:type="pct"/>
            <w:vAlign w:val="center"/>
          </w:tcPr>
          <w:p w14:paraId="6C1CC85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检测方法</w:t>
            </w:r>
          </w:p>
        </w:tc>
        <w:tc>
          <w:tcPr>
            <w:tcW w:w="2053" w:type="pct"/>
            <w:vAlign w:val="center"/>
          </w:tcPr>
          <w:p w14:paraId="273EABD1"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质量标准</w:t>
            </w:r>
          </w:p>
        </w:tc>
      </w:tr>
      <w:tr w:rsidR="00F20E1B" w14:paraId="0D588480" w14:textId="77777777" w:rsidTr="00BF028C">
        <w:trPr>
          <w:jc w:val="center"/>
        </w:trPr>
        <w:tc>
          <w:tcPr>
            <w:tcW w:w="1033" w:type="pct"/>
            <w:vAlign w:val="center"/>
          </w:tcPr>
          <w:p w14:paraId="2DC6C405"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目标序列</w:t>
            </w:r>
          </w:p>
        </w:tc>
        <w:tc>
          <w:tcPr>
            <w:tcW w:w="1914" w:type="pct"/>
            <w:vAlign w:val="center"/>
          </w:tcPr>
          <w:p w14:paraId="3D5AC65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DNA</w:t>
            </w:r>
            <w:r>
              <w:rPr>
                <w:rFonts w:ascii="Times New Roman" w:eastAsia="仿宋_GB2312" w:hAnsi="Times New Roman" w:cs="Times New Roman"/>
                <w:sz w:val="28"/>
                <w:szCs w:val="28"/>
              </w:rPr>
              <w:t>测序</w:t>
            </w:r>
          </w:p>
        </w:tc>
        <w:tc>
          <w:tcPr>
            <w:tcW w:w="2053" w:type="pct"/>
            <w:vAlign w:val="center"/>
          </w:tcPr>
          <w:p w14:paraId="5E76C46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测序结果正确</w:t>
            </w:r>
          </w:p>
        </w:tc>
      </w:tr>
      <w:tr w:rsidR="00F20E1B" w14:paraId="0B200E85" w14:textId="77777777" w:rsidTr="00BF028C">
        <w:trPr>
          <w:jc w:val="center"/>
        </w:trPr>
        <w:tc>
          <w:tcPr>
            <w:tcW w:w="1033" w:type="pct"/>
            <w:vAlign w:val="center"/>
          </w:tcPr>
          <w:p w14:paraId="17DFCC03"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限制性酶切</w:t>
            </w:r>
          </w:p>
        </w:tc>
        <w:tc>
          <w:tcPr>
            <w:tcW w:w="1914" w:type="pct"/>
            <w:vAlign w:val="center"/>
          </w:tcPr>
          <w:p w14:paraId="7FA25AB0"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核酸电泳法</w:t>
            </w:r>
          </w:p>
        </w:tc>
        <w:tc>
          <w:tcPr>
            <w:tcW w:w="2053" w:type="pct"/>
            <w:vAlign w:val="center"/>
          </w:tcPr>
          <w:p w14:paraId="127E1CB5"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插入片段大小正确，无预期外片段</w:t>
            </w:r>
          </w:p>
        </w:tc>
      </w:tr>
      <w:tr w:rsidR="00F20E1B" w14:paraId="6A300A23" w14:textId="77777777" w:rsidTr="00BF028C">
        <w:trPr>
          <w:jc w:val="center"/>
        </w:trPr>
        <w:tc>
          <w:tcPr>
            <w:tcW w:w="1033" w:type="pct"/>
            <w:vAlign w:val="center"/>
          </w:tcPr>
          <w:p w14:paraId="67D9B1B9"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DNA</w:t>
            </w:r>
            <w:r>
              <w:rPr>
                <w:rFonts w:ascii="Times New Roman" w:eastAsia="仿宋_GB2312" w:hAnsi="Times New Roman" w:cs="Times New Roman"/>
                <w:sz w:val="28"/>
                <w:szCs w:val="28"/>
              </w:rPr>
              <w:t>质量</w:t>
            </w:r>
          </w:p>
        </w:tc>
        <w:tc>
          <w:tcPr>
            <w:tcW w:w="1914" w:type="pct"/>
            <w:vAlign w:val="center"/>
          </w:tcPr>
          <w:p w14:paraId="2583E2E5"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紫外分光光度扫描</w:t>
            </w:r>
          </w:p>
        </w:tc>
        <w:tc>
          <w:tcPr>
            <w:tcW w:w="2053" w:type="pct"/>
            <w:vAlign w:val="center"/>
          </w:tcPr>
          <w:p w14:paraId="4FA4391E"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OD260/280=1.8~2.0</w:t>
            </w:r>
          </w:p>
        </w:tc>
      </w:tr>
    </w:tbl>
    <w:p w14:paraId="5001E38A"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p>
    <w:p w14:paraId="7383048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根据所选的核酸序列及质粒进行插入目的基因的设计，明确插入位点、标签序列或分泌表达信号肽。将目的插入序列翻译成氨基酸序列，需提供该序列与人胶原蛋白氨基酸序列比对图。带有非胶原蛋白设计与修饰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标签、抗性等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，则需提供具体序列及修饰位点，最终产物的胶原蛋白序列与修饰应符合相关行业标准的要求。</w:t>
      </w:r>
    </w:p>
    <w:p w14:paraId="04511E90"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49" w:name="_Toc118298987"/>
      <w:r>
        <w:rPr>
          <w:rFonts w:ascii="Times New Roman" w:eastAsia="仿宋_GB2312" w:hAnsi="Times New Roman" w:cs="Times New Roman"/>
          <w:sz w:val="32"/>
          <w:szCs w:val="32"/>
        </w:rPr>
        <w:t>1.3.2</w:t>
      </w:r>
      <w:r>
        <w:rPr>
          <w:rFonts w:ascii="Times New Roman" w:eastAsia="仿宋_GB2312" w:hAnsi="Times New Roman" w:cs="Times New Roman"/>
          <w:sz w:val="32"/>
          <w:szCs w:val="32"/>
        </w:rPr>
        <w:t>载体选择与重组质粒的构建</w:t>
      </w:r>
      <w:bookmarkEnd w:id="1149"/>
    </w:p>
    <w:p w14:paraId="370E2F4A" w14:textId="77777777" w:rsidR="00F20E1B" w:rsidRDefault="00F20E1B" w:rsidP="00F20E1B">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需详述表达载体构建或改建的过程，对构建成功的表达载体应进行必要的鉴定，并提供相关试验资料如构建中所用位点的酶切图谱等。</w:t>
      </w:r>
      <w:r>
        <w:rPr>
          <w:rFonts w:ascii="Times New Roman" w:eastAsia="仿宋_GB2312" w:hAnsi="Times New Roman" w:cs="Times New Roman"/>
          <w:kern w:val="0"/>
          <w:sz w:val="32"/>
          <w:szCs w:val="32"/>
        </w:rPr>
        <w:t>根据设计的重组人源化胶原蛋白氨基酸导入宿主细胞的不同，选择合适的质粒以满足目标克隆的构建，并提供质粒的完整序列信息。举例如下：</w:t>
      </w:r>
    </w:p>
    <w:p w14:paraId="3638ED78" w14:textId="77777777" w:rsidR="00F20E1B" w:rsidRDefault="00F20E1B" w:rsidP="00F20E1B">
      <w:pPr>
        <w:pStyle w:val="a1"/>
        <w:jc w:val="center"/>
      </w:pPr>
      <w:r>
        <w:rPr>
          <w:rFonts w:hint="eastAsia"/>
          <w:noProof/>
        </w:rPr>
        <w:lastRenderedPageBreak/>
        <w:drawing>
          <wp:inline distT="0" distB="0" distL="0" distR="0" wp14:anchorId="2D863CFC" wp14:editId="11DE638B">
            <wp:extent cx="2156460" cy="21717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62299" cy="2177009"/>
                    </a:xfrm>
                    <a:prstGeom prst="rect">
                      <a:avLst/>
                    </a:prstGeom>
                    <a:noFill/>
                    <a:ln>
                      <a:noFill/>
                    </a:ln>
                  </pic:spPr>
                </pic:pic>
              </a:graphicData>
            </a:graphic>
          </wp:inline>
        </w:drawing>
      </w:r>
      <w:r>
        <w:rPr>
          <w:rFonts w:hint="eastAsia"/>
          <w:noProof/>
        </w:rPr>
        <w:drawing>
          <wp:inline distT="0" distB="0" distL="0" distR="0" wp14:anchorId="1B9D96BA" wp14:editId="07AC1F23">
            <wp:extent cx="2063115" cy="21767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70155" cy="2184459"/>
                    </a:xfrm>
                    <a:prstGeom prst="rect">
                      <a:avLst/>
                    </a:prstGeom>
                    <a:noFill/>
                    <a:ln>
                      <a:noFill/>
                    </a:ln>
                  </pic:spPr>
                </pic:pic>
              </a:graphicData>
            </a:graphic>
          </wp:inline>
        </w:drawing>
      </w:r>
    </w:p>
    <w:p w14:paraId="40FAE84A" w14:textId="77777777" w:rsidR="00F20E1B" w:rsidRDefault="00F20E1B" w:rsidP="00F20E1B">
      <w:pPr>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 xml:space="preserve">   </w:t>
      </w:r>
      <w:r>
        <w:rPr>
          <w:rFonts w:ascii="Times New Roman" w:eastAsia="黑体" w:hAnsi="Times New Roman" w:cs="Times New Roman"/>
          <w:sz w:val="28"/>
          <w:szCs w:val="28"/>
        </w:rPr>
        <w:t>图</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完整的质粒信息示例</w:t>
      </w:r>
    </w:p>
    <w:p w14:paraId="74AE349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p>
    <w:p w14:paraId="5A24C9F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提供有关表达载体详细资料，包括基因的来源、克隆和鉴定，表达载体的构建、结构和遗传特性。需说明表达载体组成成分以及主要元件的来源和功能，包括插入基因和侧翼区序列、复制子、启动子、增强子、抗性标记以及主要的酶切位点等。提供至少包括构建中所用位点的酶切图谱。</w:t>
      </w:r>
    </w:p>
    <w:p w14:paraId="5065EB37" w14:textId="77777777" w:rsidR="00F20E1B" w:rsidRDefault="00F20E1B" w:rsidP="00F20E1B">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将目的基因序列插入质粒中时，为保证重组质粒构建正确，应提供重组质粒至少含目的插入基因完整开放读码框的测序报告，并提供测序序列与设计序列的比对结果，二者应一致。需提供插入基因和表达载体两侧端控制区的核苷酸序列。所有与表达有关的序列均应详细叙述。主要质量控制参数</w:t>
      </w:r>
      <w:r>
        <w:rPr>
          <w:rFonts w:ascii="Times New Roman" w:eastAsia="仿宋_GB2312" w:hAnsi="Times New Roman" w:cs="Times New Roman"/>
          <w:kern w:val="0"/>
          <w:sz w:val="32"/>
          <w:szCs w:val="32"/>
        </w:rPr>
        <w:t>举例：</w:t>
      </w:r>
    </w:p>
    <w:p w14:paraId="70FD83EE" w14:textId="77777777" w:rsidR="00F20E1B" w:rsidRDefault="00F20E1B" w:rsidP="00F20E1B">
      <w:pPr>
        <w:pStyle w:val="a1"/>
      </w:pPr>
    </w:p>
    <w:p w14:paraId="48BB3154" w14:textId="77777777" w:rsidR="00F20E1B" w:rsidRDefault="00F20E1B" w:rsidP="00F20E1B">
      <w:pPr>
        <w:spacing w:line="520" w:lineRule="exact"/>
        <w:ind w:firstLineChars="200" w:firstLine="560"/>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5 </w:t>
      </w:r>
      <w:r>
        <w:rPr>
          <w:rFonts w:ascii="Times New Roman" w:eastAsia="黑体" w:hAnsi="Times New Roman" w:cs="Times New Roman"/>
          <w:sz w:val="28"/>
          <w:szCs w:val="28"/>
        </w:rPr>
        <w:t>目的基因序列插入质粒过程中的主要质控参数举例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2458"/>
        <w:gridCol w:w="3270"/>
      </w:tblGrid>
      <w:tr w:rsidR="00F20E1B" w14:paraId="31353A40" w14:textId="77777777" w:rsidTr="00BF028C">
        <w:tc>
          <w:tcPr>
            <w:tcW w:w="2664" w:type="dxa"/>
            <w:vAlign w:val="center"/>
          </w:tcPr>
          <w:p w14:paraId="506044B2"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检查项目</w:t>
            </w:r>
          </w:p>
        </w:tc>
        <w:tc>
          <w:tcPr>
            <w:tcW w:w="2547" w:type="dxa"/>
            <w:vAlign w:val="center"/>
          </w:tcPr>
          <w:p w14:paraId="1838510F"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检测方法</w:t>
            </w:r>
          </w:p>
        </w:tc>
        <w:tc>
          <w:tcPr>
            <w:tcW w:w="3309" w:type="dxa"/>
            <w:vAlign w:val="center"/>
          </w:tcPr>
          <w:p w14:paraId="438A719C"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质量标准</w:t>
            </w:r>
          </w:p>
        </w:tc>
      </w:tr>
      <w:tr w:rsidR="00F20E1B" w14:paraId="21447D69" w14:textId="77777777" w:rsidTr="00BF028C">
        <w:tc>
          <w:tcPr>
            <w:tcW w:w="2664" w:type="dxa"/>
            <w:vAlign w:val="center"/>
          </w:tcPr>
          <w:p w14:paraId="6208752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限制性酶切验证</w:t>
            </w:r>
          </w:p>
        </w:tc>
        <w:tc>
          <w:tcPr>
            <w:tcW w:w="2547" w:type="dxa"/>
            <w:vAlign w:val="center"/>
          </w:tcPr>
          <w:p w14:paraId="79833314"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核酸电泳法</w:t>
            </w:r>
          </w:p>
        </w:tc>
        <w:tc>
          <w:tcPr>
            <w:tcW w:w="3309" w:type="dxa"/>
            <w:vAlign w:val="center"/>
          </w:tcPr>
          <w:p w14:paraId="394B8545"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插入片段大小正确，无预期外片段</w:t>
            </w:r>
          </w:p>
        </w:tc>
      </w:tr>
      <w:tr w:rsidR="00F20E1B" w14:paraId="3CD43AF7" w14:textId="77777777" w:rsidTr="00BF028C">
        <w:tc>
          <w:tcPr>
            <w:tcW w:w="2664" w:type="dxa"/>
            <w:vAlign w:val="center"/>
          </w:tcPr>
          <w:p w14:paraId="5B8BFAB6"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目标序列</w:t>
            </w:r>
          </w:p>
        </w:tc>
        <w:tc>
          <w:tcPr>
            <w:tcW w:w="2547" w:type="dxa"/>
            <w:vAlign w:val="center"/>
          </w:tcPr>
          <w:p w14:paraId="241E0298"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DNA</w:t>
            </w:r>
            <w:r>
              <w:rPr>
                <w:rFonts w:ascii="Times New Roman" w:eastAsia="仿宋_GB2312" w:hAnsi="Times New Roman" w:cs="Times New Roman"/>
                <w:sz w:val="28"/>
                <w:szCs w:val="28"/>
              </w:rPr>
              <w:t>测序</w:t>
            </w:r>
          </w:p>
        </w:tc>
        <w:tc>
          <w:tcPr>
            <w:tcW w:w="3309" w:type="dxa"/>
            <w:vAlign w:val="center"/>
          </w:tcPr>
          <w:p w14:paraId="2E5638F8"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测序结果正确</w:t>
            </w:r>
          </w:p>
        </w:tc>
      </w:tr>
      <w:tr w:rsidR="00F20E1B" w14:paraId="339E5B76" w14:textId="77777777" w:rsidTr="00BF028C">
        <w:tc>
          <w:tcPr>
            <w:tcW w:w="2664" w:type="dxa"/>
            <w:vAlign w:val="center"/>
          </w:tcPr>
          <w:p w14:paraId="34E6EA67"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DNA</w:t>
            </w:r>
            <w:r>
              <w:rPr>
                <w:rFonts w:ascii="Times New Roman" w:eastAsia="仿宋_GB2312" w:hAnsi="Times New Roman" w:cs="Times New Roman"/>
                <w:sz w:val="28"/>
                <w:szCs w:val="28"/>
              </w:rPr>
              <w:t>质量</w:t>
            </w:r>
          </w:p>
        </w:tc>
        <w:tc>
          <w:tcPr>
            <w:tcW w:w="2547" w:type="dxa"/>
            <w:vAlign w:val="center"/>
          </w:tcPr>
          <w:p w14:paraId="19BB2EA3"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紫外分光光度扫描</w:t>
            </w:r>
          </w:p>
        </w:tc>
        <w:tc>
          <w:tcPr>
            <w:tcW w:w="3309" w:type="dxa"/>
            <w:vAlign w:val="center"/>
          </w:tcPr>
          <w:p w14:paraId="3CF8E60D" w14:textId="77777777" w:rsidR="00F20E1B" w:rsidRDefault="00F20E1B" w:rsidP="00BF028C">
            <w:pPr>
              <w:spacing w:line="52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OD260/280=1.8~2.0</w:t>
            </w:r>
          </w:p>
        </w:tc>
      </w:tr>
    </w:tbl>
    <w:p w14:paraId="5D27966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p>
    <w:p w14:paraId="52C2EEA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应明确质粒与菌种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细胞的储存条件，例如质粒溶液为</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，甘油菌为</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，等等。</w:t>
      </w:r>
    </w:p>
    <w:p w14:paraId="1B4942D9"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50" w:name="_Toc118298988"/>
      <w:r>
        <w:rPr>
          <w:rFonts w:ascii="Times New Roman" w:eastAsia="仿宋_GB2312" w:hAnsi="Times New Roman" w:cs="Times New Roman"/>
          <w:sz w:val="32"/>
          <w:szCs w:val="32"/>
        </w:rPr>
        <w:t>1.3.3</w:t>
      </w:r>
      <w:r>
        <w:rPr>
          <w:rFonts w:ascii="Times New Roman" w:eastAsia="仿宋_GB2312" w:hAnsi="Times New Roman" w:cs="Times New Roman"/>
          <w:sz w:val="32"/>
          <w:szCs w:val="32"/>
        </w:rPr>
        <w:t>载体引入宿主细胞的方法及重组工程细胞的筛选</w:t>
      </w:r>
      <w:bookmarkEnd w:id="1150"/>
      <w:r>
        <w:rPr>
          <w:rFonts w:ascii="Times New Roman" w:eastAsia="仿宋_GB2312" w:hAnsi="Times New Roman" w:cs="Times New Roman"/>
          <w:sz w:val="32"/>
          <w:szCs w:val="32"/>
        </w:rPr>
        <w:t xml:space="preserve"> </w:t>
      </w:r>
    </w:p>
    <w:p w14:paraId="649646B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详细说明载体引入宿主细胞的方法和操作过程，重组工程细胞的筛选原理、条件和标准，以及采用何种方法增加基因拷贝数等。阐述外源基因引入宿主细胞后产生的变化，符合筛选标准的候选细胞可能为多个细胞株，但拟用于建库的细胞株应为经研究比较后确定的单一细胞克隆。</w:t>
      </w:r>
      <w:r>
        <w:rPr>
          <w:rFonts w:ascii="Times New Roman" w:eastAsia="仿宋_GB2312" w:hAnsi="Times New Roman" w:cs="Times New Roman"/>
          <w:sz w:val="32"/>
          <w:szCs w:val="32"/>
        </w:rPr>
        <w:t xml:space="preserve"> </w:t>
      </w:r>
    </w:p>
    <w:p w14:paraId="7422AF31"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1" w:name="_Toc118298989"/>
      <w:r>
        <w:rPr>
          <w:rFonts w:ascii="Times New Roman" w:eastAsia="仿宋_GB2312" w:hAnsi="Times New Roman" w:cs="Times New Roman"/>
          <w:b w:val="0"/>
          <w:sz w:val="32"/>
          <w:szCs w:val="32"/>
        </w:rPr>
        <w:t xml:space="preserve">1.3.3.1 </w:t>
      </w:r>
      <w:r>
        <w:rPr>
          <w:rFonts w:ascii="Times New Roman" w:eastAsia="仿宋_GB2312" w:hAnsi="Times New Roman" w:cs="Times New Roman"/>
          <w:b w:val="0"/>
          <w:sz w:val="32"/>
          <w:szCs w:val="32"/>
        </w:rPr>
        <w:t>载体引入宿主细胞的方法</w:t>
      </w:r>
      <w:bookmarkEnd w:id="1151"/>
    </w:p>
    <w:p w14:paraId="71A7E22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非病毒载体类基因修饰系统可通过物理、化学或生物转导方式递送进入细胞。进入目的细胞后，通过转录、剪切、翻译等方式发挥作用。</w:t>
      </w:r>
    </w:p>
    <w:p w14:paraId="509C265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因修饰系统能将外源基因等导入细胞，通过添加、替代、补偿、阻断、修正特定基因从而获得生产用种子细胞，可能的作用机制包括细胞内表达功能性目的基因，或采用基因敲除、修复、插入等核苷酸编辑方式改变特定的基因序列等。</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类基因修饰系统，开发过程中需关注基因转导效率、脱靶效率、插入突变情况、目的基因在目的细胞中的整合位点及拷贝数等。采用的设计策略包括基因密码子优化、染色体同源序列的改构、富含</w:t>
      </w:r>
      <w:r>
        <w:rPr>
          <w:rFonts w:ascii="Times New Roman" w:eastAsia="仿宋_GB2312" w:hAnsi="Times New Roman" w:cs="Times New Roman"/>
          <w:sz w:val="32"/>
          <w:szCs w:val="32"/>
        </w:rPr>
        <w:t>GC</w:t>
      </w:r>
      <w:r>
        <w:rPr>
          <w:rFonts w:ascii="Times New Roman" w:eastAsia="仿宋_GB2312" w:hAnsi="Times New Roman" w:cs="Times New Roman"/>
          <w:sz w:val="32"/>
          <w:szCs w:val="32"/>
        </w:rPr>
        <w:t>区序列的改构、信号肽以及合理启动子的应用等。目前体外基因修饰常用的环状</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类基因修饰系统，包括质粒、微环（</w:t>
      </w:r>
      <w:r>
        <w:rPr>
          <w:rFonts w:ascii="Times New Roman" w:eastAsia="仿宋_GB2312" w:hAnsi="Times New Roman" w:cs="Times New Roman"/>
          <w:sz w:val="32"/>
          <w:szCs w:val="32"/>
        </w:rPr>
        <w:t>Minicircle</w:t>
      </w:r>
      <w:r>
        <w:rPr>
          <w:rFonts w:ascii="Times New Roman" w:eastAsia="仿宋_GB2312" w:hAnsi="Times New Roman" w:cs="Times New Roman"/>
          <w:sz w:val="32"/>
          <w:szCs w:val="32"/>
        </w:rPr>
        <w:t>）</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、纳米质粒（</w:t>
      </w:r>
      <w:r>
        <w:rPr>
          <w:rFonts w:ascii="Times New Roman" w:eastAsia="仿宋_GB2312" w:hAnsi="Times New Roman" w:cs="Times New Roman"/>
          <w:sz w:val="32"/>
          <w:szCs w:val="32"/>
        </w:rPr>
        <w:t>Nanoplasmid</w:t>
      </w:r>
      <w:r>
        <w:rPr>
          <w:rFonts w:ascii="Times New Roman" w:eastAsia="仿宋_GB2312" w:hAnsi="Times New Roman" w:cs="Times New Roman"/>
          <w:sz w:val="32"/>
          <w:szCs w:val="32"/>
        </w:rPr>
        <w:t>）等不同类型。不同类型环状</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的选择可重点关注高纯度载体制备的难易程度、载体重组、细菌来源</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序列在目标细胞内的表观遗传修饰对目的基因表达</w:t>
      </w:r>
      <w:r>
        <w:rPr>
          <w:rFonts w:ascii="Times New Roman" w:eastAsia="仿宋_GB2312" w:hAnsi="Times New Roman" w:cs="Times New Roman"/>
          <w:sz w:val="32"/>
          <w:szCs w:val="32"/>
        </w:rPr>
        <w:lastRenderedPageBreak/>
        <w:t>的影响等。此外，环状</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类基因修饰系统内可引入特殊的</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片段，形成游离型载体，此类载体需关注种属、细胞类型对游离型载体功能的影响，载体重组、顺式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反式作用</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片段对目的基因表达的影响等。</w:t>
      </w:r>
    </w:p>
    <w:p w14:paraId="1178DE8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若采用基因编辑系统，建议对靶向序列、目的基因序列和基因编辑用酶等的序列和比例等进行优化。通过特定细胞中的基因编辑效果确认基因编辑用酶和靶向序列的特异性，筛选最佳的靶向结合序列（如</w:t>
      </w:r>
      <w:r>
        <w:rPr>
          <w:rFonts w:ascii="Times New Roman" w:eastAsia="仿宋_GB2312" w:hAnsi="Times New Roman" w:cs="Times New Roman"/>
          <w:sz w:val="32"/>
          <w:szCs w:val="32"/>
        </w:rPr>
        <w:t>sgRNA</w:t>
      </w:r>
      <w:r>
        <w:rPr>
          <w:rFonts w:ascii="Times New Roman" w:eastAsia="仿宋_GB2312" w:hAnsi="Times New Roman" w:cs="Times New Roman"/>
          <w:sz w:val="32"/>
          <w:szCs w:val="32"/>
        </w:rPr>
        <w:t>序列），并采取措施降低基因脱靶、插入突变的概率及对目的细胞基因组稳定性的不良影响。对于转座子系统，建议考虑整合位点的特异性和分布趋势，以及转座子在基因组中的移动（</w:t>
      </w:r>
      <w:r>
        <w:rPr>
          <w:rFonts w:ascii="Times New Roman" w:eastAsia="仿宋_GB2312" w:hAnsi="Times New Roman" w:cs="Times New Roman"/>
          <w:sz w:val="32"/>
          <w:szCs w:val="32"/>
        </w:rPr>
        <w:t>genomicmobilization</w:t>
      </w:r>
      <w:r>
        <w:rPr>
          <w:rFonts w:ascii="Times New Roman" w:eastAsia="仿宋_GB2312" w:hAnsi="Times New Roman" w:cs="Times New Roman"/>
          <w:sz w:val="32"/>
          <w:szCs w:val="32"/>
        </w:rPr>
        <w:t>）等特征，进行转座子序列、转座酶及相应调控元件的优化，合理设置转座序列</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转座酶的比例、序列分布等。</w:t>
      </w:r>
    </w:p>
    <w:p w14:paraId="64FCEC74"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2" w:name="_Toc118298990"/>
      <w:r>
        <w:rPr>
          <w:rFonts w:ascii="Times New Roman" w:eastAsia="仿宋_GB2312" w:hAnsi="Times New Roman" w:cs="Times New Roman"/>
          <w:b w:val="0"/>
          <w:sz w:val="32"/>
          <w:szCs w:val="32"/>
        </w:rPr>
        <w:t xml:space="preserve">1.3.3.2 </w:t>
      </w:r>
      <w:r>
        <w:rPr>
          <w:rFonts w:ascii="Times New Roman" w:eastAsia="仿宋_GB2312" w:hAnsi="Times New Roman" w:cs="Times New Roman"/>
          <w:b w:val="0"/>
          <w:sz w:val="32"/>
          <w:szCs w:val="32"/>
        </w:rPr>
        <w:t>重组工程细胞的筛选</w:t>
      </w:r>
      <w:bookmarkEnd w:id="1152"/>
    </w:p>
    <w:p w14:paraId="5608061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检测重组后细胞基本性状的改变，比较研究插入外源基因后细胞致瘤性特征的改变。需说明表达载体在宿主细胞内的状态（是否整合到染色体）并采用适宜的方法测定其拷贝数，应提供宿主和载体结合后的遗传稳定性资料。说明启动和控制目的基因在宿主细胞中表达所采用的方法，并进行初步的表达产物鉴别和表达水平检测。</w:t>
      </w:r>
    </w:p>
    <w:p w14:paraId="0CDD918C"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选定的工程细胞株应进行充分的目的基因全序列确认，以保证用于编码和表达目的产物的基因在初始核酸序列上的正确性。应详细叙述在生产过程中，启动和控制克隆基因在宿主细胞中的表达所采用的方法及表达水平。</w:t>
      </w:r>
    </w:p>
    <w:p w14:paraId="2B255365"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53" w:name="_Toc118298991"/>
      <w:r>
        <w:rPr>
          <w:rFonts w:ascii="Times New Roman" w:eastAsia="仿宋_GB2312" w:hAnsi="Times New Roman" w:cs="Times New Roman"/>
          <w:sz w:val="32"/>
          <w:szCs w:val="32"/>
        </w:rPr>
        <w:t xml:space="preserve">1.3.4 </w:t>
      </w:r>
      <w:r>
        <w:rPr>
          <w:rFonts w:ascii="Times New Roman" w:eastAsia="仿宋_GB2312" w:hAnsi="Times New Roman" w:cs="Times New Roman"/>
          <w:sz w:val="32"/>
          <w:szCs w:val="32"/>
        </w:rPr>
        <w:t>合成表达系统制备过程中关键质量控制</w:t>
      </w:r>
      <w:bookmarkEnd w:id="1153"/>
    </w:p>
    <w:p w14:paraId="51FD119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lastRenderedPageBreak/>
        <w:t>此过程的</w:t>
      </w:r>
      <w:r>
        <w:rPr>
          <w:rFonts w:ascii="Times New Roman" w:eastAsia="仿宋_GB2312" w:hAnsi="Times New Roman" w:cs="Times New Roman"/>
          <w:kern w:val="0"/>
          <w:sz w:val="32"/>
          <w:szCs w:val="32"/>
        </w:rPr>
        <w:t>质</w:t>
      </w:r>
      <w:r>
        <w:rPr>
          <w:rFonts w:ascii="Times New Roman" w:eastAsia="仿宋_GB2312" w:hAnsi="Times New Roman" w:cs="Times New Roman"/>
          <w:sz w:val="32"/>
          <w:szCs w:val="32"/>
        </w:rPr>
        <w:t>量研究通常包括鉴别、结构特征、理化特性、生物学活性、纯度和杂质分析等，建议采用多个代表性批次开展研究。</w:t>
      </w:r>
    </w:p>
    <w:p w14:paraId="7499E8FC"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4" w:name="_Toc118298992"/>
      <w:r>
        <w:rPr>
          <w:rFonts w:ascii="Times New Roman" w:eastAsia="仿宋_GB2312" w:hAnsi="Times New Roman" w:cs="Times New Roman"/>
          <w:b w:val="0"/>
          <w:sz w:val="32"/>
          <w:szCs w:val="32"/>
        </w:rPr>
        <w:t>1.3.4.1</w:t>
      </w:r>
      <w:r>
        <w:rPr>
          <w:rFonts w:ascii="Times New Roman" w:eastAsia="仿宋_GB2312" w:hAnsi="Times New Roman" w:cs="Times New Roman"/>
          <w:b w:val="0"/>
          <w:sz w:val="32"/>
          <w:szCs w:val="32"/>
        </w:rPr>
        <w:t>鉴别和序列确认</w:t>
      </w:r>
      <w:bookmarkEnd w:id="1154"/>
    </w:p>
    <w:p w14:paraId="4F8BFEC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鉴别研究中，可采用限制性内切酶进行酶切，对酶切产物进行电泳分析，观察是否存在特征性的带型；也可以用</w:t>
      </w:r>
      <w:r>
        <w:rPr>
          <w:rFonts w:ascii="Times New Roman" w:eastAsia="仿宋_GB2312" w:hAnsi="Times New Roman" w:cs="Times New Roman"/>
          <w:sz w:val="32"/>
          <w:szCs w:val="32"/>
        </w:rPr>
        <w:t>PCR</w:t>
      </w:r>
      <w:r>
        <w:rPr>
          <w:rFonts w:ascii="Times New Roman" w:eastAsia="仿宋_GB2312" w:hAnsi="Times New Roman" w:cs="Times New Roman"/>
          <w:sz w:val="32"/>
          <w:szCs w:val="32"/>
        </w:rPr>
        <w:t>方法进行扩增，分析片段大小是否与理论大小一致等方法。序列确认研究中，建议开展全序列测定，重点关注目的基因和调控元件的序列正确性。</w:t>
      </w:r>
    </w:p>
    <w:p w14:paraId="48BA4CF2"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5" w:name="_Toc118298993"/>
      <w:r>
        <w:rPr>
          <w:rFonts w:ascii="Times New Roman" w:eastAsia="仿宋_GB2312" w:hAnsi="Times New Roman" w:cs="Times New Roman"/>
          <w:b w:val="0"/>
          <w:sz w:val="32"/>
          <w:szCs w:val="32"/>
        </w:rPr>
        <w:t>1.3.4.2</w:t>
      </w:r>
      <w:r>
        <w:rPr>
          <w:rFonts w:ascii="Times New Roman" w:eastAsia="仿宋_GB2312" w:hAnsi="Times New Roman" w:cs="Times New Roman"/>
          <w:b w:val="0"/>
          <w:sz w:val="32"/>
          <w:szCs w:val="32"/>
        </w:rPr>
        <w:t>结构</w:t>
      </w:r>
      <w:bookmarkEnd w:id="1155"/>
    </w:p>
    <w:p w14:paraId="2E26B748"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建议采用适用的方法对结构完整性和大小均一性进行研究。如对于</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，可关注其是否存在单链、双链、线性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开环、环状和超螺旋等多种结构形式，以及可能的高级结构等。</w:t>
      </w:r>
    </w:p>
    <w:p w14:paraId="1E52170E"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6" w:name="_Toc118298994"/>
      <w:r>
        <w:rPr>
          <w:rFonts w:ascii="Times New Roman" w:eastAsia="仿宋_GB2312" w:hAnsi="Times New Roman" w:cs="Times New Roman"/>
          <w:b w:val="0"/>
          <w:sz w:val="32"/>
          <w:szCs w:val="32"/>
        </w:rPr>
        <w:t>1.3.4.3</w:t>
      </w:r>
      <w:r>
        <w:rPr>
          <w:rFonts w:ascii="Times New Roman" w:eastAsia="仿宋_GB2312" w:hAnsi="Times New Roman" w:cs="Times New Roman"/>
          <w:b w:val="0"/>
          <w:sz w:val="32"/>
          <w:szCs w:val="32"/>
        </w:rPr>
        <w:t>理化特性</w:t>
      </w:r>
      <w:bookmarkEnd w:id="1156"/>
    </w:p>
    <w:p w14:paraId="4E4B3C0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建议开展分子量、核酸浓度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含量、修饰位点及比例（如有）、物理特性（如</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、渗透压）等方面的研究。</w:t>
      </w:r>
    </w:p>
    <w:p w14:paraId="374A4DAE"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7" w:name="_Toc118298995"/>
      <w:r>
        <w:rPr>
          <w:rFonts w:ascii="Times New Roman" w:eastAsia="仿宋_GB2312" w:hAnsi="Times New Roman" w:cs="Times New Roman"/>
          <w:b w:val="0"/>
          <w:sz w:val="32"/>
          <w:szCs w:val="32"/>
        </w:rPr>
        <w:t>1.3.4.4</w:t>
      </w:r>
      <w:r>
        <w:rPr>
          <w:rFonts w:ascii="Times New Roman" w:eastAsia="仿宋_GB2312" w:hAnsi="Times New Roman" w:cs="Times New Roman"/>
          <w:b w:val="0"/>
          <w:sz w:val="32"/>
          <w:szCs w:val="32"/>
        </w:rPr>
        <w:t>生物学活性</w:t>
      </w:r>
      <w:bookmarkEnd w:id="1157"/>
    </w:p>
    <w:p w14:paraId="3892D917"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作用机制，生物学活性研究通常包括对基因修饰效率、目的基因表达的水平、表达产物的功能或体外模拟生理功能的测定等。建议首选定量检测方法，如可通过目的基因或基因编辑产物的表达量和功能进行分析，关注表达产物是否与预计一致或蛋白表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基因是否被抑制、空间结构是否符合设计（如多聚体）等。当采用体外转染检测细胞的方法时，需关注选择的检测细胞是否具有代表性和合理性。</w:t>
      </w:r>
    </w:p>
    <w:p w14:paraId="749F08C4"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58" w:name="_Toc118298996"/>
      <w:r>
        <w:rPr>
          <w:rFonts w:ascii="Times New Roman" w:eastAsia="仿宋_GB2312" w:hAnsi="Times New Roman" w:cs="Times New Roman"/>
          <w:b w:val="0"/>
          <w:sz w:val="32"/>
          <w:szCs w:val="32"/>
        </w:rPr>
        <w:t>1.3.4.5</w:t>
      </w:r>
      <w:r>
        <w:rPr>
          <w:rFonts w:ascii="Times New Roman" w:eastAsia="仿宋_GB2312" w:hAnsi="Times New Roman" w:cs="Times New Roman"/>
          <w:b w:val="0"/>
          <w:sz w:val="32"/>
          <w:szCs w:val="32"/>
        </w:rPr>
        <w:t>其他特性研究</w:t>
      </w:r>
      <w:bookmarkEnd w:id="1158"/>
    </w:p>
    <w:p w14:paraId="1420370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对于使用基因编辑工具酶的修饰系统，质量研究中建议</w:t>
      </w:r>
      <w:r>
        <w:rPr>
          <w:rFonts w:ascii="Times New Roman" w:eastAsia="仿宋_GB2312" w:hAnsi="Times New Roman" w:cs="Times New Roman"/>
          <w:sz w:val="32"/>
          <w:szCs w:val="32"/>
        </w:rPr>
        <w:lastRenderedPageBreak/>
        <w:t>持续关注对应细胞中修饰系统的残留情况，采用生物信息学工具分析靶细胞基因组结构变化、单点和小规模基因突变以及外源</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在基因组中的插入位置、拷贝数等，监控基因编辑用酶的细胞内持续表达时间，考察脱靶效应及相应的安全性影响等。对于制备过程中使用的酶类试剂，建议重点关注酶的功能活性，例如需关注所用</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聚合酶的保真度和活性，消化酶的酶解作用、酶的非特异性消化条件等，同时需要关注酶的纯度、生产过程中引入的杂质等。对于核苷酸、</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帽或帽类似物等原材料，其整体的质量应符合制备的要求，建议关注鉴别、浓度、纯度和杂质等。制备过程建议避免使用氯化铯、溴化乙锭、氯仿等毒性物质，避免使用动物源胰蛋白胨、核酸酶等可能引入外源因子等风险的原材料。对于用作递送系统的材料，其制备涉及的关键原材料（脂质、阳离子聚合物等）需进行充分的筛选和质量控制。</w:t>
      </w:r>
    </w:p>
    <w:p w14:paraId="32EAAEC7" w14:textId="77777777" w:rsidR="00F20E1B" w:rsidRDefault="00F20E1B" w:rsidP="00F20E1B">
      <w:pPr>
        <w:spacing w:line="520" w:lineRule="exact"/>
        <w:ind w:firstLineChars="200" w:firstLine="640"/>
        <w:jc w:val="left"/>
        <w:outlineLvl w:val="2"/>
        <w:rPr>
          <w:rFonts w:ascii="Times New Roman" w:eastAsia="仿宋_GB2312" w:hAnsi="Times New Roman" w:cs="Times New Roman"/>
          <w:kern w:val="0"/>
          <w:sz w:val="32"/>
          <w:szCs w:val="32"/>
        </w:rPr>
      </w:pPr>
      <w:bookmarkStart w:id="1159" w:name="_Toc118298997"/>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生产用细胞的质量控制</w:t>
      </w:r>
      <w:bookmarkEnd w:id="1159"/>
    </w:p>
    <w:p w14:paraId="703FCF7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连续传代细胞生产重组胶原蛋白材料的最大优点是使每批胶原蛋白材料都有一个经过检定的共同起源细胞，因此建立细胞库的目的就是为了保证生产的可持续性和胶原蛋白材料质量的稳定。重组胶原蛋白材料的生产必须建立在有良好的细胞库管理基础上，载体细胞可以是细菌、酵母或其他真核细胞，已通过筛选、育种、复苏等程序验证建立细胞库而实现工程化，具有稳定的遗传表达和相应的质量控制体系。本部分以针对动物细胞库的管理为例，进行相关阐释。</w:t>
      </w:r>
    </w:p>
    <w:p w14:paraId="5B07443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需建立细胞库系统（细菌、酵母、哺乳细胞等其他）保存管理的相应制度及文件，保证细胞库符合相关标准要求，保障细胞库的稳定性，需对细胞库进行质量检测，包括质粒</w:t>
      </w:r>
      <w:r>
        <w:rPr>
          <w:rFonts w:ascii="Times New Roman" w:eastAsia="仿宋_GB2312" w:hAnsi="Times New Roman" w:cs="Times New Roman"/>
          <w:sz w:val="32"/>
          <w:szCs w:val="32"/>
        </w:rPr>
        <w:lastRenderedPageBreak/>
        <w:t>核酸序列、拷贝数、丢失率检测；杂菌检测（计数、菌落形态观察、菌种鉴定）等；应提供细胞库检测报告。</w:t>
      </w:r>
    </w:p>
    <w:p w14:paraId="40D134DF"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60" w:name="_Toc118298998"/>
      <w:r>
        <w:rPr>
          <w:rFonts w:ascii="Times New Roman" w:eastAsia="仿宋_GB2312" w:hAnsi="Times New Roman" w:cs="Times New Roman"/>
          <w:kern w:val="0"/>
          <w:sz w:val="32"/>
          <w:szCs w:val="32"/>
        </w:rPr>
        <w:t>2.1</w:t>
      </w:r>
      <w:r>
        <w:rPr>
          <w:rFonts w:ascii="Times New Roman" w:eastAsia="仿宋_GB2312" w:hAnsi="Times New Roman" w:cs="Times New Roman"/>
          <w:kern w:val="0"/>
          <w:sz w:val="32"/>
          <w:szCs w:val="32"/>
        </w:rPr>
        <w:t>细胞库建立</w:t>
      </w:r>
      <w:bookmarkEnd w:id="1160"/>
      <w:r>
        <w:rPr>
          <w:rFonts w:ascii="Times New Roman" w:eastAsia="仿宋_GB2312" w:hAnsi="Times New Roman" w:cs="Times New Roman"/>
          <w:kern w:val="0"/>
          <w:sz w:val="32"/>
          <w:szCs w:val="32"/>
        </w:rPr>
        <w:t xml:space="preserve"> </w:t>
      </w:r>
    </w:p>
    <w:p w14:paraId="34E613A6"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细胞库可为三级即原始细胞库、主细胞库（</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）和工作细胞库（</w:t>
      </w:r>
      <w:r>
        <w:rPr>
          <w:rFonts w:ascii="Times New Roman" w:eastAsia="仿宋_GB2312" w:hAnsi="Times New Roman" w:cs="Times New Roman"/>
          <w:sz w:val="32"/>
          <w:szCs w:val="32"/>
        </w:rPr>
        <w:t>WCB</w:t>
      </w:r>
      <w:r>
        <w:rPr>
          <w:rFonts w:ascii="Times New Roman" w:eastAsia="仿宋_GB2312" w:hAnsi="Times New Roman" w:cs="Times New Roman"/>
          <w:sz w:val="32"/>
          <w:szCs w:val="32"/>
        </w:rPr>
        <w:t>）；也可采用主细胞库和工作细胞库组成的两级细胞库；在某些特殊情况下，也可使用主细胞库一级库。用于建库的初始工程细胞株应为经过克隆选择而形成的均一细胞群体，必要时须经与实际生产过程</w:t>
      </w:r>
      <w:r>
        <w:rPr>
          <w:rFonts w:ascii="Times New Roman" w:eastAsia="仿宋_GB2312" w:hAnsi="Times New Roman" w:cs="Times New Roman" w:hint="eastAsia"/>
          <w:sz w:val="32"/>
          <w:szCs w:val="32"/>
        </w:rPr>
        <w:t>所</w:t>
      </w:r>
      <w:r>
        <w:rPr>
          <w:rFonts w:ascii="Times New Roman" w:eastAsia="仿宋_GB2312" w:hAnsi="Times New Roman" w:cs="Times New Roman"/>
          <w:sz w:val="32"/>
          <w:szCs w:val="32"/>
        </w:rPr>
        <w:t>用培养基和培养条件相一致的适应性培养。</w:t>
      </w:r>
    </w:p>
    <w:p w14:paraId="798C8977"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61" w:name="_Toc118298999"/>
      <w:r>
        <w:rPr>
          <w:rFonts w:ascii="Times New Roman" w:eastAsia="仿宋_GB2312" w:hAnsi="Times New Roman" w:cs="Times New Roman"/>
          <w:kern w:val="0"/>
          <w:sz w:val="32"/>
          <w:szCs w:val="32"/>
        </w:rPr>
        <w:t>2.2</w:t>
      </w:r>
      <w:r>
        <w:rPr>
          <w:rFonts w:ascii="Times New Roman" w:eastAsia="仿宋_GB2312" w:hAnsi="Times New Roman" w:cs="Times New Roman"/>
          <w:kern w:val="0"/>
          <w:sz w:val="32"/>
          <w:szCs w:val="32"/>
        </w:rPr>
        <w:t>建库细胞的管理</w:t>
      </w:r>
      <w:bookmarkEnd w:id="1161"/>
      <w:r>
        <w:rPr>
          <w:rFonts w:ascii="Times New Roman" w:eastAsia="仿宋_GB2312" w:hAnsi="Times New Roman" w:cs="Times New Roman"/>
          <w:kern w:val="0"/>
          <w:sz w:val="32"/>
          <w:szCs w:val="32"/>
        </w:rPr>
        <w:t xml:space="preserve"> </w:t>
      </w:r>
    </w:p>
    <w:p w14:paraId="1F8282FC"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制备工作细胞库过程中不得进行单克隆筛选，以避免由于个别基因突变引起工作细胞库中细胞群体性的遗传特性改变；为了保证细胞库中每个容器中的内容物完全一致，如培养细胞采用几个器皿的，应将所有培养皿中的细胞混合成单批后再分装。</w:t>
      </w:r>
      <w:r>
        <w:rPr>
          <w:rFonts w:ascii="Times New Roman" w:eastAsia="仿宋_GB2312" w:hAnsi="Times New Roman" w:cs="Times New Roman"/>
          <w:sz w:val="32"/>
          <w:szCs w:val="32"/>
        </w:rPr>
        <w:t xml:space="preserve"> </w:t>
      </w:r>
    </w:p>
    <w:p w14:paraId="6CE7AE9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细胞库的建库期间应采取适宜的预防措施，以确保细胞不被污染（包括微生物污染和实验室中其他类型细胞的交叉污染等）。各级种子库的细胞应按照特定的要求经过全面检定合格后方可使用（具体要求参见本文细胞库检定）。</w:t>
      </w:r>
    </w:p>
    <w:p w14:paraId="0F2308F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动物细胞库建库的具体过程、方法和管理应符合中华人民共和国药典要求。</w:t>
      </w:r>
    </w:p>
    <w:p w14:paraId="4E1CBC3C"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62" w:name="_Toc118299000"/>
      <w:r>
        <w:rPr>
          <w:rFonts w:ascii="Times New Roman" w:eastAsia="仿宋_GB2312" w:hAnsi="Times New Roman" w:cs="Times New Roman"/>
          <w:kern w:val="0"/>
          <w:sz w:val="32"/>
          <w:szCs w:val="32"/>
        </w:rPr>
        <w:t>2.3</w:t>
      </w:r>
      <w:r>
        <w:rPr>
          <w:rFonts w:ascii="Times New Roman" w:eastAsia="仿宋_GB2312" w:hAnsi="Times New Roman" w:cs="Times New Roman"/>
          <w:kern w:val="0"/>
          <w:sz w:val="32"/>
          <w:szCs w:val="32"/>
        </w:rPr>
        <w:t>细胞库检定</w:t>
      </w:r>
      <w:bookmarkEnd w:id="1162"/>
    </w:p>
    <w:p w14:paraId="3F6E19F8"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正确的起始细胞是实现良好生产的前提和基础。检定的目的是为了确认经过初步筛选建库的细胞符合预期设计要求，携带有稳定的目的基因，能够持续表达有功能活性的目的产物，没有微生物污染和混杂其它细胞，能够直接扩增储</w:t>
      </w:r>
      <w:r>
        <w:rPr>
          <w:rFonts w:ascii="Times New Roman" w:eastAsia="仿宋_GB2312" w:hAnsi="Times New Roman" w:cs="Times New Roman"/>
          <w:sz w:val="32"/>
          <w:szCs w:val="32"/>
        </w:rPr>
        <w:lastRenderedPageBreak/>
        <w:t>备或者应用于生产。</w:t>
      </w:r>
      <w:r>
        <w:rPr>
          <w:rFonts w:ascii="Times New Roman" w:eastAsia="仿宋_GB2312" w:hAnsi="Times New Roman" w:cs="Times New Roman"/>
          <w:sz w:val="32"/>
          <w:szCs w:val="32"/>
        </w:rPr>
        <w:t xml:space="preserve"> </w:t>
      </w:r>
    </w:p>
    <w:p w14:paraId="7DE7269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对于原始库细胞和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主库细胞，通常需要进行一次全面系统的研究检定，包括遗传学、生物学和微生物学，以便从源头开始严格控制起始细胞的一致性和防止污染。经过传代稳定性研究的主细胞到工作细胞，只经过简单的传代、扩增，可以适当简化检定项目，重点检测外源因子污染和防止混入了其它细胞。保存的数目和传代水平应保证生产用细胞的持续稳定供应。</w:t>
      </w:r>
    </w:p>
    <w:p w14:paraId="27BF82F6"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63" w:name="_Toc118299001"/>
      <w:r>
        <w:rPr>
          <w:rFonts w:ascii="Times New Roman" w:eastAsia="仿宋_GB2312" w:hAnsi="Times New Roman" w:cs="Times New Roman"/>
          <w:sz w:val="32"/>
          <w:szCs w:val="32"/>
        </w:rPr>
        <w:t>2.3.1</w:t>
      </w:r>
      <w:r>
        <w:rPr>
          <w:rFonts w:ascii="Times New Roman" w:eastAsia="仿宋_GB2312" w:hAnsi="Times New Roman" w:cs="Times New Roman"/>
          <w:sz w:val="32"/>
          <w:szCs w:val="32"/>
        </w:rPr>
        <w:t>细胞鉴定</w:t>
      </w:r>
      <w:bookmarkEnd w:id="1163"/>
    </w:p>
    <w:p w14:paraId="790FDBA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要进行目的蛋白表达稳定性分析，即确证表达产物的蛋白质序列与预期相符。</w:t>
      </w:r>
    </w:p>
    <w:p w14:paraId="7069752B" w14:textId="77777777" w:rsidR="00F20E1B" w:rsidRDefault="00F20E1B" w:rsidP="00F20E1B">
      <w:pPr>
        <w:pStyle w:val="a1"/>
        <w:spacing w:line="520" w:lineRule="exact"/>
      </w:pPr>
    </w:p>
    <w:p w14:paraId="18C0F021" w14:textId="77777777" w:rsidR="00F20E1B" w:rsidRDefault="00F20E1B" w:rsidP="00F20E1B">
      <w:pPr>
        <w:pStyle w:val="a1"/>
        <w:spacing w:line="5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6 </w:t>
      </w:r>
      <w:r>
        <w:rPr>
          <w:rFonts w:ascii="Times New Roman" w:eastAsia="黑体" w:hAnsi="Times New Roman" w:cs="Times New Roman"/>
          <w:sz w:val="28"/>
          <w:szCs w:val="28"/>
        </w:rPr>
        <w:t>目的蛋白表达稳定性分析</w:t>
      </w:r>
    </w:p>
    <w:tbl>
      <w:tblPr>
        <w:tblW w:w="8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4156"/>
        <w:gridCol w:w="2488"/>
      </w:tblGrid>
      <w:tr w:rsidR="00F20E1B" w14:paraId="181B78E2" w14:textId="77777777" w:rsidTr="00886011">
        <w:trPr>
          <w:trHeight w:val="510"/>
        </w:trPr>
        <w:tc>
          <w:tcPr>
            <w:tcW w:w="1977" w:type="dxa"/>
            <w:vAlign w:val="center"/>
          </w:tcPr>
          <w:p w14:paraId="3CC8DF0E"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检查项目</w:t>
            </w:r>
          </w:p>
        </w:tc>
        <w:tc>
          <w:tcPr>
            <w:tcW w:w="4156" w:type="dxa"/>
            <w:vAlign w:val="center"/>
          </w:tcPr>
          <w:p w14:paraId="0121F75A"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检测方法</w:t>
            </w:r>
          </w:p>
        </w:tc>
        <w:tc>
          <w:tcPr>
            <w:tcW w:w="2488" w:type="dxa"/>
            <w:vAlign w:val="center"/>
          </w:tcPr>
          <w:p w14:paraId="0F1AF451"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质量标准</w:t>
            </w:r>
          </w:p>
        </w:tc>
      </w:tr>
      <w:tr w:rsidR="00F20E1B" w14:paraId="5CE36662" w14:textId="77777777" w:rsidTr="00886011">
        <w:trPr>
          <w:trHeight w:val="510"/>
        </w:trPr>
        <w:tc>
          <w:tcPr>
            <w:tcW w:w="1977" w:type="dxa"/>
            <w:vAlign w:val="center"/>
          </w:tcPr>
          <w:p w14:paraId="70F93095"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表达稳定性</w:t>
            </w:r>
          </w:p>
        </w:tc>
        <w:tc>
          <w:tcPr>
            <w:tcW w:w="4156" w:type="dxa"/>
            <w:vAlign w:val="center"/>
          </w:tcPr>
          <w:p w14:paraId="22C9A859"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SDS-PAGE电泳考染法</w:t>
            </w:r>
          </w:p>
        </w:tc>
        <w:tc>
          <w:tcPr>
            <w:tcW w:w="2488" w:type="dxa"/>
            <w:vAlign w:val="center"/>
          </w:tcPr>
          <w:p w14:paraId="2D4C22E5"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与供试品一致</w:t>
            </w:r>
          </w:p>
        </w:tc>
      </w:tr>
      <w:tr w:rsidR="00F20E1B" w14:paraId="4EA20C62" w14:textId="77777777" w:rsidTr="00886011">
        <w:trPr>
          <w:trHeight w:val="1009"/>
        </w:trPr>
        <w:tc>
          <w:tcPr>
            <w:tcW w:w="1977" w:type="dxa"/>
            <w:vAlign w:val="center"/>
          </w:tcPr>
          <w:p w14:paraId="1ADBAA7A"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含量</w:t>
            </w:r>
          </w:p>
        </w:tc>
        <w:tc>
          <w:tcPr>
            <w:tcW w:w="4156" w:type="dxa"/>
            <w:vAlign w:val="center"/>
          </w:tcPr>
          <w:p w14:paraId="7827BADF"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紫外分光光度扫描</w:t>
            </w:r>
          </w:p>
        </w:tc>
        <w:tc>
          <w:tcPr>
            <w:tcW w:w="2488" w:type="dxa"/>
            <w:vAlign w:val="center"/>
          </w:tcPr>
          <w:p w14:paraId="2738F1D4"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不低于初始工程菌</w:t>
            </w:r>
          </w:p>
        </w:tc>
      </w:tr>
      <w:tr w:rsidR="00F20E1B" w14:paraId="235DE284" w14:textId="77777777" w:rsidTr="00886011">
        <w:trPr>
          <w:trHeight w:val="1021"/>
        </w:trPr>
        <w:tc>
          <w:tcPr>
            <w:tcW w:w="1977" w:type="dxa"/>
            <w:vAlign w:val="center"/>
          </w:tcPr>
          <w:p w14:paraId="39C1F88C"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污染检测</w:t>
            </w:r>
          </w:p>
        </w:tc>
        <w:tc>
          <w:tcPr>
            <w:tcW w:w="4156" w:type="dxa"/>
            <w:vAlign w:val="center"/>
          </w:tcPr>
          <w:p w14:paraId="6168F0BE"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显微镜检测、支原体检测试剂盒</w:t>
            </w:r>
          </w:p>
        </w:tc>
        <w:tc>
          <w:tcPr>
            <w:tcW w:w="2488" w:type="dxa"/>
            <w:vAlign w:val="center"/>
          </w:tcPr>
          <w:p w14:paraId="11E899B8" w14:textId="77777777" w:rsidR="00F20E1B" w:rsidRDefault="00F20E1B" w:rsidP="00BF028C">
            <w:pPr>
              <w:spacing w:line="52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无污染</w:t>
            </w:r>
          </w:p>
        </w:tc>
      </w:tr>
    </w:tbl>
    <w:p w14:paraId="63C79E0B" w14:textId="77777777" w:rsidR="00F20E1B" w:rsidRDefault="00F20E1B" w:rsidP="00F20E1B">
      <w:pPr>
        <w:pStyle w:val="a1"/>
        <w:spacing w:line="520" w:lineRule="exact"/>
        <w:ind w:leftChars="0" w:left="0" w:firstLineChars="200" w:firstLine="640"/>
        <w:rPr>
          <w:rFonts w:ascii="Times New Roman" w:eastAsia="仿宋_GB2312" w:hAnsi="Times New Roman" w:cs="Times New Roman"/>
          <w:sz w:val="32"/>
          <w:szCs w:val="32"/>
        </w:rPr>
      </w:pPr>
    </w:p>
    <w:p w14:paraId="7C06FFC2"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64" w:name="_Toc118299002"/>
      <w:r>
        <w:rPr>
          <w:rFonts w:ascii="Times New Roman" w:eastAsia="仿宋_GB2312" w:hAnsi="Times New Roman" w:cs="Times New Roman"/>
          <w:b w:val="0"/>
          <w:sz w:val="32"/>
          <w:szCs w:val="32"/>
        </w:rPr>
        <w:t>2.3.1.1</w:t>
      </w:r>
      <w:r>
        <w:rPr>
          <w:rFonts w:ascii="Times New Roman" w:eastAsia="仿宋_GB2312" w:hAnsi="Times New Roman" w:cs="Times New Roman"/>
          <w:b w:val="0"/>
          <w:sz w:val="32"/>
          <w:szCs w:val="32"/>
        </w:rPr>
        <w:t>细胞种属的鉴定</w:t>
      </w:r>
      <w:bookmarkEnd w:id="1164"/>
    </w:p>
    <w:p w14:paraId="338EA7AB"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应验明细胞的种属来源，分析细胞的同一性，排除与其它细胞的交叉污染。</w:t>
      </w:r>
      <w:r>
        <w:rPr>
          <w:rFonts w:ascii="Times New Roman" w:eastAsia="仿宋_GB2312" w:hAnsi="Times New Roman" w:cs="Times New Roman"/>
          <w:sz w:val="32"/>
          <w:szCs w:val="32"/>
        </w:rPr>
        <w:t xml:space="preserve"> </w:t>
      </w:r>
    </w:p>
    <w:p w14:paraId="02C31E1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目前常用的方法有细胞生长特征和培养形态学检查、种属特异性抗原检测、染色体核型分析、同工酶分析、限制性内切酶分析、基因多态性分析等。应结合具体细胞固有的特</w:t>
      </w:r>
      <w:r>
        <w:rPr>
          <w:rFonts w:ascii="Times New Roman" w:eastAsia="仿宋_GB2312" w:hAnsi="Times New Roman" w:cs="Times New Roman"/>
          <w:sz w:val="32"/>
          <w:szCs w:val="32"/>
        </w:rPr>
        <w:lastRenderedPageBreak/>
        <w:t>性进行适宜的组合和选择，以实现正确鉴别为目的。</w:t>
      </w:r>
      <w:r>
        <w:rPr>
          <w:rFonts w:ascii="Times New Roman" w:eastAsia="仿宋_GB2312" w:hAnsi="Times New Roman" w:cs="Times New Roman"/>
          <w:sz w:val="32"/>
          <w:szCs w:val="32"/>
        </w:rPr>
        <w:t xml:space="preserve"> </w:t>
      </w:r>
    </w:p>
    <w:p w14:paraId="12654EF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真核细胞用于生产时，细胞的鉴别标志，如特异性同功酶或免疫学或遗传学特征，对鉴别所建立的种子是有用的。有关所用传代细胞的致癌性应有详细报告。如采用微生物培养物为种子，则应叙述其特异表型特征。</w:t>
      </w:r>
    </w:p>
    <w:p w14:paraId="53922215"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65" w:name="_Toc118299003"/>
      <w:r>
        <w:rPr>
          <w:rFonts w:ascii="Times New Roman" w:eastAsia="仿宋_GB2312" w:hAnsi="Times New Roman" w:cs="Times New Roman"/>
          <w:b w:val="0"/>
          <w:sz w:val="32"/>
          <w:szCs w:val="32"/>
        </w:rPr>
        <w:t>2.3.1.2</w:t>
      </w:r>
      <w:r>
        <w:rPr>
          <w:rFonts w:ascii="Times New Roman" w:eastAsia="仿宋_GB2312" w:hAnsi="Times New Roman" w:cs="Times New Roman"/>
          <w:b w:val="0"/>
          <w:sz w:val="32"/>
          <w:szCs w:val="32"/>
        </w:rPr>
        <w:t>致瘤性试验</w:t>
      </w:r>
      <w:bookmarkEnd w:id="1165"/>
      <w:r>
        <w:rPr>
          <w:rFonts w:ascii="Times New Roman" w:eastAsia="仿宋_GB2312" w:hAnsi="Times New Roman" w:cs="Times New Roman"/>
          <w:b w:val="0"/>
          <w:sz w:val="32"/>
          <w:szCs w:val="32"/>
        </w:rPr>
        <w:t xml:space="preserve"> </w:t>
      </w:r>
    </w:p>
    <w:p w14:paraId="283268C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需检测分析目的基因引入细胞后的致瘤性特征，对于阳性细胞，应研究确定致瘤性改变对胶原蛋白材料带来的安全性风险。种子批不应含有外源致癌因子。</w:t>
      </w:r>
    </w:p>
    <w:p w14:paraId="30E987E2"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66" w:name="_Toc118299004"/>
      <w:r>
        <w:rPr>
          <w:rFonts w:ascii="Times New Roman" w:eastAsia="仿宋_GB2312" w:hAnsi="Times New Roman" w:cs="Times New Roman"/>
          <w:b w:val="0"/>
          <w:sz w:val="32"/>
          <w:szCs w:val="32"/>
        </w:rPr>
        <w:t>2.3.1.3</w:t>
      </w:r>
      <w:r>
        <w:rPr>
          <w:rFonts w:ascii="Times New Roman" w:eastAsia="仿宋_GB2312" w:hAnsi="Times New Roman" w:cs="Times New Roman"/>
          <w:b w:val="0"/>
          <w:sz w:val="32"/>
          <w:szCs w:val="32"/>
        </w:rPr>
        <w:t>目的基因和表达框架分析</w:t>
      </w:r>
      <w:bookmarkEnd w:id="1166"/>
      <w:r>
        <w:rPr>
          <w:rFonts w:ascii="Times New Roman" w:eastAsia="仿宋_GB2312" w:hAnsi="Times New Roman" w:cs="Times New Roman"/>
          <w:b w:val="0"/>
          <w:sz w:val="32"/>
          <w:szCs w:val="32"/>
        </w:rPr>
        <w:t xml:space="preserve"> </w:t>
      </w:r>
    </w:p>
    <w:p w14:paraId="0A0EC5CB"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目的基因和表达框架的确证是种子库细胞检定的重要组成部分，对于表达正确的目的产物具有先决性意义。常用的方法包括：通过</w:t>
      </w:r>
      <w:r>
        <w:rPr>
          <w:rFonts w:ascii="Times New Roman" w:eastAsia="仿宋_GB2312" w:hAnsi="Times New Roman" w:cs="Times New Roman"/>
          <w:sz w:val="32"/>
          <w:szCs w:val="32"/>
        </w:rPr>
        <w:t>PCR</w:t>
      </w:r>
      <w:r>
        <w:rPr>
          <w:rFonts w:ascii="Times New Roman" w:eastAsia="仿宋_GB2312" w:hAnsi="Times New Roman" w:cs="Times New Roman"/>
          <w:sz w:val="32"/>
          <w:szCs w:val="32"/>
        </w:rPr>
        <w:t>扩增样本</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来进行</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序列分析；通过限制性内切酶谱和</w:t>
      </w:r>
      <w:r>
        <w:rPr>
          <w:rFonts w:ascii="Times New Roman" w:eastAsia="仿宋_GB2312" w:hAnsi="Times New Roman" w:cs="Times New Roman"/>
          <w:sz w:val="32"/>
          <w:szCs w:val="32"/>
        </w:rPr>
        <w:t>Southern</w:t>
      </w:r>
      <w:r>
        <w:rPr>
          <w:rFonts w:ascii="Times New Roman" w:eastAsia="仿宋_GB2312" w:hAnsi="Times New Roman" w:cs="Times New Roman"/>
          <w:sz w:val="32"/>
          <w:szCs w:val="32"/>
        </w:rPr>
        <w:t>杂交来检测基因的完整性，确定目的基因的拷贝数，并检测是否有任何序列插入或缺失等。</w:t>
      </w:r>
      <w:r>
        <w:rPr>
          <w:rFonts w:ascii="Times New Roman" w:eastAsia="仿宋_GB2312" w:hAnsi="Times New Roman" w:cs="Times New Roman"/>
          <w:sz w:val="32"/>
          <w:szCs w:val="32"/>
        </w:rPr>
        <w:t xml:space="preserve"> </w:t>
      </w:r>
    </w:p>
    <w:p w14:paraId="73C6A44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基因序列分析资料应包括试验方案和步骤、原始的测序图、测得序列以及翻译后的氨基酸序列，同时应将实际测得序列与理论序列进行对比。清楚标注两者之间的异同。</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一般情况下，在原始种子阶段应确证克隆基因的</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序列。但在某些情况下，例如传代细胞基因组中插入多拷贝基因。在此阶段不适合对克隆基因作</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序列分析。在此情况下，可采用总细胞</w:t>
      </w:r>
      <w:r>
        <w:rPr>
          <w:rFonts w:ascii="Times New Roman" w:eastAsia="仿宋_GB2312" w:hAnsi="Times New Roman" w:cs="Times New Roman"/>
          <w:sz w:val="32"/>
          <w:szCs w:val="32"/>
        </w:rPr>
        <w:t>DNA</w:t>
      </w:r>
      <w:r>
        <w:rPr>
          <w:rFonts w:ascii="Times New Roman" w:eastAsia="仿宋_GB2312" w:hAnsi="Times New Roman" w:cs="Times New Roman"/>
          <w:sz w:val="32"/>
          <w:szCs w:val="32"/>
        </w:rPr>
        <w:t>的杂交印染分析，或作</w:t>
      </w:r>
      <w:r>
        <w:rPr>
          <w:rFonts w:ascii="Times New Roman" w:eastAsia="仿宋_GB2312" w:hAnsi="Times New Roman" w:cs="Times New Roman"/>
          <w:sz w:val="32"/>
          <w:szCs w:val="32"/>
        </w:rPr>
        <w:t>mRNA</w:t>
      </w:r>
      <w:r>
        <w:rPr>
          <w:rFonts w:ascii="Times New Roman" w:eastAsia="仿宋_GB2312" w:hAnsi="Times New Roman" w:cs="Times New Roman"/>
          <w:sz w:val="32"/>
          <w:szCs w:val="32"/>
        </w:rPr>
        <w:t>的序列分析。对最终胶原蛋白材料的特征鉴定应特别注意。</w:t>
      </w:r>
    </w:p>
    <w:p w14:paraId="269A40F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为保证胶原蛋白材料结构的正确和稳定，基因序列分析应贯穿于重组工程细胞的筛选和鉴定、细胞库的建立和检定</w:t>
      </w:r>
      <w:r>
        <w:rPr>
          <w:rFonts w:ascii="Times New Roman" w:eastAsia="仿宋_GB2312" w:hAnsi="Times New Roman" w:cs="Times New Roman"/>
          <w:sz w:val="32"/>
          <w:szCs w:val="32"/>
        </w:rPr>
        <w:lastRenderedPageBreak/>
        <w:t>以及生产细胞培养监控的全过程。</w:t>
      </w:r>
    </w:p>
    <w:p w14:paraId="06BA3A17"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67" w:name="_Toc118299005"/>
      <w:r>
        <w:rPr>
          <w:rFonts w:ascii="Times New Roman" w:eastAsia="仿宋_GB2312" w:hAnsi="Times New Roman" w:cs="Times New Roman"/>
          <w:b w:val="0"/>
          <w:sz w:val="32"/>
          <w:szCs w:val="32"/>
        </w:rPr>
        <w:t>2.3.1.4</w:t>
      </w:r>
      <w:r>
        <w:rPr>
          <w:rFonts w:ascii="Times New Roman" w:eastAsia="仿宋_GB2312" w:hAnsi="Times New Roman" w:cs="Times New Roman"/>
          <w:b w:val="0"/>
          <w:sz w:val="32"/>
          <w:szCs w:val="32"/>
        </w:rPr>
        <w:t>表达产物检测</w:t>
      </w:r>
      <w:bookmarkEnd w:id="1167"/>
      <w:r>
        <w:rPr>
          <w:rFonts w:ascii="Times New Roman" w:eastAsia="仿宋_GB2312" w:hAnsi="Times New Roman" w:cs="Times New Roman"/>
          <w:b w:val="0"/>
          <w:sz w:val="32"/>
          <w:szCs w:val="32"/>
        </w:rPr>
        <w:t xml:space="preserve"> </w:t>
      </w:r>
    </w:p>
    <w:p w14:paraId="31534458"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需检测分析目的产物的表达量和生物活性。活性测定应选择与其治疗机理相对应并能够定量的方法。活性测定方法学研究可贯穿于重组人源化胶原蛋白原材料研究的始终，并经相关验证分析。</w:t>
      </w:r>
    </w:p>
    <w:p w14:paraId="6271C274"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68" w:name="_Toc118299006"/>
      <w:r>
        <w:rPr>
          <w:rFonts w:ascii="Times New Roman" w:eastAsia="仿宋_GB2312" w:hAnsi="Times New Roman" w:cs="Times New Roman"/>
          <w:sz w:val="32"/>
          <w:szCs w:val="32"/>
        </w:rPr>
        <w:t>2.3.2</w:t>
      </w:r>
      <w:r>
        <w:rPr>
          <w:rFonts w:ascii="Times New Roman" w:eastAsia="仿宋_GB2312" w:hAnsi="Times New Roman" w:cs="Times New Roman"/>
          <w:sz w:val="32"/>
          <w:szCs w:val="32"/>
        </w:rPr>
        <w:t>微生物污染检测</w:t>
      </w:r>
      <w:bookmarkEnd w:id="1168"/>
    </w:p>
    <w:p w14:paraId="413DB7DA"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69" w:name="_Toc118299007"/>
      <w:r>
        <w:rPr>
          <w:rFonts w:ascii="Times New Roman" w:eastAsia="仿宋_GB2312" w:hAnsi="Times New Roman" w:cs="Times New Roman"/>
          <w:b w:val="0"/>
          <w:sz w:val="32"/>
          <w:szCs w:val="32"/>
        </w:rPr>
        <w:t>2.3.2.1</w:t>
      </w:r>
      <w:r>
        <w:rPr>
          <w:rFonts w:ascii="Times New Roman" w:eastAsia="仿宋_GB2312" w:hAnsi="Times New Roman" w:cs="Times New Roman"/>
          <w:b w:val="0"/>
          <w:sz w:val="32"/>
          <w:szCs w:val="32"/>
        </w:rPr>
        <w:t>细菌、真菌和支原体检查</w:t>
      </w:r>
      <w:bookmarkEnd w:id="1169"/>
      <w:r>
        <w:rPr>
          <w:rFonts w:ascii="Times New Roman" w:eastAsia="仿宋_GB2312" w:hAnsi="Times New Roman" w:cs="Times New Roman"/>
          <w:b w:val="0"/>
          <w:sz w:val="32"/>
          <w:szCs w:val="32"/>
        </w:rPr>
        <w:t xml:space="preserve"> </w:t>
      </w:r>
    </w:p>
    <w:p w14:paraId="77C30C9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应对</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WCB</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EPC</w:t>
      </w:r>
      <w:r>
        <w:rPr>
          <w:rFonts w:ascii="Times New Roman" w:eastAsia="仿宋_GB2312" w:hAnsi="Times New Roman" w:cs="Times New Roman"/>
          <w:sz w:val="32"/>
          <w:szCs w:val="32"/>
        </w:rPr>
        <w:t>（生产终末期细胞）进行全面检查，对生产培养过程中的细胞进行监测。在进行支原体检查时，应注意同时进行培养法和指示细胞法两种方法。必要时可采用扫描电镜法检查细胞是否受到特殊微生物的污染。</w:t>
      </w:r>
      <w:r>
        <w:rPr>
          <w:rFonts w:ascii="Times New Roman" w:eastAsia="仿宋_GB2312" w:hAnsi="Times New Roman" w:cs="Times New Roman"/>
          <w:sz w:val="32"/>
          <w:szCs w:val="32"/>
        </w:rPr>
        <w:t xml:space="preserve"> </w:t>
      </w:r>
    </w:p>
    <w:p w14:paraId="10C81538"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70" w:name="_Toc118299008"/>
      <w:r>
        <w:rPr>
          <w:rFonts w:ascii="Times New Roman" w:eastAsia="仿宋_GB2312" w:hAnsi="Times New Roman" w:cs="Times New Roman"/>
          <w:b w:val="0"/>
          <w:sz w:val="32"/>
          <w:szCs w:val="32"/>
        </w:rPr>
        <w:t>2.3.2.2</w:t>
      </w:r>
      <w:r>
        <w:rPr>
          <w:rFonts w:ascii="Times New Roman" w:eastAsia="仿宋_GB2312" w:hAnsi="Times New Roman" w:cs="Times New Roman"/>
          <w:b w:val="0"/>
          <w:sz w:val="32"/>
          <w:szCs w:val="32"/>
        </w:rPr>
        <w:t>病毒因子的检查</w:t>
      </w:r>
      <w:bookmarkEnd w:id="1170"/>
      <w:r>
        <w:rPr>
          <w:rFonts w:ascii="Times New Roman" w:eastAsia="仿宋_GB2312" w:hAnsi="Times New Roman" w:cs="Times New Roman"/>
          <w:b w:val="0"/>
          <w:sz w:val="32"/>
          <w:szCs w:val="32"/>
        </w:rPr>
        <w:t xml:space="preserve"> </w:t>
      </w:r>
    </w:p>
    <w:p w14:paraId="66E2B6B8"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包括细胞来源宿主动物潜在的内源性病毒和由于操作带入的外源性病毒的检查。对细胞进行病毒检查的种类和方法，应根据细胞的种属和组织来源、传代历史和细胞特性选择。</w:t>
      </w:r>
    </w:p>
    <w:p w14:paraId="2288A596" w14:textId="77777777" w:rsidR="00F20E1B" w:rsidRDefault="00F20E1B" w:rsidP="00F20E1B">
      <w:pPr>
        <w:spacing w:line="520" w:lineRule="exact"/>
        <w:ind w:firstLineChars="200" w:firstLine="640"/>
        <w:outlineLvl w:val="6"/>
        <w:rPr>
          <w:rFonts w:ascii="Times New Roman" w:eastAsia="仿宋_GB2312" w:hAnsi="Times New Roman" w:cs="Times New Roman"/>
          <w:sz w:val="32"/>
          <w:szCs w:val="32"/>
        </w:rPr>
      </w:pPr>
      <w:bookmarkStart w:id="1171" w:name="_Toc118299009"/>
      <w:r>
        <w:rPr>
          <w:rFonts w:ascii="Times New Roman" w:eastAsia="仿宋_GB2312" w:hAnsi="Times New Roman" w:cs="Times New Roman"/>
          <w:sz w:val="32"/>
          <w:szCs w:val="32"/>
        </w:rPr>
        <w:t>2.3.2.2.1</w:t>
      </w:r>
      <w:r>
        <w:rPr>
          <w:rFonts w:ascii="Times New Roman" w:eastAsia="仿宋_GB2312" w:hAnsi="Times New Roman" w:cs="Times New Roman"/>
          <w:sz w:val="32"/>
          <w:szCs w:val="32"/>
        </w:rPr>
        <w:t>体外试验</w:t>
      </w:r>
      <w:bookmarkEnd w:id="1171"/>
    </w:p>
    <w:p w14:paraId="6F451ED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应将</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w:t>
      </w:r>
      <w:r>
        <w:rPr>
          <w:rFonts w:ascii="Times New Roman" w:eastAsia="仿宋_GB2312" w:hAnsi="Times New Roman" w:cs="Times New Roman"/>
          <w:sz w:val="32"/>
          <w:szCs w:val="32"/>
        </w:rPr>
        <w:t>WCB</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EPC</w:t>
      </w:r>
      <w:r>
        <w:rPr>
          <w:rFonts w:ascii="Times New Roman" w:eastAsia="仿宋_GB2312" w:hAnsi="Times New Roman" w:cs="Times New Roman"/>
          <w:sz w:val="32"/>
          <w:szCs w:val="32"/>
        </w:rPr>
        <w:t>细胞活细胞或细胞裂解产物接种到尽可能多的病毒易感的指示细胞上。</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可以根据细胞来源，传代史和细胞培养基的原料使用情况来选择适宜的指示细胞。检测结果应为阴性。</w:t>
      </w:r>
    </w:p>
    <w:p w14:paraId="49BC2206" w14:textId="77777777" w:rsidR="00F20E1B" w:rsidRDefault="00F20E1B" w:rsidP="00F20E1B">
      <w:pPr>
        <w:spacing w:line="520" w:lineRule="exact"/>
        <w:ind w:firstLineChars="200" w:firstLine="640"/>
        <w:outlineLvl w:val="6"/>
        <w:rPr>
          <w:rFonts w:ascii="Times New Roman" w:eastAsia="仿宋_GB2312" w:hAnsi="Times New Roman" w:cs="Times New Roman"/>
          <w:sz w:val="32"/>
          <w:szCs w:val="32"/>
        </w:rPr>
      </w:pPr>
      <w:bookmarkStart w:id="1172" w:name="_Toc118299010"/>
      <w:r>
        <w:rPr>
          <w:rFonts w:ascii="Times New Roman" w:eastAsia="仿宋_GB2312" w:hAnsi="Times New Roman" w:cs="Times New Roman"/>
          <w:sz w:val="32"/>
          <w:szCs w:val="32"/>
        </w:rPr>
        <w:t>2.3.2.2.2</w:t>
      </w:r>
      <w:r>
        <w:rPr>
          <w:rFonts w:ascii="Times New Roman" w:eastAsia="仿宋_GB2312" w:hAnsi="Times New Roman" w:cs="Times New Roman"/>
          <w:sz w:val="32"/>
          <w:szCs w:val="32"/>
        </w:rPr>
        <w:t>体内试验</w:t>
      </w:r>
      <w:bookmarkEnd w:id="1172"/>
    </w:p>
    <w:p w14:paraId="517221C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通过接种乳鼠、成年小鼠、鸡胚、豚鼠、家兔或其它敏感动物来检测细胞培养物中潜伏性病毒。通常要对</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w:t>
      </w:r>
      <w:r>
        <w:rPr>
          <w:rFonts w:ascii="Times New Roman" w:eastAsia="仿宋_GB2312" w:hAnsi="Times New Roman" w:cs="Times New Roman"/>
          <w:sz w:val="32"/>
          <w:szCs w:val="32"/>
        </w:rPr>
        <w:t>EPC</w:t>
      </w:r>
      <w:r>
        <w:rPr>
          <w:rFonts w:ascii="Times New Roman" w:eastAsia="仿宋_GB2312" w:hAnsi="Times New Roman" w:cs="Times New Roman"/>
          <w:sz w:val="32"/>
          <w:szCs w:val="32"/>
        </w:rPr>
        <w:t>进行体内试验。</w:t>
      </w:r>
      <w:r>
        <w:rPr>
          <w:rFonts w:ascii="Times New Roman" w:eastAsia="仿宋_GB2312" w:hAnsi="Times New Roman" w:cs="Times New Roman"/>
          <w:sz w:val="32"/>
          <w:szCs w:val="32"/>
        </w:rPr>
        <w:t xml:space="preserve"> </w:t>
      </w:r>
    </w:p>
    <w:p w14:paraId="2287F60A" w14:textId="77777777" w:rsidR="00F20E1B" w:rsidRDefault="00F20E1B" w:rsidP="00F20E1B">
      <w:pPr>
        <w:spacing w:line="520" w:lineRule="exact"/>
        <w:ind w:firstLineChars="200" w:firstLine="640"/>
        <w:outlineLvl w:val="6"/>
        <w:rPr>
          <w:rFonts w:ascii="Times New Roman" w:eastAsia="仿宋_GB2312" w:hAnsi="Times New Roman" w:cs="Times New Roman"/>
          <w:sz w:val="32"/>
          <w:szCs w:val="32"/>
        </w:rPr>
      </w:pPr>
      <w:bookmarkStart w:id="1173" w:name="_Toc118299011"/>
      <w:r>
        <w:rPr>
          <w:rFonts w:ascii="Times New Roman" w:eastAsia="仿宋_GB2312" w:hAnsi="Times New Roman" w:cs="Times New Roman"/>
          <w:sz w:val="32"/>
          <w:szCs w:val="32"/>
        </w:rPr>
        <w:lastRenderedPageBreak/>
        <w:t>2.3.2.2.3</w:t>
      </w:r>
      <w:r>
        <w:rPr>
          <w:rFonts w:ascii="Times New Roman" w:eastAsia="仿宋_GB2312" w:hAnsi="Times New Roman" w:cs="Times New Roman"/>
          <w:sz w:val="32"/>
          <w:szCs w:val="32"/>
        </w:rPr>
        <w:t>种属特异性病毒的检定</w:t>
      </w:r>
      <w:bookmarkEnd w:id="1173"/>
    </w:p>
    <w:p w14:paraId="54F6B06D"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通过抗体产生试验来检测可能存在于</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细胞中的种属特异性病毒，如啮齿类动物来源的细胞应进行小鼠、仓鼠或大鼠的抗体生成试验。严格控制对于人类有危害的鼠源性病毒。</w:t>
      </w:r>
      <w:r>
        <w:rPr>
          <w:rFonts w:ascii="Times New Roman" w:eastAsia="仿宋_GB2312" w:hAnsi="Times New Roman" w:cs="Times New Roman"/>
          <w:sz w:val="32"/>
          <w:szCs w:val="32"/>
        </w:rPr>
        <w:t xml:space="preserve"> </w:t>
      </w:r>
    </w:p>
    <w:p w14:paraId="16DB3ACA" w14:textId="77777777" w:rsidR="00F20E1B" w:rsidRDefault="00F20E1B" w:rsidP="00F20E1B">
      <w:pPr>
        <w:spacing w:line="520" w:lineRule="exact"/>
        <w:ind w:firstLineChars="200" w:firstLine="640"/>
        <w:outlineLvl w:val="6"/>
        <w:rPr>
          <w:rFonts w:ascii="Times New Roman" w:eastAsia="仿宋_GB2312" w:hAnsi="Times New Roman" w:cs="Times New Roman"/>
          <w:sz w:val="32"/>
          <w:szCs w:val="32"/>
        </w:rPr>
      </w:pPr>
      <w:bookmarkStart w:id="1174" w:name="_Toc118299012"/>
      <w:r>
        <w:rPr>
          <w:rFonts w:ascii="Times New Roman" w:eastAsia="仿宋_GB2312" w:hAnsi="Times New Roman" w:cs="Times New Roman"/>
          <w:sz w:val="32"/>
          <w:szCs w:val="32"/>
        </w:rPr>
        <w:t>2.3.2.2.4</w:t>
      </w:r>
      <w:r>
        <w:rPr>
          <w:rFonts w:ascii="Times New Roman" w:eastAsia="仿宋_GB2312" w:hAnsi="Times New Roman" w:cs="Times New Roman"/>
          <w:sz w:val="32"/>
          <w:szCs w:val="32"/>
        </w:rPr>
        <w:t>逆转录病毒的检测</w:t>
      </w:r>
      <w:bookmarkEnd w:id="1174"/>
    </w:p>
    <w:p w14:paraId="736B0E27"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逆转录病毒的试验应包括感染性试验、逆转录酶</w:t>
      </w:r>
      <w:r>
        <w:rPr>
          <w:rFonts w:ascii="Times New Roman" w:eastAsia="仿宋_GB2312" w:hAnsi="Times New Roman" w:cs="Times New Roman"/>
          <w:sz w:val="32"/>
          <w:szCs w:val="32"/>
        </w:rPr>
        <w:t xml:space="preserve">(RT) </w:t>
      </w:r>
      <w:r>
        <w:rPr>
          <w:rFonts w:ascii="Times New Roman" w:eastAsia="仿宋_GB2312" w:hAnsi="Times New Roman" w:cs="Times New Roman"/>
          <w:sz w:val="32"/>
          <w:szCs w:val="32"/>
        </w:rPr>
        <w:t>检测和电镜技术检查。应采用上述方法对</w:t>
      </w:r>
      <w:r>
        <w:rPr>
          <w:rFonts w:ascii="Times New Roman" w:eastAsia="仿宋_GB2312" w:hAnsi="Times New Roman" w:cs="Times New Roman"/>
          <w:sz w:val="32"/>
          <w:szCs w:val="32"/>
        </w:rPr>
        <w:t>MCB</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EPC</w:t>
      </w:r>
      <w:r>
        <w:rPr>
          <w:rFonts w:ascii="Times New Roman" w:eastAsia="仿宋_GB2312" w:hAnsi="Times New Roman" w:cs="Times New Roman"/>
          <w:sz w:val="32"/>
          <w:szCs w:val="32"/>
        </w:rPr>
        <w:t>细胞进行逆转录病毒的检测。</w:t>
      </w:r>
    </w:p>
    <w:p w14:paraId="6D0AE5E7" w14:textId="77777777" w:rsidR="00F20E1B" w:rsidRDefault="00F20E1B" w:rsidP="00F20E1B">
      <w:pPr>
        <w:spacing w:line="520" w:lineRule="exact"/>
        <w:ind w:firstLineChars="200" w:firstLine="640"/>
        <w:outlineLvl w:val="7"/>
        <w:rPr>
          <w:rFonts w:ascii="Times New Roman" w:eastAsia="仿宋_GB2312" w:hAnsi="Times New Roman" w:cs="Times New Roman"/>
          <w:sz w:val="32"/>
          <w:szCs w:val="32"/>
        </w:rPr>
      </w:pPr>
      <w:bookmarkStart w:id="1175" w:name="_Toc118299013"/>
      <w:r>
        <w:rPr>
          <w:rFonts w:ascii="Times New Roman" w:eastAsia="仿宋_GB2312" w:hAnsi="Times New Roman" w:cs="Times New Roman"/>
          <w:sz w:val="32"/>
          <w:szCs w:val="32"/>
        </w:rPr>
        <w:t>2.3.2.2.4.1</w:t>
      </w:r>
      <w:r>
        <w:rPr>
          <w:rFonts w:ascii="Times New Roman" w:eastAsia="仿宋_GB2312" w:hAnsi="Times New Roman" w:cs="Times New Roman"/>
          <w:sz w:val="32"/>
          <w:szCs w:val="32"/>
        </w:rPr>
        <w:t>感染性试验</w:t>
      </w:r>
      <w:bookmarkEnd w:id="1175"/>
    </w:p>
    <w:p w14:paraId="5622B2F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应根据细胞的特性及可能存在的逆转录病毒种类选择适宜的检测方法，如</w:t>
      </w:r>
      <w:r>
        <w:rPr>
          <w:rFonts w:ascii="Times New Roman" w:eastAsia="仿宋_GB2312" w:hAnsi="Times New Roman" w:cs="Times New Roman"/>
          <w:sz w:val="32"/>
          <w:szCs w:val="32"/>
        </w:rPr>
        <w:t>XC</w:t>
      </w:r>
      <w:r>
        <w:rPr>
          <w:rFonts w:ascii="Times New Roman" w:eastAsia="仿宋_GB2312" w:hAnsi="Times New Roman" w:cs="Times New Roman"/>
          <w:sz w:val="32"/>
          <w:szCs w:val="32"/>
        </w:rPr>
        <w:t>空斑试验（</w:t>
      </w:r>
      <w:r>
        <w:rPr>
          <w:rFonts w:ascii="Times New Roman" w:eastAsia="仿宋_GB2312" w:hAnsi="Times New Roman" w:cs="Times New Roman"/>
          <w:sz w:val="32"/>
          <w:szCs w:val="32"/>
        </w:rPr>
        <w:t>XC plaque</w:t>
      </w:r>
      <w:r>
        <w:rPr>
          <w:rFonts w:ascii="Times New Roman" w:eastAsia="仿宋_GB2312" w:hAnsi="Times New Roman" w:cs="Times New Roman"/>
          <w:sz w:val="32"/>
          <w:szCs w:val="32"/>
        </w:rPr>
        <w:t>）、延时</w:t>
      </w:r>
      <w:r>
        <w:rPr>
          <w:rFonts w:ascii="Times New Roman" w:eastAsia="仿宋_GB2312" w:hAnsi="Times New Roman" w:cs="Times New Roman"/>
          <w:sz w:val="32"/>
          <w:szCs w:val="32"/>
        </w:rPr>
        <w:t>XC</w:t>
      </w:r>
      <w:r>
        <w:rPr>
          <w:rFonts w:ascii="Times New Roman" w:eastAsia="仿宋_GB2312" w:hAnsi="Times New Roman" w:cs="Times New Roman"/>
          <w:sz w:val="32"/>
          <w:szCs w:val="32"/>
        </w:rPr>
        <w:t>空斑试验、</w:t>
      </w:r>
      <w:r>
        <w:rPr>
          <w:rFonts w:ascii="Times New Roman" w:eastAsia="仿宋_GB2312" w:hAnsi="Times New Roman" w:cs="Times New Roman"/>
          <w:sz w:val="32"/>
          <w:szCs w:val="32"/>
        </w:rPr>
        <w:t>S</w:t>
      </w:r>
      <w:r>
        <w:rPr>
          <w:rFonts w:ascii="Times New Roman" w:eastAsia="仿宋_GB2312" w:hAnsi="Times New Roman" w:cs="Times New Roman"/>
          <w:sz w:val="32"/>
          <w:szCs w:val="32"/>
          <w:vertAlign w:val="superscript"/>
        </w:rPr>
        <w:t>＋</w:t>
      </w:r>
      <w:r>
        <w:rPr>
          <w:rFonts w:ascii="Times New Roman" w:eastAsia="仿宋_GB2312" w:hAnsi="Times New Roman" w:cs="Times New Roman"/>
          <w:sz w:val="32"/>
          <w:szCs w:val="32"/>
        </w:rPr>
        <w:t>L</w:t>
      </w:r>
      <w:r>
        <w:rPr>
          <w:rFonts w:ascii="Times New Roman" w:eastAsia="仿宋_GB2312" w:hAnsi="Times New Roman" w:cs="Times New Roman"/>
          <w:sz w:val="32"/>
          <w:szCs w:val="32"/>
          <w:vertAlign w:val="superscript"/>
        </w:rPr>
        <w:t>－</w:t>
      </w:r>
      <w:r>
        <w:rPr>
          <w:rFonts w:ascii="Times New Roman" w:eastAsia="仿宋_GB2312" w:hAnsi="Times New Roman" w:cs="Times New Roman"/>
          <w:sz w:val="32"/>
          <w:szCs w:val="32"/>
        </w:rPr>
        <w:t>灶点分析（</w:t>
      </w:r>
      <w:r>
        <w:rPr>
          <w:rFonts w:ascii="Times New Roman" w:eastAsia="仿宋_GB2312" w:hAnsi="Times New Roman" w:cs="Times New Roman"/>
          <w:sz w:val="32"/>
          <w:szCs w:val="32"/>
        </w:rPr>
        <w:t>S</w:t>
      </w:r>
      <w:r>
        <w:rPr>
          <w:rFonts w:ascii="Times New Roman" w:eastAsia="仿宋_GB2312" w:hAnsi="Times New Roman" w:cs="Times New Roman"/>
          <w:sz w:val="32"/>
          <w:szCs w:val="32"/>
          <w:vertAlign w:val="superscript"/>
        </w:rPr>
        <w:t>＋</w:t>
      </w:r>
      <w:r>
        <w:rPr>
          <w:rFonts w:ascii="Times New Roman" w:eastAsia="仿宋_GB2312" w:hAnsi="Times New Roman" w:cs="Times New Roman"/>
          <w:sz w:val="32"/>
          <w:szCs w:val="32"/>
        </w:rPr>
        <w:t>L</w:t>
      </w:r>
      <w:r>
        <w:rPr>
          <w:rFonts w:ascii="Times New Roman" w:eastAsia="仿宋_GB2312" w:hAnsi="Times New Roman" w:cs="Times New Roman"/>
          <w:sz w:val="32"/>
          <w:szCs w:val="32"/>
          <w:vertAlign w:val="superscript"/>
        </w:rPr>
        <w:t>－</w:t>
      </w:r>
      <w:r>
        <w:rPr>
          <w:rFonts w:ascii="Times New Roman" w:eastAsia="仿宋_GB2312" w:hAnsi="Times New Roman" w:cs="Times New Roman"/>
          <w:sz w:val="32"/>
          <w:szCs w:val="32"/>
        </w:rPr>
        <w:t>Focus</w:t>
      </w:r>
      <w:r>
        <w:rPr>
          <w:rFonts w:ascii="Times New Roman" w:eastAsia="仿宋_GB2312" w:hAnsi="Times New Roman" w:cs="Times New Roman"/>
          <w:sz w:val="32"/>
          <w:szCs w:val="32"/>
        </w:rPr>
        <w:t>）等。试验时应注意设立恰当的阴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阳性对照。</w:t>
      </w:r>
      <w:r>
        <w:rPr>
          <w:rFonts w:ascii="Times New Roman" w:eastAsia="仿宋_GB2312" w:hAnsi="Times New Roman" w:cs="Times New Roman"/>
          <w:sz w:val="32"/>
          <w:szCs w:val="32"/>
        </w:rPr>
        <w:t xml:space="preserve"> </w:t>
      </w:r>
    </w:p>
    <w:p w14:paraId="0C37DAA3" w14:textId="77777777" w:rsidR="00F20E1B" w:rsidRDefault="00F20E1B" w:rsidP="00F20E1B">
      <w:pPr>
        <w:spacing w:line="520" w:lineRule="exact"/>
        <w:ind w:firstLineChars="200" w:firstLine="640"/>
        <w:outlineLvl w:val="7"/>
        <w:rPr>
          <w:rFonts w:ascii="Times New Roman" w:eastAsia="仿宋_GB2312" w:hAnsi="Times New Roman" w:cs="Times New Roman"/>
          <w:sz w:val="32"/>
          <w:szCs w:val="32"/>
        </w:rPr>
      </w:pPr>
      <w:bookmarkStart w:id="1176" w:name="_Toc118299014"/>
      <w:r>
        <w:rPr>
          <w:rFonts w:ascii="Times New Roman" w:eastAsia="仿宋_GB2312" w:hAnsi="Times New Roman" w:cs="Times New Roman"/>
          <w:sz w:val="32"/>
          <w:szCs w:val="32"/>
        </w:rPr>
        <w:t>2.3.2.2.4.2</w:t>
      </w:r>
      <w:r>
        <w:rPr>
          <w:rFonts w:ascii="Times New Roman" w:eastAsia="仿宋_GB2312" w:hAnsi="Times New Roman" w:cs="Times New Roman"/>
          <w:sz w:val="32"/>
          <w:szCs w:val="32"/>
        </w:rPr>
        <w:t>逆转录酶检测</w:t>
      </w:r>
      <w:bookmarkEnd w:id="1176"/>
    </w:p>
    <w:p w14:paraId="55CB683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为提高检测的敏感性，通常需要将受试细胞经适当的化学诱导剂诱导后，收集上清液分别与检测细胞联合培养，再检测逆转录酶的活性，注意设立恰当的阴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阳性对照。</w:t>
      </w:r>
    </w:p>
    <w:p w14:paraId="77691CDA" w14:textId="77777777" w:rsidR="00F20E1B" w:rsidRDefault="00F20E1B" w:rsidP="00F20E1B">
      <w:pPr>
        <w:spacing w:line="520" w:lineRule="exact"/>
        <w:ind w:firstLineChars="200" w:firstLine="640"/>
        <w:outlineLvl w:val="7"/>
        <w:rPr>
          <w:rFonts w:ascii="Times New Roman" w:eastAsia="仿宋_GB2312" w:hAnsi="Times New Roman" w:cs="Times New Roman"/>
          <w:sz w:val="32"/>
          <w:szCs w:val="32"/>
        </w:rPr>
      </w:pPr>
      <w:bookmarkStart w:id="1177" w:name="_Toc118299015"/>
      <w:r>
        <w:rPr>
          <w:rFonts w:ascii="Times New Roman" w:eastAsia="仿宋_GB2312" w:hAnsi="Times New Roman" w:cs="Times New Roman"/>
          <w:sz w:val="32"/>
          <w:szCs w:val="32"/>
        </w:rPr>
        <w:t>2.3.2.2.4.1</w:t>
      </w:r>
      <w:r>
        <w:rPr>
          <w:rFonts w:ascii="Times New Roman" w:eastAsia="仿宋_GB2312" w:hAnsi="Times New Roman" w:cs="Times New Roman"/>
          <w:sz w:val="32"/>
          <w:szCs w:val="32"/>
        </w:rPr>
        <w:t>透射电镜检查</w:t>
      </w:r>
      <w:bookmarkEnd w:id="1177"/>
    </w:p>
    <w:p w14:paraId="1684DD78"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透射电镜下可观察细胞基质超微结构的形态学特征以及逆转录病毒和病毒样颗粒的存在，应比较未经和经过化学诱导剂诱导的细胞。另外，需要对细胞培养液超速离心后所得的沉淀物经负染后进行检查。观察有无逆转录病毒颗粒以及颗粒的类型。</w:t>
      </w:r>
      <w:r>
        <w:rPr>
          <w:rFonts w:ascii="Times New Roman" w:eastAsia="仿宋_GB2312" w:hAnsi="Times New Roman" w:cs="Times New Roman"/>
          <w:sz w:val="32"/>
          <w:szCs w:val="32"/>
        </w:rPr>
        <w:t xml:space="preserve"> </w:t>
      </w:r>
    </w:p>
    <w:p w14:paraId="02310B41"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上述三种方法具有不同的检测特性和灵敏度。因此，应采用不同的方法联合检测。若逆转录酶活性检测阳性时，建</w:t>
      </w:r>
      <w:r>
        <w:rPr>
          <w:rFonts w:ascii="Times New Roman" w:eastAsia="仿宋_GB2312" w:hAnsi="Times New Roman" w:cs="Times New Roman"/>
          <w:sz w:val="32"/>
          <w:szCs w:val="32"/>
        </w:rPr>
        <w:lastRenderedPageBreak/>
        <w:t>议进行透射电镜检查或感染性试验，如果确证对人或者其它灵长类动物细胞有感染性的逆转录病毒颗粒，该细胞不可用于生产。</w:t>
      </w:r>
    </w:p>
    <w:p w14:paraId="2E897B1B"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78" w:name="_Toc118299016"/>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细胞稳定性研究</w:t>
      </w:r>
      <w:bookmarkEnd w:id="1178"/>
    </w:p>
    <w:p w14:paraId="6B44810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应包括库细胞、生产过程中细胞、生产终末期和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超过生产终末期等不同培养时期的细胞。库细胞应重点考察贮存、复苏等操作处理因素的影响和传代过程中的遗传稳定性，在此基础上确定库细胞传代限度，也应基于质粒拷贝数及其在载体细胞内的状态限定生产过程中载体细胞的最高传代次数，验证试验所涉及的传代范围应等于或超过规定的细胞最高限定代次。生产过程中细胞、生产终末期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或超过生产终末期细胞应考察模拟生产工艺和培养条件对细胞生长状况、表达能力等的影响，并确定生产细胞增殖限度和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或连续培养时间；使细胞始终能够持续、稳定地表达重组胶原蛋白，并将对最终胶原蛋白材料产生安全性影响的风险因素严格控制在最低限度。</w:t>
      </w:r>
      <w:r>
        <w:rPr>
          <w:rFonts w:ascii="Times New Roman" w:eastAsia="仿宋_GB2312" w:hAnsi="Times New Roman" w:cs="Times New Roman"/>
          <w:sz w:val="32"/>
          <w:szCs w:val="32"/>
        </w:rPr>
        <w:t xml:space="preserve"> </w:t>
      </w:r>
    </w:p>
    <w:p w14:paraId="3E166EDD"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79" w:name="_Toc118299017"/>
      <w:r>
        <w:rPr>
          <w:rFonts w:ascii="Times New Roman" w:eastAsia="仿宋_GB2312" w:hAnsi="Times New Roman" w:cs="Times New Roman"/>
          <w:sz w:val="32"/>
          <w:szCs w:val="32"/>
        </w:rPr>
        <w:t>2.4.1</w:t>
      </w:r>
      <w:r>
        <w:rPr>
          <w:rFonts w:ascii="Times New Roman" w:eastAsia="仿宋_GB2312" w:hAnsi="Times New Roman" w:cs="Times New Roman"/>
          <w:sz w:val="32"/>
          <w:szCs w:val="32"/>
        </w:rPr>
        <w:t>贮存条件下的稳定性</w:t>
      </w:r>
      <w:bookmarkEnd w:id="1179"/>
      <w:r>
        <w:rPr>
          <w:rFonts w:ascii="Times New Roman" w:eastAsia="仿宋_GB2312" w:hAnsi="Times New Roman" w:cs="Times New Roman"/>
          <w:sz w:val="32"/>
          <w:szCs w:val="32"/>
        </w:rPr>
        <w:t xml:space="preserve"> </w:t>
      </w:r>
    </w:p>
    <w:p w14:paraId="7DA7EA3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储存的细胞复苏后用于生产胶原蛋白材料时，应进行细胞存活率和功能活性等与细胞质量密切关联项目的研究测定，以证实复苏细胞表达能力的稳定性。应有对建库细胞贮存条件下稳定性监测的方案。这种监测应在一支或多支冷冻保藏的</w:t>
      </w:r>
      <w:r>
        <w:rPr>
          <w:rFonts w:ascii="Times New Roman" w:eastAsia="仿宋_GB2312" w:hAnsi="Times New Roman" w:cs="Times New Roman"/>
          <w:sz w:val="32"/>
          <w:szCs w:val="32"/>
        </w:rPr>
        <w:t>WCB</w:t>
      </w:r>
      <w:r>
        <w:rPr>
          <w:rFonts w:ascii="Times New Roman" w:eastAsia="仿宋_GB2312" w:hAnsi="Times New Roman" w:cs="Times New Roman"/>
          <w:sz w:val="32"/>
          <w:szCs w:val="32"/>
        </w:rPr>
        <w:t>复苏后制备生产用细胞时进行，或当一支或多支冷冻保藏的</w:t>
      </w:r>
      <w:r>
        <w:rPr>
          <w:rFonts w:ascii="Times New Roman" w:eastAsia="仿宋_GB2312" w:hAnsi="Times New Roman" w:cs="Times New Roman"/>
          <w:sz w:val="32"/>
          <w:szCs w:val="32"/>
        </w:rPr>
        <w:t xml:space="preserve">MCB </w:t>
      </w:r>
      <w:r>
        <w:rPr>
          <w:rFonts w:ascii="Times New Roman" w:eastAsia="仿宋_GB2312" w:hAnsi="Times New Roman" w:cs="Times New Roman"/>
          <w:sz w:val="32"/>
          <w:szCs w:val="32"/>
        </w:rPr>
        <w:t>复苏并用于制备新</w:t>
      </w:r>
      <w:r>
        <w:rPr>
          <w:rFonts w:ascii="Times New Roman" w:eastAsia="仿宋_GB2312" w:hAnsi="Times New Roman" w:cs="Times New Roman"/>
          <w:sz w:val="32"/>
          <w:szCs w:val="32"/>
        </w:rPr>
        <w:t>WCB</w:t>
      </w:r>
      <w:r>
        <w:rPr>
          <w:rFonts w:ascii="Times New Roman" w:eastAsia="仿宋_GB2312" w:hAnsi="Times New Roman" w:cs="Times New Roman"/>
          <w:sz w:val="32"/>
          <w:szCs w:val="32"/>
        </w:rPr>
        <w:t>时进行。如果长时间未进行生产时，应按上市申请时所述的间隔时间对生产用细胞库进行活力测试。如果细胞的活力没有明显的减退，一般不需对</w:t>
      </w:r>
      <w:r>
        <w:rPr>
          <w:rFonts w:ascii="Times New Roman" w:eastAsia="仿宋_GB2312" w:hAnsi="Times New Roman" w:cs="Times New Roman"/>
          <w:sz w:val="32"/>
          <w:szCs w:val="32"/>
        </w:rPr>
        <w:t xml:space="preserve">MCB </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 xml:space="preserve">WCB </w:t>
      </w:r>
      <w:r>
        <w:rPr>
          <w:rFonts w:ascii="Times New Roman" w:eastAsia="仿宋_GB2312" w:hAnsi="Times New Roman" w:cs="Times New Roman"/>
          <w:sz w:val="32"/>
          <w:szCs w:val="32"/>
        </w:rPr>
        <w:t>作进一步检定。</w:t>
      </w:r>
      <w:r>
        <w:rPr>
          <w:rFonts w:ascii="Times New Roman" w:eastAsia="仿宋_GB2312" w:hAnsi="Times New Roman" w:cs="Times New Roman"/>
          <w:sz w:val="32"/>
          <w:szCs w:val="32"/>
        </w:rPr>
        <w:t xml:space="preserve"> </w:t>
      </w:r>
    </w:p>
    <w:p w14:paraId="2DD19A06"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80" w:name="_Toc118299018"/>
      <w:r>
        <w:rPr>
          <w:rFonts w:ascii="Times New Roman" w:eastAsia="仿宋_GB2312" w:hAnsi="Times New Roman" w:cs="Times New Roman"/>
          <w:sz w:val="32"/>
          <w:szCs w:val="32"/>
        </w:rPr>
        <w:lastRenderedPageBreak/>
        <w:t>2.4.2</w:t>
      </w:r>
      <w:r>
        <w:rPr>
          <w:rFonts w:ascii="Times New Roman" w:eastAsia="仿宋_GB2312" w:hAnsi="Times New Roman" w:cs="Times New Roman"/>
          <w:sz w:val="32"/>
          <w:szCs w:val="32"/>
        </w:rPr>
        <w:t>传代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扩增过程中的稳定性</w:t>
      </w:r>
      <w:bookmarkEnd w:id="1180"/>
      <w:r>
        <w:rPr>
          <w:rFonts w:ascii="Times New Roman" w:eastAsia="仿宋_GB2312" w:hAnsi="Times New Roman" w:cs="Times New Roman"/>
          <w:sz w:val="32"/>
          <w:szCs w:val="32"/>
        </w:rPr>
        <w:t xml:space="preserve"> </w:t>
      </w:r>
    </w:p>
    <w:p w14:paraId="5D0EA1D5"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需对库细胞和生产过程细胞进行传代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增的稳定性研究，可将复苏的库细胞连续传代培养至一定的代次和将工作库细胞在模拟实际生产条件下连续培养、扩增（逐级放大扩增过程），直至预期培养时间以及超过预期时间之外的延长时间点，收获后进行检测分析。通过考察目的基因、表达框架等在重组工程细胞中的传代稳定性和目的产物表达的稳定性，制定库细胞的限传代次和生产细胞的增殖限度以保证实际生产过程中细胞整体扩增水平以及伴随的内源性病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或致瘤性风险等的抑制状态在预期限度范围内。至少应包括以下方面的试验研究：</w:t>
      </w:r>
    </w:p>
    <w:p w14:paraId="1563576D"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81" w:name="_Toc118299019"/>
      <w:r>
        <w:rPr>
          <w:rFonts w:ascii="Times New Roman" w:eastAsia="仿宋_GB2312" w:hAnsi="Times New Roman" w:cs="Times New Roman"/>
          <w:b w:val="0"/>
          <w:sz w:val="32"/>
          <w:szCs w:val="32"/>
        </w:rPr>
        <w:t>2.4.2.1</w:t>
      </w:r>
      <w:r>
        <w:rPr>
          <w:rFonts w:ascii="Times New Roman" w:eastAsia="仿宋_GB2312" w:hAnsi="Times New Roman" w:cs="Times New Roman"/>
          <w:b w:val="0"/>
          <w:sz w:val="32"/>
          <w:szCs w:val="32"/>
        </w:rPr>
        <w:t>基因水平的比较</w:t>
      </w:r>
      <w:bookmarkEnd w:id="1181"/>
    </w:p>
    <w:p w14:paraId="1F1DAB6B"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目的基因编码序列和表达框架不应有错误，包括突变、缺失、插入。并注意比较基因拷贝数的变化。</w:t>
      </w:r>
      <w:r>
        <w:rPr>
          <w:rFonts w:ascii="Times New Roman" w:eastAsia="仿宋_GB2312" w:hAnsi="Times New Roman" w:cs="Times New Roman"/>
          <w:sz w:val="32"/>
          <w:szCs w:val="32"/>
        </w:rPr>
        <w:t xml:space="preserve"> </w:t>
      </w:r>
    </w:p>
    <w:p w14:paraId="5045F1E6"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82" w:name="_Toc118299020"/>
      <w:r>
        <w:rPr>
          <w:rFonts w:ascii="Times New Roman" w:eastAsia="仿宋_GB2312" w:hAnsi="Times New Roman" w:cs="Times New Roman"/>
          <w:b w:val="0"/>
          <w:sz w:val="32"/>
          <w:szCs w:val="32"/>
        </w:rPr>
        <w:t>2.4.2.2</w:t>
      </w:r>
      <w:r>
        <w:rPr>
          <w:rFonts w:ascii="Times New Roman" w:eastAsia="仿宋_GB2312" w:hAnsi="Times New Roman" w:cs="Times New Roman"/>
          <w:b w:val="0"/>
          <w:sz w:val="32"/>
          <w:szCs w:val="32"/>
        </w:rPr>
        <w:t>目的产物表达水平的比较</w:t>
      </w:r>
      <w:bookmarkEnd w:id="1182"/>
    </w:p>
    <w:p w14:paraId="265DF01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目的产物的表达量和表达活性不应有明显降低，根据不同的重组人源化胶原蛋白和具体研究结果确定适宜的可接受标准。</w:t>
      </w:r>
      <w:r>
        <w:rPr>
          <w:rFonts w:ascii="Times New Roman" w:eastAsia="仿宋_GB2312" w:hAnsi="Times New Roman" w:cs="Times New Roman"/>
          <w:sz w:val="32"/>
          <w:szCs w:val="32"/>
        </w:rPr>
        <w:t xml:space="preserve"> </w:t>
      </w:r>
    </w:p>
    <w:p w14:paraId="7CCFFBD7"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83" w:name="_Toc118299021"/>
      <w:r>
        <w:rPr>
          <w:rFonts w:ascii="Times New Roman" w:eastAsia="仿宋_GB2312" w:hAnsi="Times New Roman" w:cs="Times New Roman"/>
          <w:b w:val="0"/>
          <w:sz w:val="32"/>
          <w:szCs w:val="32"/>
        </w:rPr>
        <w:t>2.4.2.3</w:t>
      </w:r>
      <w:r>
        <w:rPr>
          <w:rFonts w:ascii="Times New Roman" w:eastAsia="仿宋_GB2312" w:hAnsi="Times New Roman" w:cs="Times New Roman"/>
          <w:b w:val="0"/>
          <w:sz w:val="32"/>
          <w:szCs w:val="32"/>
        </w:rPr>
        <w:t>细胞自身的稳定性</w:t>
      </w:r>
      <w:bookmarkEnd w:id="1183"/>
    </w:p>
    <w:p w14:paraId="51FD595F"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应重点检测细胞在传代</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扩增过程中的形态、生长、代谢等基本状况，遗传特征和致肿瘤特性的变化。</w:t>
      </w:r>
      <w:r>
        <w:rPr>
          <w:rFonts w:ascii="Times New Roman" w:eastAsia="仿宋_GB2312" w:hAnsi="Times New Roman" w:cs="Times New Roman"/>
          <w:sz w:val="32"/>
          <w:szCs w:val="32"/>
        </w:rPr>
        <w:t xml:space="preserve"> </w:t>
      </w:r>
    </w:p>
    <w:p w14:paraId="7F5A6B7F"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84" w:name="_Toc118299022"/>
      <w:r>
        <w:rPr>
          <w:rFonts w:ascii="Times New Roman" w:eastAsia="仿宋_GB2312" w:hAnsi="Times New Roman" w:cs="Times New Roman"/>
          <w:b w:val="0"/>
          <w:sz w:val="32"/>
          <w:szCs w:val="32"/>
        </w:rPr>
        <w:t>2.4.2.4</w:t>
      </w:r>
      <w:r>
        <w:rPr>
          <w:rFonts w:ascii="Times New Roman" w:eastAsia="仿宋_GB2312" w:hAnsi="Times New Roman" w:cs="Times New Roman"/>
          <w:b w:val="0"/>
          <w:sz w:val="32"/>
          <w:szCs w:val="32"/>
        </w:rPr>
        <w:t>内源因子检查</w:t>
      </w:r>
      <w:bookmarkEnd w:id="1184"/>
    </w:p>
    <w:p w14:paraId="4ADAED1C"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应动态考察内源因子的复制是否得到有效抑制。重点检测由细胞来源动物和宿主细胞特性所决定的易染病毒如内源性逆转录病毒，分析其对于人类的致病性和重要性，严格控制其产生的条件。</w:t>
      </w:r>
      <w:r>
        <w:rPr>
          <w:rFonts w:ascii="Times New Roman" w:eastAsia="仿宋_GB2312" w:hAnsi="Times New Roman" w:cs="Times New Roman"/>
          <w:sz w:val="32"/>
          <w:szCs w:val="32"/>
        </w:rPr>
        <w:t xml:space="preserve"> </w:t>
      </w:r>
    </w:p>
    <w:p w14:paraId="4BC71C52" w14:textId="77777777" w:rsidR="00F20E1B" w:rsidRDefault="00F20E1B" w:rsidP="00F20E1B">
      <w:pPr>
        <w:pStyle w:val="6"/>
        <w:spacing w:before="0" w:after="0" w:line="520" w:lineRule="exact"/>
        <w:ind w:firstLineChars="200" w:firstLine="640"/>
        <w:rPr>
          <w:rFonts w:ascii="Times New Roman" w:eastAsia="仿宋_GB2312" w:hAnsi="Times New Roman" w:cs="Times New Roman"/>
          <w:b w:val="0"/>
          <w:sz w:val="32"/>
          <w:szCs w:val="32"/>
        </w:rPr>
      </w:pPr>
      <w:bookmarkStart w:id="1185" w:name="_Toc118299023"/>
      <w:r>
        <w:rPr>
          <w:rFonts w:ascii="Times New Roman" w:eastAsia="仿宋_GB2312" w:hAnsi="Times New Roman" w:cs="Times New Roman"/>
          <w:b w:val="0"/>
          <w:sz w:val="32"/>
          <w:szCs w:val="32"/>
        </w:rPr>
        <w:lastRenderedPageBreak/>
        <w:t>2.4.2.5</w:t>
      </w:r>
      <w:r>
        <w:rPr>
          <w:rFonts w:ascii="Times New Roman" w:eastAsia="仿宋_GB2312" w:hAnsi="Times New Roman" w:cs="Times New Roman"/>
          <w:b w:val="0"/>
          <w:sz w:val="32"/>
          <w:szCs w:val="32"/>
        </w:rPr>
        <w:t>致瘤性监测</w:t>
      </w:r>
      <w:bookmarkEnd w:id="1185"/>
    </w:p>
    <w:p w14:paraId="309644C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对于致瘤性试验阳性的细胞，</w:t>
      </w:r>
      <w:r>
        <w:rPr>
          <w:rFonts w:ascii="Times New Roman" w:eastAsia="仿宋_GB2312" w:hAnsi="Times New Roman" w:cs="Times New Roman" w:hint="eastAsia"/>
          <w:sz w:val="32"/>
          <w:szCs w:val="32"/>
        </w:rPr>
        <w:t>尤其对动物细胞，</w:t>
      </w:r>
      <w:r>
        <w:rPr>
          <w:rFonts w:ascii="Times New Roman" w:eastAsia="仿宋_GB2312" w:hAnsi="Times New Roman" w:cs="Times New Roman"/>
          <w:sz w:val="32"/>
          <w:szCs w:val="32"/>
        </w:rPr>
        <w:t>应通过比较研究考察细胞培养传代过程中致瘤性特征的改变，例如试验阳性时的细胞代次、最低接种量、肿瘤转移扩散、肿瘤增殖时间、瘤组织病理特征等。</w:t>
      </w:r>
      <w:r>
        <w:rPr>
          <w:rFonts w:ascii="Times New Roman" w:eastAsia="仿宋_GB2312" w:hAnsi="Times New Roman" w:cs="Times New Roman" w:hint="eastAsia"/>
          <w:sz w:val="32"/>
          <w:szCs w:val="32"/>
        </w:rPr>
        <w:t>建议对不同剂量（低、中、</w:t>
      </w:r>
      <w:r w:rsidRPr="00F21599">
        <w:rPr>
          <w:rFonts w:ascii="Times New Roman" w:eastAsia="仿宋_GB2312" w:hAnsi="Times New Roman" w:cs="Times New Roman" w:hint="eastAsia"/>
          <w:sz w:val="32"/>
          <w:szCs w:val="32"/>
        </w:rPr>
        <w:t>高）进行不同宿主细胞的致瘤性试验，</w:t>
      </w:r>
      <w:r>
        <w:rPr>
          <w:rFonts w:ascii="Times New Roman" w:eastAsia="仿宋_GB2312" w:hAnsi="Times New Roman" w:cs="Times New Roman" w:hint="eastAsia"/>
          <w:sz w:val="32"/>
          <w:szCs w:val="32"/>
        </w:rPr>
        <w:t>直至</w:t>
      </w:r>
      <w:r w:rsidRPr="00F21599">
        <w:rPr>
          <w:rFonts w:ascii="Times New Roman" w:eastAsia="仿宋_GB2312" w:hAnsi="Times New Roman" w:cs="Times New Roman" w:hint="eastAsia"/>
          <w:sz w:val="32"/>
          <w:szCs w:val="32"/>
        </w:rPr>
        <w:t>筛</w:t>
      </w:r>
      <w:r>
        <w:rPr>
          <w:rFonts w:ascii="Times New Roman" w:eastAsia="仿宋_GB2312" w:hAnsi="Times New Roman" w:cs="Times New Roman" w:hint="eastAsia"/>
          <w:sz w:val="32"/>
          <w:szCs w:val="32"/>
        </w:rPr>
        <w:t>选</w:t>
      </w:r>
      <w:r w:rsidRPr="00F21599">
        <w:rPr>
          <w:rFonts w:ascii="Times New Roman" w:eastAsia="仿宋_GB2312" w:hAnsi="Times New Roman" w:cs="Times New Roman" w:hint="eastAsia"/>
          <w:sz w:val="32"/>
          <w:szCs w:val="32"/>
        </w:rPr>
        <w:t>出低致瘤性细胞。</w:t>
      </w:r>
    </w:p>
    <w:p w14:paraId="0FD8D7EA"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86" w:name="_Toc118299024"/>
      <w:r>
        <w:rPr>
          <w:rFonts w:ascii="Times New Roman" w:eastAsia="仿宋_GB2312" w:hAnsi="Times New Roman" w:cs="Times New Roman"/>
          <w:kern w:val="0"/>
          <w:sz w:val="32"/>
          <w:szCs w:val="32"/>
        </w:rPr>
        <w:t xml:space="preserve">2.5 </w:t>
      </w:r>
      <w:r>
        <w:rPr>
          <w:rFonts w:ascii="Times New Roman" w:eastAsia="仿宋_GB2312" w:hAnsi="Times New Roman" w:cs="Times New Roman"/>
          <w:kern w:val="0"/>
          <w:sz w:val="32"/>
          <w:szCs w:val="32"/>
        </w:rPr>
        <w:t>生产过程细胞质量控制</w:t>
      </w:r>
      <w:bookmarkEnd w:id="1186"/>
    </w:p>
    <w:p w14:paraId="0CDFF524"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种子库细胞应在全面质量研究和检测分析基础上，模拟实际生产过程进行扩增培养，并检测分析目的基因表达的稳定性、细胞生长状况、污染控制、致肿瘤风险性等；规模化生产后须建立细胞生产培养过程的监控标准，生产细胞培养终末期应符合质量控制相关要求。</w:t>
      </w:r>
      <w:r>
        <w:rPr>
          <w:rFonts w:ascii="Times New Roman" w:eastAsia="仿宋_GB2312" w:hAnsi="Times New Roman" w:cs="Times New Roman"/>
          <w:sz w:val="32"/>
          <w:szCs w:val="32"/>
        </w:rPr>
        <w:t xml:space="preserve"> </w:t>
      </w:r>
    </w:p>
    <w:p w14:paraId="06CC2459"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对于内源性逆转录病毒和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或致瘤性试验阳性的细胞，应依据工艺处理能力制定风险性成分的控制条件，并根据模拟生产状态下取得的试验研究数据制定废弃收获液的标准；生产工艺须包括有效的病毒和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或致瘤性成分的灭活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去除方法并经过充分验证。</w:t>
      </w:r>
      <w:r>
        <w:rPr>
          <w:rFonts w:ascii="Times New Roman" w:eastAsia="仿宋_GB2312" w:hAnsi="Times New Roman" w:cs="Times New Roman"/>
          <w:sz w:val="32"/>
          <w:szCs w:val="32"/>
        </w:rPr>
        <w:t xml:space="preserve"> </w:t>
      </w:r>
    </w:p>
    <w:p w14:paraId="609B1BA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如果整个培养过程中的关键环节例如培养基、培养条件、培养时间和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或限制代次、培养方式等发生重大改进，细胞培养工艺进行了放大，影响了原已确定的监控标准，应重复进行一次全面的检测验证。</w:t>
      </w:r>
    </w:p>
    <w:p w14:paraId="3980039F"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87" w:name="_Toc118299025"/>
      <w:r>
        <w:rPr>
          <w:rFonts w:ascii="Times New Roman" w:eastAsia="仿宋_GB2312" w:hAnsi="Times New Roman" w:cs="Times New Roman"/>
          <w:sz w:val="32"/>
          <w:szCs w:val="32"/>
        </w:rPr>
        <w:t>2.5.1</w:t>
      </w:r>
      <w:r>
        <w:rPr>
          <w:rFonts w:ascii="Times New Roman" w:eastAsia="仿宋_GB2312" w:hAnsi="Times New Roman" w:cs="Times New Roman"/>
          <w:sz w:val="32"/>
          <w:szCs w:val="32"/>
        </w:rPr>
        <w:t>常规生产过程监控</w:t>
      </w:r>
      <w:bookmarkEnd w:id="1187"/>
      <w:r>
        <w:rPr>
          <w:rFonts w:ascii="Times New Roman" w:eastAsia="仿宋_GB2312" w:hAnsi="Times New Roman" w:cs="Times New Roman"/>
          <w:sz w:val="32"/>
          <w:szCs w:val="32"/>
        </w:rPr>
        <w:t xml:space="preserve"> </w:t>
      </w:r>
    </w:p>
    <w:p w14:paraId="7F17C89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经研究确定了生产工艺条件之后，常规生产过程中可重点监测微生物污染和细胞生长状况，例如活细胞数目和形态、代谢和功能状态、目的蛋白表达状况、潜伏性逆转录病毒基</w:t>
      </w:r>
      <w:r>
        <w:rPr>
          <w:rFonts w:ascii="Times New Roman" w:eastAsia="仿宋_GB2312" w:hAnsi="Times New Roman" w:cs="Times New Roman"/>
          <w:sz w:val="32"/>
          <w:szCs w:val="32"/>
        </w:rPr>
        <w:lastRenderedPageBreak/>
        <w:t>因组激活状况、细菌和支原体污染以及其它要求等，在比较分析的基础上确定批次或者连续培养生产的终末细胞的检测项目及可接受标准。</w:t>
      </w:r>
    </w:p>
    <w:p w14:paraId="4E7672C3"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88" w:name="_Toc118299026"/>
      <w:r>
        <w:rPr>
          <w:rFonts w:ascii="Times New Roman" w:eastAsia="仿宋_GB2312" w:hAnsi="Times New Roman" w:cs="Times New Roman"/>
          <w:sz w:val="32"/>
          <w:szCs w:val="32"/>
        </w:rPr>
        <w:t>2.5.2</w:t>
      </w:r>
      <w:r>
        <w:rPr>
          <w:rFonts w:ascii="Times New Roman" w:eastAsia="仿宋_GB2312" w:hAnsi="Times New Roman" w:cs="Times New Roman"/>
          <w:sz w:val="32"/>
          <w:szCs w:val="32"/>
        </w:rPr>
        <w:t>细胞增殖限度</w:t>
      </w:r>
      <w:bookmarkEnd w:id="1188"/>
      <w:r>
        <w:rPr>
          <w:rFonts w:ascii="Times New Roman" w:eastAsia="仿宋_GB2312" w:hAnsi="Times New Roman" w:cs="Times New Roman"/>
          <w:sz w:val="32"/>
          <w:szCs w:val="32"/>
        </w:rPr>
        <w:t xml:space="preserve"> </w:t>
      </w:r>
    </w:p>
    <w:p w14:paraId="311D881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在细胞稳定性试验研究的基础上，应结合细胞培养、维持等工艺过程中实际采用的生产方式如批式培养（</w:t>
      </w:r>
      <w:r>
        <w:rPr>
          <w:rFonts w:ascii="Times New Roman" w:eastAsia="仿宋_GB2312" w:hAnsi="Times New Roman" w:cs="Times New Roman"/>
          <w:sz w:val="32"/>
          <w:szCs w:val="32"/>
        </w:rPr>
        <w:t>batch culture</w:t>
      </w:r>
      <w:r>
        <w:rPr>
          <w:rFonts w:ascii="Times New Roman" w:eastAsia="仿宋_GB2312" w:hAnsi="Times New Roman" w:cs="Times New Roman"/>
          <w:sz w:val="32"/>
          <w:szCs w:val="32"/>
        </w:rPr>
        <w:t>）、流加培养</w:t>
      </w:r>
      <w:r>
        <w:rPr>
          <w:rFonts w:ascii="Times New Roman" w:eastAsia="仿宋_GB2312" w:hAnsi="Times New Roman" w:cs="Times New Roman"/>
          <w:sz w:val="32"/>
          <w:szCs w:val="32"/>
        </w:rPr>
        <w:t xml:space="preserve">(fed-batch culture) </w:t>
      </w:r>
      <w:r>
        <w:rPr>
          <w:rFonts w:ascii="Times New Roman" w:eastAsia="仿宋_GB2312" w:hAnsi="Times New Roman" w:cs="Times New Roman"/>
          <w:sz w:val="32"/>
          <w:szCs w:val="32"/>
        </w:rPr>
        <w:t>、灌注培养</w:t>
      </w:r>
      <w:r>
        <w:rPr>
          <w:rFonts w:ascii="Times New Roman" w:eastAsia="仿宋_GB2312" w:hAnsi="Times New Roman" w:cs="Times New Roman"/>
          <w:sz w:val="32"/>
          <w:szCs w:val="32"/>
        </w:rPr>
        <w:t>(perfusion culture)</w:t>
      </w:r>
      <w:r>
        <w:rPr>
          <w:rFonts w:ascii="Times New Roman" w:eastAsia="仿宋_GB2312" w:hAnsi="Times New Roman" w:cs="Times New Roman"/>
          <w:sz w:val="32"/>
          <w:szCs w:val="32"/>
        </w:rPr>
        <w:t>等各自特点，考察细胞体外连续扩增、培养过程中发生的变化，例如细胞的生长状态、内源性病毒抑制状态、目的蛋白表达的下降程度以及致瘤性改变等确定适宜的收获方式、收获时间、细胞终止培养时间和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或增殖代次，并预留充分的安全储备。实际生产过程中细胞不得超过预先设定的培养时间和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或增殖限度</w:t>
      </w:r>
    </w:p>
    <w:p w14:paraId="54F9DD39" w14:textId="77777777" w:rsidR="00F20E1B" w:rsidRDefault="00F20E1B" w:rsidP="00F20E1B">
      <w:pPr>
        <w:spacing w:line="520" w:lineRule="exact"/>
        <w:ind w:firstLineChars="200" w:firstLine="640"/>
        <w:outlineLvl w:val="4"/>
        <w:rPr>
          <w:rFonts w:ascii="Times New Roman" w:eastAsia="仿宋_GB2312" w:hAnsi="Times New Roman" w:cs="Times New Roman"/>
          <w:sz w:val="32"/>
          <w:szCs w:val="32"/>
        </w:rPr>
      </w:pPr>
      <w:bookmarkStart w:id="1189" w:name="_Toc118299027"/>
      <w:r>
        <w:rPr>
          <w:rFonts w:ascii="Times New Roman" w:eastAsia="仿宋_GB2312" w:hAnsi="Times New Roman" w:cs="Times New Roman"/>
          <w:sz w:val="32"/>
          <w:szCs w:val="32"/>
        </w:rPr>
        <w:t>2.5.3</w:t>
      </w:r>
      <w:r>
        <w:rPr>
          <w:rFonts w:ascii="Times New Roman" w:eastAsia="仿宋_GB2312" w:hAnsi="Times New Roman" w:cs="Times New Roman"/>
          <w:sz w:val="32"/>
          <w:szCs w:val="32"/>
        </w:rPr>
        <w:t>其它风险性因素控制</w:t>
      </w:r>
      <w:bookmarkEnd w:id="1189"/>
      <w:r>
        <w:rPr>
          <w:rFonts w:ascii="Times New Roman" w:eastAsia="仿宋_GB2312" w:hAnsi="Times New Roman" w:cs="Times New Roman"/>
          <w:sz w:val="32"/>
          <w:szCs w:val="32"/>
        </w:rPr>
        <w:t xml:space="preserve"> </w:t>
      </w:r>
    </w:p>
    <w:p w14:paraId="10A8C6E0"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培养基对细胞的质量有直接的影响，也是细胞污染的可能来源之一。应明确培养基的组成、来源及质量标准。对于动物源性添加成分，应尽可能控制并减少其使用；如确需使用，应阐明选择的理由，并说明该成分的来源和病毒安全性控制方法。目前提倡采用无血清培养基，并尽可能减少用于处理细胞（例如从贴壁状态中游离或者分散）的动物来源的蛋白酶。各种培养基的来源和质量检测数据均应有可追溯的文件记录。如培养中使用了牛源性物质，应明确其来自非</w:t>
      </w:r>
      <w:r>
        <w:rPr>
          <w:rFonts w:ascii="Times New Roman" w:eastAsia="仿宋_GB2312" w:hAnsi="Times New Roman" w:cs="Times New Roman"/>
          <w:sz w:val="32"/>
          <w:szCs w:val="32"/>
        </w:rPr>
        <w:t>BSE</w:t>
      </w:r>
      <w:r>
        <w:rPr>
          <w:rFonts w:ascii="Times New Roman" w:eastAsia="仿宋_GB2312" w:hAnsi="Times New Roman" w:cs="Times New Roman"/>
          <w:sz w:val="32"/>
          <w:szCs w:val="32"/>
        </w:rPr>
        <w:t>疫区，并应按照国家食品药品监督管理局的相关规定提供必要的证明性文件。</w:t>
      </w:r>
      <w:r>
        <w:rPr>
          <w:rFonts w:ascii="Times New Roman" w:eastAsia="仿宋_GB2312" w:hAnsi="Times New Roman" w:cs="Times New Roman"/>
          <w:sz w:val="32"/>
          <w:szCs w:val="32"/>
        </w:rPr>
        <w:t xml:space="preserve"> </w:t>
      </w:r>
    </w:p>
    <w:p w14:paraId="35E239D2"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细胞培养条件的研究中，应考察使内源性逆转录病毒复制和癌基因相关序列激活或者复制受抑制的控制条件，对模</w:t>
      </w:r>
      <w:r>
        <w:rPr>
          <w:rFonts w:ascii="Times New Roman" w:eastAsia="仿宋_GB2312" w:hAnsi="Times New Roman" w:cs="Times New Roman"/>
          <w:sz w:val="32"/>
          <w:szCs w:val="32"/>
        </w:rPr>
        <w:lastRenderedPageBreak/>
        <w:t>拟生产条件下的状况进行分析，确定可实际控制的程度。生产中应严格执行研究确定的控制条件。</w:t>
      </w:r>
    </w:p>
    <w:p w14:paraId="42D0FAD7"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0" w:name="_Toc118299028"/>
      <w:r>
        <w:rPr>
          <w:rFonts w:ascii="Times New Roman" w:eastAsia="仿宋_GB2312" w:hAnsi="Times New Roman" w:cs="Times New Roman"/>
          <w:kern w:val="0"/>
          <w:sz w:val="32"/>
          <w:szCs w:val="32"/>
        </w:rPr>
        <w:t xml:space="preserve">2.6  </w:t>
      </w:r>
      <w:r>
        <w:rPr>
          <w:rFonts w:ascii="Times New Roman" w:eastAsia="仿宋_GB2312" w:hAnsi="Times New Roman" w:cs="Times New Roman"/>
          <w:kern w:val="0"/>
          <w:sz w:val="32"/>
          <w:szCs w:val="32"/>
        </w:rPr>
        <w:t>风险评估与控制</w:t>
      </w:r>
      <w:bookmarkEnd w:id="1190"/>
    </w:p>
    <w:p w14:paraId="6633E3D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库的建立，其序列的设计、生产用材料、制备工艺、质量、稳定性、内包材的要求可依具体情况，结合细胞系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库的质量研究结果进行综合评估。可结合生产使用情况和细胞系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库的研究和检测情况，制定重组人源化胶原蛋白原材料的风险控制策略。良好的重组人源化胶原蛋白原材料质量研究与控制有利于筛选、建立出质量良好的细胞系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库，有利于后续的生产研究。在细胞系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库建立过程中，建议对细胞系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库进行检定和传代稳定性研究，关注细胞系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库功能是否符合理论设计和预期、安全是否可控，必要时对工程细胞进行相应的质量研究，以确认其适用性。</w:t>
      </w:r>
    </w:p>
    <w:p w14:paraId="6FB9ACB6"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随着技术不断更新和研究经验的逐步积累，研发过程常常伴随重组人源胶原合成表达系统的升级和工艺的优化，因此研发各阶段有可能发生变更。系统的变更可能显著影响工程细胞的安全性和有效性，是重要风险之一，研发者需评估变更引入的影响和风险。根据风险评估情况，对重组人源胶原合成表达系统及其工程细胞的质量、工艺控制、稳定性等方面进行深入研究，合理设计变更可比性研究方案。</w:t>
      </w:r>
    </w:p>
    <w:p w14:paraId="4123C5FE" w14:textId="25848CAA" w:rsidR="00F20E1B" w:rsidRPr="00205AAB" w:rsidRDefault="00D55CA4" w:rsidP="00205AAB">
      <w:pPr>
        <w:pStyle w:val="af7"/>
        <w:spacing w:line="520" w:lineRule="exact"/>
        <w:ind w:left="640" w:firstLineChars="0" w:firstLine="0"/>
        <w:outlineLvl w:val="1"/>
        <w:rPr>
          <w:rFonts w:ascii="Times New Roman" w:eastAsia="黑体" w:hAnsi="Times New Roman" w:cs="Times New Roman"/>
          <w:b/>
          <w:kern w:val="0"/>
          <w:sz w:val="32"/>
          <w:szCs w:val="32"/>
        </w:rPr>
      </w:pPr>
      <w:bookmarkStart w:id="1191" w:name="_Toc118299029"/>
      <w:r w:rsidRPr="00205AAB">
        <w:rPr>
          <w:rFonts w:ascii="Times New Roman" w:eastAsia="楷体_GB2312" w:hAnsi="Times New Roman" w:cs="Times New Roman" w:hint="eastAsia"/>
          <w:kern w:val="0"/>
          <w:sz w:val="32"/>
          <w:szCs w:val="32"/>
        </w:rPr>
        <w:t>二、</w:t>
      </w:r>
      <w:r w:rsidR="00F20E1B" w:rsidRPr="00205AAB">
        <w:rPr>
          <w:rFonts w:ascii="Times New Roman" w:eastAsia="楷体_GB2312" w:hAnsi="Times New Roman" w:cs="Times New Roman"/>
          <w:kern w:val="0"/>
          <w:sz w:val="32"/>
          <w:szCs w:val="32"/>
        </w:rPr>
        <w:t>常规生产过程控制</w:t>
      </w:r>
      <w:bookmarkEnd w:id="1191"/>
    </w:p>
    <w:p w14:paraId="146F6F20" w14:textId="77777777" w:rsidR="00F20E1B" w:rsidRDefault="00F20E1B" w:rsidP="00F20E1B">
      <w:pPr>
        <w:widowControl/>
        <w:spacing w:line="52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重组胶原蛋白的结构特性容易受到各种理化因素的影响，且分离提纯工艺复杂，因此其质量控制体系是针对生产全过程，采用化学、物理和生物学等手段而进行的全程、实时的质量控制。生产过程中每一环节或制备条件的改变均可能影响其非临床安全性评价的合理性。</w:t>
      </w:r>
    </w:p>
    <w:p w14:paraId="1206EDE7" w14:textId="77777777" w:rsidR="00F20E1B" w:rsidRDefault="00F20E1B" w:rsidP="00F20E1B">
      <w:pPr>
        <w:spacing w:line="520" w:lineRule="exact"/>
        <w:ind w:firstLineChars="200" w:firstLine="640"/>
        <w:jc w:val="left"/>
        <w:outlineLvl w:val="2"/>
        <w:rPr>
          <w:rFonts w:ascii="Times New Roman" w:eastAsia="仿宋_GB2312" w:hAnsi="Times New Roman" w:cs="Times New Roman"/>
          <w:kern w:val="0"/>
          <w:sz w:val="32"/>
          <w:szCs w:val="32"/>
        </w:rPr>
      </w:pPr>
      <w:bookmarkStart w:id="1192" w:name="_Toc118299030"/>
      <w:r>
        <w:rPr>
          <w:rFonts w:ascii="Times New Roman" w:eastAsia="仿宋_GB2312" w:hAnsi="Times New Roman" w:cs="Times New Roman"/>
          <w:kern w:val="0"/>
          <w:sz w:val="32"/>
          <w:szCs w:val="32"/>
        </w:rPr>
        <w:lastRenderedPageBreak/>
        <w:t xml:space="preserve">1. </w:t>
      </w:r>
      <w:r>
        <w:rPr>
          <w:rFonts w:ascii="Times New Roman" w:eastAsia="仿宋_GB2312" w:hAnsi="Times New Roman" w:cs="Times New Roman"/>
          <w:kern w:val="0"/>
          <w:sz w:val="32"/>
          <w:szCs w:val="32"/>
        </w:rPr>
        <w:t>制备工艺</w:t>
      </w:r>
      <w:bookmarkEnd w:id="1192"/>
    </w:p>
    <w:p w14:paraId="2EE17123" w14:textId="77777777" w:rsidR="00F20E1B" w:rsidRDefault="00F20E1B" w:rsidP="00F20E1B">
      <w:pPr>
        <w:widowControl/>
        <w:spacing w:line="52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以质粒</w:t>
      </w:r>
      <w:r>
        <w:rPr>
          <w:rFonts w:ascii="Times New Roman" w:eastAsia="仿宋_GB2312" w:hAnsi="Times New Roman" w:cs="Times New Roman"/>
          <w:color w:val="000000"/>
          <w:kern w:val="0"/>
          <w:sz w:val="32"/>
          <w:szCs w:val="32"/>
        </w:rPr>
        <w:t>DNA</w:t>
      </w:r>
      <w:r>
        <w:rPr>
          <w:rFonts w:ascii="Times New Roman" w:eastAsia="仿宋_GB2312" w:hAnsi="Times New Roman" w:cs="Times New Roman"/>
          <w:color w:val="000000"/>
          <w:kern w:val="0"/>
          <w:sz w:val="32"/>
          <w:szCs w:val="32"/>
        </w:rPr>
        <w:t>为例，其制备步骤一般包括微生物培养及发酵、菌体收集、菌体裂解、质粒纯化、浓缩、灌装等。工艺研究与确定过程需对关键工艺参数进行探索和优化，建立稳定的制备工艺。关键工艺参数可能包括发酵培养基组成、发酵培养温度、补料培养基组成、补料时间和补料量、溶氧量、碱裂解缓冲液及中和缓冲液的组成、碱裂解时间、层析柱载量、层析流速等。研究中建议关注制备全过程对质粒结构和功能的可能影响，如碱裂解步骤可能产生的质粒不可逆变性的情况等。纯化工艺开发过程中，可以根据质粒的实际大小和性质选择合适的柱层析填料，最大程度去除宿主</w:t>
      </w:r>
      <w:r>
        <w:rPr>
          <w:rFonts w:ascii="Times New Roman" w:eastAsia="仿宋_GB2312" w:hAnsi="Times New Roman" w:cs="Times New Roman"/>
          <w:color w:val="000000"/>
          <w:kern w:val="0"/>
          <w:sz w:val="32"/>
          <w:szCs w:val="32"/>
        </w:rPr>
        <w:t>RNA</w:t>
      </w:r>
      <w:r>
        <w:rPr>
          <w:rFonts w:ascii="Times New Roman" w:eastAsia="仿宋_GB2312" w:hAnsi="Times New Roman" w:cs="Times New Roman"/>
          <w:color w:val="000000"/>
          <w:kern w:val="0"/>
          <w:sz w:val="32"/>
          <w:szCs w:val="32"/>
        </w:rPr>
        <w:t>、宿主</w:t>
      </w:r>
      <w:r>
        <w:rPr>
          <w:rFonts w:ascii="Times New Roman" w:eastAsia="仿宋_GB2312" w:hAnsi="Times New Roman" w:cs="Times New Roman"/>
          <w:color w:val="000000"/>
          <w:kern w:val="0"/>
          <w:sz w:val="32"/>
          <w:szCs w:val="32"/>
        </w:rPr>
        <w:t>DNA</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DNA</w:t>
      </w:r>
      <w:r>
        <w:rPr>
          <w:rFonts w:ascii="Times New Roman" w:eastAsia="仿宋_GB2312" w:hAnsi="Times New Roman" w:cs="Times New Roman"/>
          <w:color w:val="000000"/>
          <w:kern w:val="0"/>
          <w:sz w:val="32"/>
          <w:szCs w:val="32"/>
        </w:rPr>
        <w:t>碎片和细菌内毒素等杂质。根据研究，设置合理的过程控制指标和可接受标准，如质粒中间产物的浓度、超螺旋比例、杂质残留量等。</w:t>
      </w:r>
    </w:p>
    <w:p w14:paraId="19BE2ABA" w14:textId="77777777" w:rsidR="00F20E1B" w:rsidRDefault="00F20E1B" w:rsidP="00F20E1B">
      <w:pPr>
        <w:spacing w:line="520" w:lineRule="exact"/>
        <w:ind w:firstLineChars="200" w:firstLine="640"/>
        <w:jc w:val="left"/>
        <w:outlineLvl w:val="2"/>
        <w:rPr>
          <w:rFonts w:ascii="Times New Roman" w:eastAsia="仿宋_GB2312" w:hAnsi="Times New Roman" w:cs="Times New Roman"/>
          <w:kern w:val="0"/>
          <w:sz w:val="32"/>
          <w:szCs w:val="32"/>
        </w:rPr>
      </w:pPr>
      <w:bookmarkStart w:id="1193" w:name="_Toc118299031"/>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．发酵</w:t>
      </w:r>
      <w:bookmarkEnd w:id="1193"/>
    </w:p>
    <w:p w14:paraId="2F79E156"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需对生产过程中使用的各种原材料进行质量控制，以保证这些原材料符合既定用途的要求。需根据生产过程中培养、增值和蛋白表达量一致性的研究资料，确定转罐、诱导、终止培养的技术参数。需根据生产工艺验证资料，明确生产过程中的工艺参数，如培养基灭菌时间灭菌温度、培养周期等；同时根据表达系统差异，针对性的建立细胞（细菌、酵母或其他）生长的主要质控指标（包括但不限于发酵液</w:t>
      </w:r>
      <w:r>
        <w:rPr>
          <w:rFonts w:ascii="Times New Roman" w:eastAsia="仿宋_GB2312" w:hAnsi="Times New Roman" w:cs="Times New Roman"/>
          <w:color w:val="000000"/>
          <w:kern w:val="0"/>
          <w:sz w:val="32"/>
          <w:szCs w:val="32"/>
        </w:rPr>
        <w:t>OD</w:t>
      </w:r>
      <w:r>
        <w:rPr>
          <w:rFonts w:ascii="Times New Roman" w:eastAsia="仿宋_GB2312" w:hAnsi="Times New Roman" w:cs="Times New Roman"/>
          <w:color w:val="000000"/>
          <w:kern w:val="0"/>
          <w:sz w:val="32"/>
          <w:szCs w:val="32"/>
        </w:rPr>
        <w:t>值、</w:t>
      </w:r>
      <w:r>
        <w:rPr>
          <w:rFonts w:ascii="Times New Roman" w:eastAsia="仿宋_GB2312" w:hAnsi="Times New Roman" w:cs="Times New Roman"/>
          <w:color w:val="000000"/>
          <w:kern w:val="0"/>
          <w:sz w:val="32"/>
          <w:szCs w:val="32"/>
        </w:rPr>
        <w:t>pH</w:t>
      </w:r>
      <w:r>
        <w:rPr>
          <w:rFonts w:ascii="Times New Roman" w:eastAsia="仿宋_GB2312" w:hAnsi="Times New Roman" w:cs="Times New Roman"/>
          <w:color w:val="000000"/>
          <w:kern w:val="0"/>
          <w:sz w:val="32"/>
          <w:szCs w:val="32"/>
        </w:rPr>
        <w:t>值、目标蛋白分子量、蛋白表达量、质粒稳定性等）。</w:t>
      </w:r>
    </w:p>
    <w:p w14:paraId="71C669D2"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4" w:name="_Toc118299032"/>
      <w:r>
        <w:rPr>
          <w:rFonts w:ascii="Times New Roman" w:eastAsia="仿宋_GB2312" w:hAnsi="Times New Roman" w:cs="Times New Roman"/>
          <w:kern w:val="0"/>
          <w:sz w:val="32"/>
          <w:szCs w:val="32"/>
        </w:rPr>
        <w:t>2.1</w:t>
      </w:r>
      <w:r>
        <w:rPr>
          <w:rFonts w:ascii="Times New Roman" w:eastAsia="仿宋_GB2312" w:hAnsi="Times New Roman" w:cs="Times New Roman"/>
          <w:kern w:val="0"/>
          <w:sz w:val="32"/>
          <w:szCs w:val="32"/>
        </w:rPr>
        <w:t>有限代次生产</w:t>
      </w:r>
      <w:bookmarkEnd w:id="1194"/>
    </w:p>
    <w:p w14:paraId="63D6855D"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用于培养和诱导基因产物的材料和方法应有详细资料。</w:t>
      </w:r>
      <w:r>
        <w:rPr>
          <w:rFonts w:ascii="Times New Roman" w:eastAsia="仿宋_GB2312" w:hAnsi="Times New Roman" w:cs="Times New Roman"/>
          <w:color w:val="000000"/>
          <w:kern w:val="0"/>
          <w:sz w:val="32"/>
          <w:szCs w:val="32"/>
        </w:rPr>
        <w:lastRenderedPageBreak/>
        <w:t>培养过程及收获时，应有敏感的检测措施控制微生物污染。</w:t>
      </w:r>
    </w:p>
    <w:p w14:paraId="37C7262A"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需提供培养生长浓度和产量恒定性方面的数据，并应确立废弃一批培养物的指标。根据宿主细胞／载体系统的稳定性资料，确定在生产过程中允许的最高细胞倍增数或传代代次，并应提供最适培养条件的详细资料。</w:t>
      </w:r>
    </w:p>
    <w:p w14:paraId="6E0FE9E1"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在生产周期结束时，需监测宿主细胞</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载体系统的特性，例如质粒拷贝数、宿主细胞中表达载体存留程度、含插入基因的载体的酶切图谱。一般情况下，用来自一个原始细胞库的全量培养物进行监测，必要时应做一次目的基因的核苷酸序列分析。</w:t>
      </w:r>
    </w:p>
    <w:p w14:paraId="738C47A8"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5" w:name="_Toc118299033"/>
      <w:r>
        <w:rPr>
          <w:rFonts w:ascii="Times New Roman" w:eastAsia="仿宋_GB2312" w:hAnsi="Times New Roman" w:cs="Times New Roman"/>
          <w:kern w:val="0"/>
          <w:sz w:val="32"/>
          <w:szCs w:val="32"/>
        </w:rPr>
        <w:t>2.2</w:t>
      </w:r>
      <w:r>
        <w:rPr>
          <w:rFonts w:ascii="Times New Roman" w:eastAsia="仿宋_GB2312" w:hAnsi="Times New Roman" w:cs="Times New Roman"/>
          <w:kern w:val="0"/>
          <w:sz w:val="32"/>
          <w:szCs w:val="32"/>
        </w:rPr>
        <w:t>连续培养生产</w:t>
      </w:r>
      <w:bookmarkEnd w:id="1195"/>
    </w:p>
    <w:p w14:paraId="67A60006"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基本要求同</w:t>
      </w: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有限代次生产。</w:t>
      </w:r>
    </w:p>
    <w:p w14:paraId="665BDA17"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需提供经长期培养后所表达基因的分子完整性资料，以及宿主细胞的表型和基因型特征。每批培养的产量变化应在规定范围内。对可以进行后处理及应废弃的培养物，应确定指标。从培养开始至收获，应有敏感的检查微生物污染的措施。</w:t>
      </w:r>
    </w:p>
    <w:p w14:paraId="6CCAA47B"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根据宿主</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载体稳定性及表达产物的恒定性资料，需规定连续培养的时间。如属长时间连续培养，需根据宿主</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载体稳定性及产物特性的资料，在不同间隔时间作全面检定。</w:t>
      </w:r>
    </w:p>
    <w:p w14:paraId="3514F3C0" w14:textId="77777777" w:rsidR="00F20E1B" w:rsidRDefault="00F20E1B" w:rsidP="00F20E1B">
      <w:pPr>
        <w:spacing w:line="520" w:lineRule="exact"/>
        <w:ind w:firstLineChars="200" w:firstLine="640"/>
        <w:jc w:val="left"/>
        <w:outlineLvl w:val="2"/>
        <w:rPr>
          <w:rFonts w:ascii="Times New Roman" w:eastAsia="仿宋_GB2312" w:hAnsi="Times New Roman" w:cs="Times New Roman"/>
          <w:kern w:val="0"/>
          <w:sz w:val="32"/>
          <w:szCs w:val="32"/>
        </w:rPr>
      </w:pPr>
      <w:bookmarkStart w:id="1196" w:name="_Toc118299034"/>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．纯化</w:t>
      </w:r>
      <w:bookmarkEnd w:id="1196"/>
    </w:p>
    <w:p w14:paraId="7FD7EA55" w14:textId="77777777" w:rsidR="00F20E1B" w:rsidRDefault="00F20E1B" w:rsidP="0055230E">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根据生产工艺需求，可以将纯化过程分为粗纯、精纯、换液、浓缩等工序，关于纯度的要求可视</w:t>
      </w:r>
      <w:r w:rsidRPr="0055230E">
        <w:rPr>
          <w:rFonts w:ascii="Times New Roman" w:eastAsia="仿宋_GB2312" w:hAnsi="Times New Roman" w:cs="Times New Roman"/>
          <w:color w:val="000000"/>
          <w:kern w:val="0"/>
          <w:sz w:val="32"/>
          <w:szCs w:val="32"/>
        </w:rPr>
        <w:t>胶原蛋白材料</w:t>
      </w:r>
      <w:r>
        <w:rPr>
          <w:rFonts w:ascii="Times New Roman" w:eastAsia="仿宋_GB2312" w:hAnsi="Times New Roman" w:cs="Times New Roman"/>
          <w:color w:val="000000"/>
          <w:kern w:val="0"/>
          <w:sz w:val="32"/>
          <w:szCs w:val="32"/>
        </w:rPr>
        <w:t>的用途和用法而确定</w:t>
      </w:r>
      <w:r w:rsidRPr="0055230E">
        <w:rPr>
          <w:rFonts w:ascii="Times New Roman" w:eastAsia="仿宋_GB2312" w:hAnsi="Times New Roman" w:cs="Times New Roman"/>
          <w:color w:val="000000"/>
          <w:kern w:val="0"/>
          <w:sz w:val="32"/>
          <w:szCs w:val="32"/>
        </w:rPr>
        <w:t>。例如，仅使用一次或需反复多次使用时，用于健康人群或用于重症患者时，都可对纯度有不同程度要求</w:t>
      </w:r>
      <w:r>
        <w:rPr>
          <w:rFonts w:ascii="Times New Roman" w:eastAsia="仿宋_GB2312" w:hAnsi="Times New Roman" w:cs="Times New Roman"/>
          <w:color w:val="000000"/>
          <w:kern w:val="0"/>
          <w:sz w:val="32"/>
          <w:szCs w:val="32"/>
        </w:rPr>
        <w:t>。不同载体细胞表达系统可能对纯化过程的要求有所不同，</w:t>
      </w:r>
      <w:r>
        <w:rPr>
          <w:rFonts w:ascii="Times New Roman" w:eastAsia="仿宋_GB2312" w:hAnsi="Times New Roman" w:cs="Times New Roman"/>
          <w:color w:val="000000"/>
          <w:kern w:val="0"/>
          <w:sz w:val="32"/>
          <w:szCs w:val="32"/>
        </w:rPr>
        <w:lastRenderedPageBreak/>
        <w:t>但所采用的分离、纯化、浓缩方法或技术，应能适用于规模化生产并保持稳定。</w:t>
      </w:r>
    </w:p>
    <w:p w14:paraId="1945BA10"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生产中可能引入一些特定的工艺杂质，纯化工艺应保证能将其去除或降低至可接受的水平。杂质主要包括与工艺相关的杂质和胶原蛋白材料相关杂质以及环境污染杂质。工艺相关的杂质是指生产过程中产生的杂质，如宿主细胞蛋白、</w:t>
      </w:r>
      <w:r>
        <w:rPr>
          <w:rFonts w:ascii="Times New Roman" w:eastAsia="仿宋_GB2312" w:hAnsi="Times New Roman" w:cs="Times New Roman"/>
          <w:color w:val="000000"/>
          <w:kern w:val="0"/>
          <w:sz w:val="32"/>
          <w:szCs w:val="32"/>
        </w:rPr>
        <w:t>DNA</w:t>
      </w:r>
      <w:r>
        <w:rPr>
          <w:rFonts w:ascii="Times New Roman" w:eastAsia="仿宋_GB2312" w:hAnsi="Times New Roman" w:cs="Times New Roman"/>
          <w:color w:val="000000"/>
          <w:kern w:val="0"/>
          <w:sz w:val="32"/>
          <w:szCs w:val="32"/>
        </w:rPr>
        <w:t>，培养物（诱导剂、抗生素或其他培养基成分等），纯化等工艺产生的杂质（酶、化学试剂、无机盐、溶剂、载体、抗体等）；胶原蛋白材料相关杂质是指胶原蛋白材料</w:t>
      </w:r>
      <w:r>
        <w:rPr>
          <w:rFonts w:ascii="Times New Roman" w:eastAsia="仿宋_GB2312" w:hAnsi="Times New Roman" w:cs="Times New Roman" w:hint="eastAsia"/>
          <w:color w:val="000000"/>
          <w:kern w:val="0"/>
          <w:sz w:val="32"/>
          <w:szCs w:val="32"/>
        </w:rPr>
        <w:t>异质性，如</w:t>
      </w:r>
      <w:r>
        <w:rPr>
          <w:rFonts w:ascii="Times New Roman" w:eastAsia="仿宋_GB2312" w:hAnsi="Times New Roman" w:cs="Times New Roman"/>
          <w:color w:val="000000"/>
          <w:kern w:val="0"/>
          <w:sz w:val="32"/>
          <w:szCs w:val="32"/>
        </w:rPr>
        <w:t>肽链的截短或延长形式、修饰形式（去酰胺化、异构体、二硫键错配、糖基化、磷酸化等）、聚合体、多聚体等；环境污染杂质包括细菌内毒素、可能携带的病毒和有害微生物等，宿主细胞（如细菌、酵母、昆虫、植物和哺乳动物细胞）的污染也存在潜在的危险性。具体内容详见本指导原则</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w:t>
      </w: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w:t>
      </w:r>
    </w:p>
    <w:p w14:paraId="22FFC2F8" w14:textId="77777777" w:rsidR="00F20E1B" w:rsidRDefault="00F20E1B" w:rsidP="00F20E1B">
      <w:pPr>
        <w:pStyle w:val="a1"/>
        <w:spacing w:line="520" w:lineRule="exact"/>
        <w:ind w:leftChars="0" w:left="0"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对于生产过程中的收获、分离和纯化方法应详细记述，应特别注意污染病毒、核酸以及有害抗原性物质的去除，</w:t>
      </w:r>
      <w:r>
        <w:rPr>
          <w:rFonts w:ascii="Times New Roman" w:eastAsia="仿宋_GB2312" w:hAnsi="Times New Roman" w:cs="Times New Roman"/>
          <w:sz w:val="32"/>
          <w:szCs w:val="32"/>
        </w:rPr>
        <w:t>如采用亲和层析技术，例如用单克隆抗体，应有检测可能污染此类外源性物质的方法，不应含有可测出的异种免疫球蛋白。</w:t>
      </w:r>
      <w:r>
        <w:rPr>
          <w:rFonts w:ascii="Times New Roman" w:eastAsia="仿宋_GB2312" w:hAnsi="Times New Roman" w:cs="Times New Roman"/>
          <w:color w:val="000000"/>
          <w:kern w:val="0"/>
          <w:sz w:val="32"/>
          <w:szCs w:val="32"/>
        </w:rPr>
        <w:t>应验证这些分离、纯化关键工序及杂质检测方法。</w:t>
      </w:r>
      <w:r>
        <w:rPr>
          <w:rFonts w:ascii="Times New Roman" w:eastAsia="仿宋_GB2312" w:hAnsi="Times New Roman" w:cs="Times New Roman"/>
          <w:sz w:val="32"/>
          <w:szCs w:val="32"/>
        </w:rPr>
        <w:t>对整个纯化工艺应进行全面研究，包括对宿主细胞蛋白、核酸、糖、病毒或其它杂质以及在纯化过程中加入的有害的化学物质等的去除。</w:t>
      </w:r>
      <w:r>
        <w:rPr>
          <w:rFonts w:ascii="Times New Roman" w:eastAsia="仿宋_GB2312" w:hAnsi="Times New Roman" w:cs="Times New Roman"/>
          <w:color w:val="000000"/>
          <w:kern w:val="0"/>
          <w:sz w:val="32"/>
          <w:szCs w:val="32"/>
        </w:rPr>
        <w:t>可以采用过滤、离心等操作进行分离，通过洗滤参数、相对离心力等工艺参数进行必要的控制；可以采用蛋白层析或者离子交换层析等技术进行纯化。</w:t>
      </w:r>
    </w:p>
    <w:p w14:paraId="48E75EB0"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鼓励使用层析的方法提高胶原蛋白材料的纯度，但需充</w:t>
      </w:r>
      <w:r>
        <w:rPr>
          <w:rFonts w:ascii="Times New Roman" w:eastAsia="仿宋_GB2312" w:hAnsi="Times New Roman" w:cs="Times New Roman"/>
          <w:color w:val="000000"/>
          <w:kern w:val="0"/>
          <w:sz w:val="32"/>
          <w:szCs w:val="32"/>
        </w:rPr>
        <w:lastRenderedPageBreak/>
        <w:t>分考虑到层析参数的选择和层析树脂的质量对胶原蛋白材料质量的影响，需要重点关注工艺对病毒的灭活与去除能力。病毒灭活</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去除验证应符合《中华人民共和国药典》通则</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生物制品病毒安全性控制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等技术文件的要求。所采用的分离、纯化工艺应能确保较好地保留胶原蛋白材料的理化和生物学性质，保留目标肽段的生物学活性。</w:t>
      </w:r>
    </w:p>
    <w:p w14:paraId="6F28616C"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采用乙醇等沉淀法时，需对乙醇等试剂的质量进行控制，并对胶原浓度、温度、</w:t>
      </w:r>
      <w:r>
        <w:rPr>
          <w:rFonts w:ascii="Times New Roman" w:eastAsia="仿宋_GB2312" w:hAnsi="Times New Roman" w:cs="Times New Roman"/>
          <w:color w:val="000000"/>
          <w:kern w:val="0"/>
          <w:sz w:val="32"/>
          <w:szCs w:val="32"/>
        </w:rPr>
        <w:t xml:space="preserve">pH </w:t>
      </w:r>
      <w:r>
        <w:rPr>
          <w:rFonts w:ascii="Times New Roman" w:eastAsia="仿宋_GB2312" w:hAnsi="Times New Roman" w:cs="Times New Roman"/>
          <w:color w:val="000000"/>
          <w:kern w:val="0"/>
          <w:sz w:val="32"/>
          <w:szCs w:val="32"/>
        </w:rPr>
        <w:t>值、离子强度、处理时间等进行研究，明确可接受的限度范围。采用层析方法时，需根据产物中胶原的性质和浓度，优化色谱条件、确定合理的参数，如层析柱的容量、料液及缓冲液的离子强度和缓冲液的</w:t>
      </w:r>
      <w:r>
        <w:rPr>
          <w:rFonts w:ascii="Times New Roman" w:eastAsia="仿宋_GB2312" w:hAnsi="Times New Roman" w:cs="Times New Roman"/>
          <w:color w:val="000000"/>
          <w:kern w:val="0"/>
          <w:sz w:val="32"/>
          <w:szCs w:val="32"/>
        </w:rPr>
        <w:t xml:space="preserve"> pH </w:t>
      </w:r>
      <w:r>
        <w:rPr>
          <w:rFonts w:ascii="Times New Roman" w:eastAsia="仿宋_GB2312" w:hAnsi="Times New Roman" w:cs="Times New Roman"/>
          <w:color w:val="000000"/>
          <w:kern w:val="0"/>
          <w:sz w:val="32"/>
          <w:szCs w:val="32"/>
        </w:rPr>
        <w:t>值、流速、接触时间和温度等，这些参数的确定应以工艺开发的研究数据为基础，均应制定限度标准和容许范围。同时，还需对层析树脂的清洁、再生（使用寿命）、层析柱的载量、浸出物等进行研究，尤其是使用具有潜在有害配体的层析填料。需关注每一步分离纯化步骤的体积、胶原浓度、回收率、电泳纯度等，评估对工艺相关杂质和胶原蛋白材料相关杂质的去除能力。必要时，为了证明该工艺对杂质的清除能力，可能需要采用加标试验评估工艺对某些潜在污染物的清除能力。如涉及中间产物的暂存、运输等可能影响产品质量的操作时，需有必要的稳定性研究数据支持。</w:t>
      </w:r>
      <w:r>
        <w:rPr>
          <w:rFonts w:ascii="Times New Roman" w:eastAsia="仿宋_GB2312" w:hAnsi="Times New Roman" w:cs="Times New Roman"/>
          <w:color w:val="000000"/>
          <w:kern w:val="0"/>
          <w:sz w:val="32"/>
          <w:szCs w:val="32"/>
        </w:rPr>
        <w:t xml:space="preserve"> </w:t>
      </w:r>
    </w:p>
    <w:p w14:paraId="7B2E641E"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鼓励采用创新和改进工艺（包括对乙醇分离工艺的改进），提高胶原利用率和质量。在前期工艺开发过程中，应注意关键工艺参数的识别，关注不同分离阶段工艺控制的完整性、工艺参数设置的合理性。如申请人已有相同分离纯化工艺的胶原蛋白材料上市，已有工艺研究数据、控制参数等</w:t>
      </w:r>
      <w:r>
        <w:rPr>
          <w:rFonts w:ascii="Times New Roman" w:eastAsia="仿宋_GB2312" w:hAnsi="Times New Roman" w:cs="Times New Roman"/>
          <w:color w:val="000000"/>
          <w:kern w:val="0"/>
          <w:sz w:val="32"/>
          <w:szCs w:val="32"/>
        </w:rPr>
        <w:lastRenderedPageBreak/>
        <w:t>可供借鉴时，应开展新胶原</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批生产规模工艺验证。</w:t>
      </w:r>
    </w:p>
    <w:p w14:paraId="3DC3C4B7" w14:textId="77777777"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换液可将蛋白溶剂置换至工艺要求的工作液中，浓缩将蛋白浓缩至工艺要求的浓度。质控点通常包括膜截留效率、蛋白含量、电导率等。</w:t>
      </w:r>
    </w:p>
    <w:p w14:paraId="1A5E7706" w14:textId="11351D03" w:rsidR="00F20E1B" w:rsidRDefault="00F20E1B" w:rsidP="00F20E1B">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应建立重组人源化胶原蛋白原材料</w:t>
      </w:r>
      <w:r>
        <w:rPr>
          <w:rFonts w:ascii="Times New Roman" w:eastAsia="仿宋_GB2312" w:hAnsi="Times New Roman" w:cs="Times New Roman"/>
          <w:color w:val="000000"/>
          <w:kern w:val="0"/>
          <w:sz w:val="32"/>
          <w:szCs w:val="32"/>
        </w:rPr>
        <w:t>成品的鉴别、纯度、稳定性和活性等方面的试验方法，详见</w:t>
      </w:r>
      <w:r w:rsidR="00E076BD">
        <w:rPr>
          <w:rFonts w:ascii="Times New Roman" w:eastAsia="仿宋_GB2312" w:hAnsi="Times New Roman" w:cs="Times New Roman" w:hint="eastAsia"/>
          <w:color w:val="000000"/>
          <w:kern w:val="0"/>
          <w:sz w:val="32"/>
          <w:szCs w:val="32"/>
        </w:rPr>
        <w:t>正文</w:t>
      </w:r>
      <w:r>
        <w:rPr>
          <w:rFonts w:ascii="Times New Roman" w:eastAsia="仿宋_GB2312" w:hAnsi="Times New Roman" w:cs="Times New Roman"/>
          <w:color w:val="000000"/>
          <w:kern w:val="0"/>
          <w:sz w:val="32"/>
          <w:szCs w:val="32"/>
        </w:rPr>
        <w:t>“</w:t>
      </w:r>
      <w:r w:rsidR="00E076BD">
        <w:rPr>
          <w:rFonts w:ascii="Times New Roman" w:eastAsia="仿宋_GB2312" w:hAnsi="Times New Roman" w:cs="Times New Roman" w:hint="eastAsia"/>
          <w:color w:val="000000"/>
          <w:kern w:val="0"/>
          <w:sz w:val="32"/>
          <w:szCs w:val="32"/>
        </w:rPr>
        <w:t>二</w:t>
      </w:r>
      <w:r>
        <w:rPr>
          <w:rFonts w:ascii="Times New Roman" w:eastAsia="仿宋_GB2312" w:hAnsi="Times New Roman" w:cs="Times New Roman"/>
          <w:color w:val="000000"/>
          <w:kern w:val="0"/>
          <w:sz w:val="32"/>
          <w:szCs w:val="32"/>
        </w:rPr>
        <w:t>、</w:t>
      </w:r>
      <w:r w:rsidR="00E076BD">
        <w:rPr>
          <w:rFonts w:ascii="Times New Roman" w:eastAsia="仿宋_GB2312" w:hAnsi="Times New Roman" w:cs="Times New Roman" w:hint="eastAsia"/>
          <w:color w:val="000000"/>
          <w:kern w:val="0"/>
          <w:sz w:val="32"/>
          <w:szCs w:val="32"/>
        </w:rPr>
        <w:t>（一）</w:t>
      </w:r>
      <w:r w:rsidR="00E076BD">
        <w:rPr>
          <w:rFonts w:ascii="Times New Roman" w:eastAsia="仿宋_GB2312" w:hAnsi="Times New Roman" w:cs="Times New Roman"/>
          <w:color w:val="000000"/>
          <w:kern w:val="0"/>
          <w:sz w:val="32"/>
          <w:szCs w:val="32"/>
        </w:rPr>
        <w:t>重组人源化胶原蛋白原材料</w:t>
      </w:r>
      <w:r>
        <w:rPr>
          <w:rFonts w:ascii="Times New Roman" w:eastAsia="仿宋_GB2312" w:hAnsi="Times New Roman" w:cs="Times New Roman"/>
          <w:color w:val="000000"/>
          <w:kern w:val="0"/>
          <w:sz w:val="32"/>
          <w:szCs w:val="32"/>
        </w:rPr>
        <w:t>性能研究</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。对生产过程中的原液、半成品及生产原辅料，应注意如下方面。</w:t>
      </w:r>
    </w:p>
    <w:p w14:paraId="3508F327"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7" w:name="_Toc118299035"/>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原液要求</w:t>
      </w:r>
      <w:bookmarkEnd w:id="1197"/>
    </w:p>
    <w:p w14:paraId="3364EE12"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经纯化、换液、浓缩后即为重组胶原原液。如需加入稳定剂或赋形剂，应不影响质量检定，否则应在添加辅料前取样进行原液检定。原液的检测项目取决于工艺的验证、一致性确认、预期胶原蛋白材料相关杂质与工艺相关杂质的水平、预期用途等，应采用适当方法对原液质量进行检测，必要时应与参比品进行比较。原液的储存应通过稳定性验证确定储存条件和时间。参考品的建立和制备应参照《中华人民共和国药典》</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生物制品国家标准物质制备和标定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的相关要求或《</w:t>
      </w:r>
      <w:r>
        <w:rPr>
          <w:rFonts w:ascii="Times New Roman" w:eastAsia="仿宋_GB2312" w:hAnsi="Times New Roman" w:cs="Times New Roman"/>
          <w:color w:val="000000"/>
          <w:kern w:val="0"/>
          <w:sz w:val="32"/>
          <w:szCs w:val="32"/>
        </w:rPr>
        <w:t xml:space="preserve">YY/T 1849 </w:t>
      </w:r>
      <w:r>
        <w:rPr>
          <w:rFonts w:ascii="Times New Roman" w:eastAsia="仿宋_GB2312" w:hAnsi="Times New Roman" w:cs="Times New Roman"/>
          <w:color w:val="000000"/>
          <w:kern w:val="0"/>
          <w:sz w:val="32"/>
          <w:szCs w:val="32"/>
        </w:rPr>
        <w:t>重组胶原蛋白》中的相关要求。</w:t>
      </w:r>
    </w:p>
    <w:p w14:paraId="420DE648"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原液的检测项目可包括蛋白表征研究（如肽段覆盖率、</w:t>
      </w:r>
      <w:r>
        <w:rPr>
          <w:rFonts w:ascii="Times New Roman" w:eastAsia="仿宋_GB2312" w:hAnsi="Times New Roman" w:cs="Times New Roman"/>
          <w:color w:val="000000"/>
          <w:kern w:val="0"/>
          <w:sz w:val="32"/>
          <w:szCs w:val="32"/>
        </w:rPr>
        <w:t>C</w:t>
      </w:r>
      <w:r>
        <w:rPr>
          <w:rFonts w:ascii="Times New Roman" w:eastAsia="仿宋_GB2312" w:hAnsi="Times New Roman" w:cs="Times New Roman"/>
          <w:color w:val="000000"/>
          <w:kern w:val="0"/>
          <w:sz w:val="32"/>
          <w:szCs w:val="32"/>
        </w:rPr>
        <w:t>端序列、</w:t>
      </w:r>
      <w:r>
        <w:rPr>
          <w:rFonts w:ascii="Times New Roman" w:eastAsia="仿宋_GB2312" w:hAnsi="Times New Roman" w:cs="Times New Roman"/>
          <w:color w:val="000000"/>
          <w:kern w:val="0"/>
          <w:sz w:val="32"/>
          <w:szCs w:val="32"/>
        </w:rPr>
        <w:t>N</w:t>
      </w:r>
      <w:r>
        <w:rPr>
          <w:rFonts w:ascii="Times New Roman" w:eastAsia="仿宋_GB2312" w:hAnsi="Times New Roman" w:cs="Times New Roman"/>
          <w:color w:val="000000"/>
          <w:kern w:val="0"/>
          <w:sz w:val="32"/>
          <w:szCs w:val="32"/>
        </w:rPr>
        <w:t>端序列、氨基酸组成、异质组成、</w:t>
      </w:r>
      <w:r>
        <w:rPr>
          <w:rFonts w:ascii="Times New Roman" w:eastAsia="仿宋_GB2312" w:hAnsi="Times New Roman" w:cs="Times New Roman"/>
          <w:color w:val="000000"/>
          <w:kern w:val="0"/>
          <w:sz w:val="32"/>
          <w:szCs w:val="32"/>
        </w:rPr>
        <w:t>X-</w:t>
      </w:r>
      <w:r>
        <w:rPr>
          <w:rFonts w:ascii="Times New Roman" w:eastAsia="仿宋_GB2312" w:hAnsi="Times New Roman" w:cs="Times New Roman"/>
          <w:color w:val="000000"/>
          <w:kern w:val="0"/>
          <w:sz w:val="32"/>
          <w:szCs w:val="32"/>
        </w:rPr>
        <w:t>射线衍射分析（</w:t>
      </w:r>
      <w:r>
        <w:rPr>
          <w:rFonts w:ascii="Times New Roman" w:eastAsia="仿宋_GB2312" w:hAnsi="Times New Roman" w:cs="Times New Roman"/>
          <w:color w:val="000000"/>
          <w:kern w:val="0"/>
          <w:sz w:val="32"/>
          <w:szCs w:val="32"/>
        </w:rPr>
        <w:t>XRD</w:t>
      </w:r>
      <w:r>
        <w:rPr>
          <w:rFonts w:ascii="Times New Roman" w:eastAsia="仿宋_GB2312" w:hAnsi="Times New Roman" w:cs="Times New Roman"/>
          <w:color w:val="000000"/>
          <w:kern w:val="0"/>
          <w:sz w:val="32"/>
          <w:szCs w:val="32"/>
        </w:rPr>
        <w:t>）、扫描电镜分析、晶体结构学研究、红外光谱、圆二色谱、</w:t>
      </w:r>
      <w:r>
        <w:rPr>
          <w:rFonts w:ascii="Times New Roman" w:eastAsia="仿宋_GB2312" w:hAnsi="Times New Roman" w:cs="Times New Roman"/>
          <w:sz w:val="32"/>
          <w:szCs w:val="32"/>
        </w:rPr>
        <w:t>差示扫描量热分析、</w:t>
      </w:r>
      <w:r>
        <w:rPr>
          <w:rFonts w:ascii="Times New Roman" w:eastAsia="仿宋_GB2312" w:hAnsi="Times New Roman" w:cs="Times New Roman"/>
          <w:color w:val="000000"/>
          <w:kern w:val="0"/>
          <w:sz w:val="32"/>
          <w:szCs w:val="32"/>
        </w:rPr>
        <w:t>等电点、肽图等指标）；理化性能指标检测（如鉴别、</w:t>
      </w:r>
      <w:r>
        <w:rPr>
          <w:rFonts w:ascii="Times New Roman" w:eastAsia="仿宋_GB2312" w:hAnsi="Times New Roman" w:cs="Times New Roman"/>
          <w:color w:val="000000"/>
          <w:kern w:val="0"/>
          <w:sz w:val="32"/>
          <w:szCs w:val="32"/>
        </w:rPr>
        <w:t>pH</w:t>
      </w:r>
      <w:r>
        <w:rPr>
          <w:rFonts w:ascii="Times New Roman" w:eastAsia="仿宋_GB2312" w:hAnsi="Times New Roman" w:cs="Times New Roman"/>
          <w:color w:val="000000"/>
          <w:kern w:val="0"/>
          <w:sz w:val="32"/>
          <w:szCs w:val="32"/>
        </w:rPr>
        <w:t>、蛋白含量、纯度、分子量等指标）；污染物残留指标检测（如外源性</w:t>
      </w:r>
      <w:r>
        <w:rPr>
          <w:rFonts w:ascii="Times New Roman" w:eastAsia="仿宋_GB2312" w:hAnsi="Times New Roman" w:cs="Times New Roman"/>
          <w:color w:val="000000"/>
          <w:kern w:val="0"/>
          <w:sz w:val="32"/>
          <w:szCs w:val="32"/>
        </w:rPr>
        <w:t>DNA</w:t>
      </w:r>
      <w:r>
        <w:rPr>
          <w:rFonts w:ascii="Times New Roman" w:eastAsia="仿宋_GB2312" w:hAnsi="Times New Roman" w:cs="Times New Roman"/>
          <w:color w:val="000000"/>
          <w:kern w:val="0"/>
          <w:sz w:val="32"/>
          <w:szCs w:val="32"/>
        </w:rPr>
        <w:t>残留、宿主细胞蛋白残留、糖类残留、抗生素残留、诱导剂残留、重金属总量及微量元素残留等指标）；生物性能指标检测（如微生</w:t>
      </w:r>
      <w:r>
        <w:rPr>
          <w:rFonts w:ascii="Times New Roman" w:eastAsia="仿宋_GB2312" w:hAnsi="Times New Roman" w:cs="Times New Roman"/>
          <w:color w:val="000000"/>
          <w:kern w:val="0"/>
          <w:sz w:val="32"/>
          <w:szCs w:val="32"/>
        </w:rPr>
        <w:lastRenderedPageBreak/>
        <w:t>物限度</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无菌、内毒素残留、热原等指标）。基于胶原蛋白材料应用风险评估，提供研究性资料或验证报告。</w:t>
      </w:r>
    </w:p>
    <w:p w14:paraId="2A482569"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8" w:name="_Toc118299036"/>
      <w:r>
        <w:rPr>
          <w:rFonts w:ascii="Times New Roman" w:eastAsia="仿宋_GB2312" w:hAnsi="Times New Roman" w:cs="Times New Roman"/>
          <w:kern w:val="0"/>
          <w:sz w:val="32"/>
          <w:szCs w:val="32"/>
        </w:rPr>
        <w:t>3.2</w:t>
      </w:r>
      <w:r>
        <w:rPr>
          <w:rFonts w:ascii="Times New Roman" w:eastAsia="仿宋_GB2312" w:hAnsi="Times New Roman" w:cs="Times New Roman"/>
          <w:kern w:val="0"/>
          <w:sz w:val="32"/>
          <w:szCs w:val="32"/>
        </w:rPr>
        <w:t>半成品要求</w:t>
      </w:r>
      <w:bookmarkEnd w:id="1198"/>
    </w:p>
    <w:p w14:paraId="2CCFEB09"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可由一批或多批原液合并生产半成品。拟混合的每批原液应在有效期内，应按规定的工艺生产、单独检验，并符合相应的质量标准；混合的各批原液应可有效追溯；应对混合工艺进行验证。</w:t>
      </w:r>
    </w:p>
    <w:p w14:paraId="3F789375" w14:textId="77777777" w:rsidR="00F20E1B" w:rsidRDefault="00F20E1B" w:rsidP="00F20E1B">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如需对半成品进行稀释或加入其他辅料，如防腐剂或赋型剂甘油、甘露醇及缓冲盐等，应确定半成品的质量控制要求，包括检定项目和可接受标准。检定项目可包括蛋白含量、</w:t>
      </w:r>
      <w:r>
        <w:rPr>
          <w:rFonts w:ascii="Times New Roman" w:eastAsia="仿宋_GB2312" w:hAnsi="Times New Roman" w:cs="Times New Roman"/>
          <w:color w:val="000000"/>
          <w:kern w:val="0"/>
          <w:sz w:val="32"/>
          <w:szCs w:val="32"/>
        </w:rPr>
        <w:t>pH</w:t>
      </w:r>
      <w:r>
        <w:rPr>
          <w:rFonts w:ascii="Times New Roman" w:eastAsia="仿宋_GB2312" w:hAnsi="Times New Roman" w:cs="Times New Roman"/>
          <w:color w:val="000000"/>
          <w:kern w:val="0"/>
          <w:sz w:val="32"/>
          <w:szCs w:val="32"/>
        </w:rPr>
        <w:t>等指标。</w:t>
      </w:r>
    </w:p>
    <w:p w14:paraId="0FBDCB85" w14:textId="77777777" w:rsidR="00F20E1B" w:rsidRDefault="00F20E1B" w:rsidP="00F20E1B">
      <w:pPr>
        <w:spacing w:line="520" w:lineRule="exact"/>
        <w:ind w:firstLineChars="200" w:firstLine="640"/>
        <w:jc w:val="left"/>
        <w:outlineLvl w:val="3"/>
        <w:rPr>
          <w:rFonts w:ascii="Times New Roman" w:eastAsia="仿宋_GB2312" w:hAnsi="Times New Roman" w:cs="Times New Roman"/>
          <w:kern w:val="0"/>
          <w:sz w:val="32"/>
          <w:szCs w:val="32"/>
        </w:rPr>
      </w:pPr>
      <w:bookmarkStart w:id="1199" w:name="_Toc118299037"/>
      <w:r>
        <w:rPr>
          <w:rFonts w:ascii="Times New Roman" w:eastAsia="仿宋_GB2312" w:hAnsi="Times New Roman" w:cs="Times New Roman"/>
          <w:kern w:val="0"/>
          <w:sz w:val="32"/>
          <w:szCs w:val="32"/>
        </w:rPr>
        <w:t xml:space="preserve">3.3 </w:t>
      </w:r>
      <w:r>
        <w:rPr>
          <w:rFonts w:ascii="Times New Roman" w:eastAsia="仿宋_GB2312" w:hAnsi="Times New Roman" w:cs="Times New Roman"/>
          <w:kern w:val="0"/>
          <w:sz w:val="32"/>
          <w:szCs w:val="32"/>
        </w:rPr>
        <w:t>生产原辅料要求</w:t>
      </w:r>
      <w:bookmarkEnd w:id="1199"/>
    </w:p>
    <w:p w14:paraId="7F3562E3" w14:textId="77777777" w:rsidR="00F20E1B" w:rsidRDefault="00F20E1B" w:rsidP="00F20E1B">
      <w:pPr>
        <w:spacing w:line="52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color w:val="000000"/>
          <w:kern w:val="0"/>
          <w:sz w:val="32"/>
          <w:szCs w:val="32"/>
        </w:rPr>
        <w:t>原辅料应按照国家药品监督管理局有关规定执行。动物源性原料的使用应提供来源及质控检测资料；发酵用培养基不能添加</w:t>
      </w:r>
      <w:r>
        <w:rPr>
          <w:rFonts w:ascii="Times New Roman" w:eastAsia="仿宋_GB2312" w:hAnsi="Times New Roman" w:cs="Times New Roman"/>
          <w:color w:val="000000"/>
          <w:kern w:val="0"/>
          <w:sz w:val="32"/>
          <w:szCs w:val="32"/>
        </w:rPr>
        <w:t>β</w:t>
      </w:r>
      <w:r>
        <w:rPr>
          <w:rFonts w:ascii="Times New Roman" w:eastAsia="仿宋_GB2312" w:hAnsi="Times New Roman" w:cs="Times New Roman"/>
          <w:color w:val="000000"/>
          <w:kern w:val="0"/>
          <w:sz w:val="32"/>
          <w:szCs w:val="32"/>
        </w:rPr>
        <w:t>内酰胺类抗生素。</w:t>
      </w:r>
    </w:p>
    <w:p w14:paraId="3204EE6D" w14:textId="77777777" w:rsidR="00CF33B3" w:rsidRPr="00205AAB" w:rsidRDefault="00CF33B3" w:rsidP="00205AAB"/>
    <w:sectPr w:rsidR="00CF33B3" w:rsidRPr="00205AAB" w:rsidSect="00BD08F3">
      <w:headerReference w:type="even" r:id="rId13"/>
      <w:headerReference w:type="default" r:id="rId14"/>
      <w:footerReference w:type="default" r:id="rId15"/>
      <w:head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BDC7B" w14:textId="77777777" w:rsidR="00B86C52" w:rsidRDefault="00B86C52">
      <w:r>
        <w:separator/>
      </w:r>
    </w:p>
  </w:endnote>
  <w:endnote w:type="continuationSeparator" w:id="0">
    <w:p w14:paraId="32391C50" w14:textId="77777777" w:rsidR="00B86C52" w:rsidRDefault="00B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55112"/>
    </w:sdtPr>
    <w:sdtEndPr/>
    <w:sdtContent>
      <w:p w14:paraId="0EB098D9" w14:textId="607B1475" w:rsidR="00765454" w:rsidRDefault="00765454">
        <w:pPr>
          <w:pStyle w:val="ab"/>
          <w:jc w:val="center"/>
        </w:pPr>
        <w:r>
          <w:fldChar w:fldCharType="begin"/>
        </w:r>
        <w:r>
          <w:instrText>PAGE   \* MERGEFORMAT</w:instrText>
        </w:r>
        <w:r>
          <w:fldChar w:fldCharType="separate"/>
        </w:r>
        <w:r w:rsidR="00BD08F3" w:rsidRPr="00BD08F3">
          <w:rPr>
            <w:noProof/>
            <w:lang w:val="zh-CN"/>
          </w:rPr>
          <w:t>52</w:t>
        </w:r>
        <w:r>
          <w:rPr>
            <w:lang w:val="zh-CN"/>
          </w:rPr>
          <w:fldChar w:fldCharType="end"/>
        </w:r>
      </w:p>
    </w:sdtContent>
  </w:sdt>
  <w:p w14:paraId="27E472DB" w14:textId="77777777" w:rsidR="00765454" w:rsidRDefault="007654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86C92" w14:textId="77777777" w:rsidR="00B86C52" w:rsidRDefault="00B86C52">
      <w:r>
        <w:separator/>
      </w:r>
    </w:p>
  </w:footnote>
  <w:footnote w:type="continuationSeparator" w:id="0">
    <w:p w14:paraId="274CE346" w14:textId="77777777" w:rsidR="00B86C52" w:rsidRDefault="00B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F340" w14:textId="77777777" w:rsidR="00765454" w:rsidRDefault="00B86C52">
    <w:pPr>
      <w:pStyle w:val="ad"/>
    </w:pPr>
    <w:r>
      <w:pict w14:anchorId="596EE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985" o:spid="_x0000_s2050" type="#_x0000_t136" style="position:absolute;left:0;text-align:left;margin-left:0;margin-top:0;width:612pt;height:68.25pt;rotation:315;z-index:-251655168;mso-position-horizontal:center;mso-position-horizontal-relative:margin;mso-position-vertical:center;mso-position-vertical-relative:margin;mso-width-relative:page;mso-height-relative:page" o:allowincell="f" fillcolor="gray" stroked="f">
          <v:fill opacity=".5"/>
          <v:textpath style="font-family:&quot;等线&quot;;font-size:66pt" fitpath="t" string="器审中心 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D150" w14:textId="77777777" w:rsidR="00765454" w:rsidRDefault="00B86C52">
    <w:r>
      <w:pict w14:anchorId="0F27D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986" o:spid="_x0000_s2051" type="#_x0000_t136" style="position:absolute;left:0;text-align:left;margin-left:0;margin-top:0;width:612pt;height:68.25pt;rotation:315;z-index:-251653120;mso-position-horizontal:center;mso-position-horizontal-relative:margin;mso-position-vertical:center;mso-position-vertical-relative:margin;mso-width-relative:page;mso-height-relative:page" o:allowincell="f" fillcolor="gray" stroked="f">
          <v:fill opacity=".5"/>
          <v:textpath style="font-family:&quot;等线&quot;;font-size:66pt" fitpath="t" string="器审中心 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1E2F" w14:textId="77777777" w:rsidR="00765454" w:rsidRDefault="00B86C52">
    <w:pPr>
      <w:pStyle w:val="ad"/>
    </w:pPr>
    <w:r>
      <w:pict w14:anchorId="06D07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984" o:spid="_x0000_s2049" type="#_x0000_t136" style="position:absolute;left:0;text-align:left;margin-left:0;margin-top:0;width:612pt;height:68.25pt;rotation:315;z-index:-251657216;mso-position-horizontal:center;mso-position-horizontal-relative:margin;mso-position-vertical:center;mso-position-vertical-relative:margin;mso-width-relative:page;mso-height-relative:page" o:allowincell="f" fillcolor="gray" stroked="f">
          <v:fill opacity=".5"/>
          <v:textpath style="font-family:&quot;等线&quot;;font-size:66pt" fitpath="t" string="器审中心 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8C1F15"/>
    <w:multiLevelType w:val="singleLevel"/>
    <w:tmpl w:val="CF8C1F15"/>
    <w:lvl w:ilvl="0">
      <w:start w:val="1"/>
      <w:numFmt w:val="decimal"/>
      <w:suff w:val="nothing"/>
      <w:lvlText w:val="（%1）"/>
      <w:lvlJc w:val="left"/>
    </w:lvl>
  </w:abstractNum>
  <w:abstractNum w:abstractNumId="1" w15:restartNumberingAfterBreak="0">
    <w:nsid w:val="06CA2B01"/>
    <w:multiLevelType w:val="multilevel"/>
    <w:tmpl w:val="06CA2B01"/>
    <w:lvl w:ilvl="0">
      <w:start w:val="1"/>
      <w:numFmt w:val="japaneseCounting"/>
      <w:lvlText w:val="（%1）"/>
      <w:lvlJc w:val="left"/>
      <w:pPr>
        <w:ind w:left="2042"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A86090"/>
    <w:multiLevelType w:val="multilevel"/>
    <w:tmpl w:val="0FA860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2B6A03"/>
    <w:multiLevelType w:val="hybridMultilevel"/>
    <w:tmpl w:val="27F08B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E12E98"/>
    <w:multiLevelType w:val="singleLevel"/>
    <w:tmpl w:val="61E12E98"/>
    <w:lvl w:ilvl="0">
      <w:start w:val="1"/>
      <w:numFmt w:val="decimal"/>
      <w:suff w:val="nothing"/>
      <w:lvlText w:val="（%1）"/>
      <w:lvlJc w:val="left"/>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1135"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
      <w:suff w:val="nothing"/>
      <w:lvlText w:val="%1%2.%3.%4　"/>
      <w:lvlJc w:val="left"/>
      <w:pPr>
        <w:ind w:left="1985"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sDAxNTUzMTExMDRU0lEKTi0uzszPAykwMqoFALTelwctAAAA"/>
    <w:docVar w:name="commondata" w:val="eyJoZGlkIjoiYjI0NzA3NjEyNmYwNmFmNTYwMzljMWU2ZDE3MWEzOGEifQ=="/>
  </w:docVars>
  <w:rsids>
    <w:rsidRoot w:val="00C566AC"/>
    <w:rsid w:val="00004CE4"/>
    <w:rsid w:val="00007F44"/>
    <w:rsid w:val="00012255"/>
    <w:rsid w:val="00014510"/>
    <w:rsid w:val="00016E3C"/>
    <w:rsid w:val="00017817"/>
    <w:rsid w:val="000231CA"/>
    <w:rsid w:val="00024EDE"/>
    <w:rsid w:val="00033363"/>
    <w:rsid w:val="00034434"/>
    <w:rsid w:val="000352B5"/>
    <w:rsid w:val="00037035"/>
    <w:rsid w:val="00037F03"/>
    <w:rsid w:val="00045210"/>
    <w:rsid w:val="000456C6"/>
    <w:rsid w:val="00046910"/>
    <w:rsid w:val="00047C52"/>
    <w:rsid w:val="0005619C"/>
    <w:rsid w:val="0005766C"/>
    <w:rsid w:val="00060D08"/>
    <w:rsid w:val="000621A6"/>
    <w:rsid w:val="0006375E"/>
    <w:rsid w:val="00071858"/>
    <w:rsid w:val="000718F4"/>
    <w:rsid w:val="000801E4"/>
    <w:rsid w:val="00082013"/>
    <w:rsid w:val="00082592"/>
    <w:rsid w:val="00082D8B"/>
    <w:rsid w:val="0008599D"/>
    <w:rsid w:val="00087D8E"/>
    <w:rsid w:val="00093080"/>
    <w:rsid w:val="00094E22"/>
    <w:rsid w:val="000A1B3B"/>
    <w:rsid w:val="000B79C0"/>
    <w:rsid w:val="000C2668"/>
    <w:rsid w:val="000C32D2"/>
    <w:rsid w:val="000C32F2"/>
    <w:rsid w:val="000C37A3"/>
    <w:rsid w:val="000C7E11"/>
    <w:rsid w:val="000D1662"/>
    <w:rsid w:val="000D322A"/>
    <w:rsid w:val="000D52DE"/>
    <w:rsid w:val="000D60BF"/>
    <w:rsid w:val="000D7524"/>
    <w:rsid w:val="000E08D9"/>
    <w:rsid w:val="000F2B2A"/>
    <w:rsid w:val="00100389"/>
    <w:rsid w:val="00100FBE"/>
    <w:rsid w:val="00110B72"/>
    <w:rsid w:val="00111353"/>
    <w:rsid w:val="00114263"/>
    <w:rsid w:val="00114328"/>
    <w:rsid w:val="00121738"/>
    <w:rsid w:val="00131A20"/>
    <w:rsid w:val="00140374"/>
    <w:rsid w:val="00141F61"/>
    <w:rsid w:val="00143A33"/>
    <w:rsid w:val="001453F3"/>
    <w:rsid w:val="00145B42"/>
    <w:rsid w:val="00150F44"/>
    <w:rsid w:val="00151AF8"/>
    <w:rsid w:val="00153E9A"/>
    <w:rsid w:val="001542B3"/>
    <w:rsid w:val="00160FE6"/>
    <w:rsid w:val="0016503C"/>
    <w:rsid w:val="001802B0"/>
    <w:rsid w:val="00181A48"/>
    <w:rsid w:val="001831F2"/>
    <w:rsid w:val="001842E5"/>
    <w:rsid w:val="00186BEB"/>
    <w:rsid w:val="00195615"/>
    <w:rsid w:val="001A15DA"/>
    <w:rsid w:val="001A26CC"/>
    <w:rsid w:val="001A2C15"/>
    <w:rsid w:val="001A62DF"/>
    <w:rsid w:val="001A693D"/>
    <w:rsid w:val="001B23A9"/>
    <w:rsid w:val="001B3263"/>
    <w:rsid w:val="001B4E6E"/>
    <w:rsid w:val="001B5597"/>
    <w:rsid w:val="001B6A5B"/>
    <w:rsid w:val="001B722D"/>
    <w:rsid w:val="001C2B6D"/>
    <w:rsid w:val="001C4C10"/>
    <w:rsid w:val="001C6063"/>
    <w:rsid w:val="001D0697"/>
    <w:rsid w:val="001D06C6"/>
    <w:rsid w:val="001D13F8"/>
    <w:rsid w:val="001D1A28"/>
    <w:rsid w:val="001D5A67"/>
    <w:rsid w:val="001E174D"/>
    <w:rsid w:val="001E2603"/>
    <w:rsid w:val="001E3190"/>
    <w:rsid w:val="001F4D6B"/>
    <w:rsid w:val="001F53C6"/>
    <w:rsid w:val="001F6F06"/>
    <w:rsid w:val="002001FE"/>
    <w:rsid w:val="002029AF"/>
    <w:rsid w:val="0020504B"/>
    <w:rsid w:val="00205677"/>
    <w:rsid w:val="00205AAB"/>
    <w:rsid w:val="0021205F"/>
    <w:rsid w:val="002130F5"/>
    <w:rsid w:val="0021759C"/>
    <w:rsid w:val="0022128C"/>
    <w:rsid w:val="00221E15"/>
    <w:rsid w:val="00222EA2"/>
    <w:rsid w:val="00246243"/>
    <w:rsid w:val="0025013B"/>
    <w:rsid w:val="00254B41"/>
    <w:rsid w:val="00257007"/>
    <w:rsid w:val="00266523"/>
    <w:rsid w:val="00272CD9"/>
    <w:rsid w:val="00275464"/>
    <w:rsid w:val="00275B02"/>
    <w:rsid w:val="002767B8"/>
    <w:rsid w:val="0027769F"/>
    <w:rsid w:val="0028401E"/>
    <w:rsid w:val="00290931"/>
    <w:rsid w:val="00293550"/>
    <w:rsid w:val="002A037B"/>
    <w:rsid w:val="002A05E2"/>
    <w:rsid w:val="002A1E56"/>
    <w:rsid w:val="002A2CAE"/>
    <w:rsid w:val="002A2E63"/>
    <w:rsid w:val="002A57C5"/>
    <w:rsid w:val="002A740A"/>
    <w:rsid w:val="002B37C0"/>
    <w:rsid w:val="002B63DD"/>
    <w:rsid w:val="002C08B6"/>
    <w:rsid w:val="002C28FA"/>
    <w:rsid w:val="002C43F9"/>
    <w:rsid w:val="002D1BA7"/>
    <w:rsid w:val="002D2E1B"/>
    <w:rsid w:val="002E02C4"/>
    <w:rsid w:val="002E31F4"/>
    <w:rsid w:val="002E343F"/>
    <w:rsid w:val="002E70B7"/>
    <w:rsid w:val="002E741A"/>
    <w:rsid w:val="002F07FD"/>
    <w:rsid w:val="002F5804"/>
    <w:rsid w:val="00301A9C"/>
    <w:rsid w:val="00302901"/>
    <w:rsid w:val="003038F9"/>
    <w:rsid w:val="003051E8"/>
    <w:rsid w:val="003064A2"/>
    <w:rsid w:val="00307C48"/>
    <w:rsid w:val="00313DB3"/>
    <w:rsid w:val="00322A72"/>
    <w:rsid w:val="00332C47"/>
    <w:rsid w:val="0033424E"/>
    <w:rsid w:val="0033428B"/>
    <w:rsid w:val="00347CB6"/>
    <w:rsid w:val="0036056B"/>
    <w:rsid w:val="0036062F"/>
    <w:rsid w:val="00360B3C"/>
    <w:rsid w:val="00360C23"/>
    <w:rsid w:val="0036236D"/>
    <w:rsid w:val="0036295C"/>
    <w:rsid w:val="00364B2A"/>
    <w:rsid w:val="003650AB"/>
    <w:rsid w:val="003666A7"/>
    <w:rsid w:val="00366C13"/>
    <w:rsid w:val="003714D6"/>
    <w:rsid w:val="003733E9"/>
    <w:rsid w:val="00375949"/>
    <w:rsid w:val="00377373"/>
    <w:rsid w:val="00381A18"/>
    <w:rsid w:val="00383178"/>
    <w:rsid w:val="0038531A"/>
    <w:rsid w:val="00390912"/>
    <w:rsid w:val="00391D07"/>
    <w:rsid w:val="00394230"/>
    <w:rsid w:val="003A3DD8"/>
    <w:rsid w:val="003A4ED1"/>
    <w:rsid w:val="003A5E91"/>
    <w:rsid w:val="003A633A"/>
    <w:rsid w:val="003B0E5F"/>
    <w:rsid w:val="003B18AB"/>
    <w:rsid w:val="003B3412"/>
    <w:rsid w:val="003C063B"/>
    <w:rsid w:val="003C3742"/>
    <w:rsid w:val="003C3830"/>
    <w:rsid w:val="003C6054"/>
    <w:rsid w:val="003D0C28"/>
    <w:rsid w:val="003D4271"/>
    <w:rsid w:val="003D7CE3"/>
    <w:rsid w:val="003E0903"/>
    <w:rsid w:val="003E10A7"/>
    <w:rsid w:val="003E1BFA"/>
    <w:rsid w:val="003E3E65"/>
    <w:rsid w:val="003F360D"/>
    <w:rsid w:val="003F3C36"/>
    <w:rsid w:val="003F5BF7"/>
    <w:rsid w:val="00401C36"/>
    <w:rsid w:val="004023F0"/>
    <w:rsid w:val="00402E9D"/>
    <w:rsid w:val="00406056"/>
    <w:rsid w:val="00414C92"/>
    <w:rsid w:val="00425E6D"/>
    <w:rsid w:val="00426F63"/>
    <w:rsid w:val="0043088E"/>
    <w:rsid w:val="00431783"/>
    <w:rsid w:val="00432985"/>
    <w:rsid w:val="00432F2B"/>
    <w:rsid w:val="00434DE0"/>
    <w:rsid w:val="00434F9D"/>
    <w:rsid w:val="0043588E"/>
    <w:rsid w:val="00437E90"/>
    <w:rsid w:val="00440CC4"/>
    <w:rsid w:val="00442A83"/>
    <w:rsid w:val="00443BE6"/>
    <w:rsid w:val="00450FF1"/>
    <w:rsid w:val="004513F5"/>
    <w:rsid w:val="00451C21"/>
    <w:rsid w:val="00454D5E"/>
    <w:rsid w:val="0045502E"/>
    <w:rsid w:val="00455A97"/>
    <w:rsid w:val="004569D4"/>
    <w:rsid w:val="00460BE6"/>
    <w:rsid w:val="00461BAD"/>
    <w:rsid w:val="004640A1"/>
    <w:rsid w:val="00471BC4"/>
    <w:rsid w:val="00482CE0"/>
    <w:rsid w:val="004960FE"/>
    <w:rsid w:val="004A014A"/>
    <w:rsid w:val="004A2085"/>
    <w:rsid w:val="004A6FC6"/>
    <w:rsid w:val="004B05D6"/>
    <w:rsid w:val="004B1EC3"/>
    <w:rsid w:val="004C27CB"/>
    <w:rsid w:val="004C4B61"/>
    <w:rsid w:val="004E1A79"/>
    <w:rsid w:val="004E287F"/>
    <w:rsid w:val="004E3084"/>
    <w:rsid w:val="004F242B"/>
    <w:rsid w:val="004F36C7"/>
    <w:rsid w:val="004F3935"/>
    <w:rsid w:val="004F56CA"/>
    <w:rsid w:val="004F576F"/>
    <w:rsid w:val="00503D4E"/>
    <w:rsid w:val="0050580D"/>
    <w:rsid w:val="005064F3"/>
    <w:rsid w:val="00515510"/>
    <w:rsid w:val="005238C3"/>
    <w:rsid w:val="00525182"/>
    <w:rsid w:val="00526384"/>
    <w:rsid w:val="005321D8"/>
    <w:rsid w:val="005374B0"/>
    <w:rsid w:val="00541400"/>
    <w:rsid w:val="005425D7"/>
    <w:rsid w:val="0055230E"/>
    <w:rsid w:val="005604EF"/>
    <w:rsid w:val="00561A4C"/>
    <w:rsid w:val="0056264B"/>
    <w:rsid w:val="00575810"/>
    <w:rsid w:val="00580A95"/>
    <w:rsid w:val="00584168"/>
    <w:rsid w:val="005843BD"/>
    <w:rsid w:val="00591E55"/>
    <w:rsid w:val="005965C4"/>
    <w:rsid w:val="005965E6"/>
    <w:rsid w:val="00596BA7"/>
    <w:rsid w:val="00597D11"/>
    <w:rsid w:val="005A1164"/>
    <w:rsid w:val="005A4C5B"/>
    <w:rsid w:val="005B136E"/>
    <w:rsid w:val="005B2A11"/>
    <w:rsid w:val="005B62EC"/>
    <w:rsid w:val="005B6A73"/>
    <w:rsid w:val="005B7F82"/>
    <w:rsid w:val="005C15CF"/>
    <w:rsid w:val="005C3916"/>
    <w:rsid w:val="005C534A"/>
    <w:rsid w:val="005C63C4"/>
    <w:rsid w:val="005D007B"/>
    <w:rsid w:val="005D1B85"/>
    <w:rsid w:val="005D1D30"/>
    <w:rsid w:val="005D221A"/>
    <w:rsid w:val="005D34B8"/>
    <w:rsid w:val="005D4F41"/>
    <w:rsid w:val="005D5152"/>
    <w:rsid w:val="005D77DE"/>
    <w:rsid w:val="005D7BD7"/>
    <w:rsid w:val="005E0E96"/>
    <w:rsid w:val="005E1676"/>
    <w:rsid w:val="005E168E"/>
    <w:rsid w:val="005E394D"/>
    <w:rsid w:val="005E57FC"/>
    <w:rsid w:val="005E74CA"/>
    <w:rsid w:val="005F63F1"/>
    <w:rsid w:val="005F6D27"/>
    <w:rsid w:val="005F7BAC"/>
    <w:rsid w:val="006053EB"/>
    <w:rsid w:val="00605EFE"/>
    <w:rsid w:val="00612A8B"/>
    <w:rsid w:val="00614A23"/>
    <w:rsid w:val="00615705"/>
    <w:rsid w:val="00616A21"/>
    <w:rsid w:val="00617835"/>
    <w:rsid w:val="00623412"/>
    <w:rsid w:val="006250C7"/>
    <w:rsid w:val="006254D7"/>
    <w:rsid w:val="0062748A"/>
    <w:rsid w:val="00627B51"/>
    <w:rsid w:val="00631239"/>
    <w:rsid w:val="006368CB"/>
    <w:rsid w:val="006379CF"/>
    <w:rsid w:val="006528DB"/>
    <w:rsid w:val="00652A41"/>
    <w:rsid w:val="00655B49"/>
    <w:rsid w:val="006627AA"/>
    <w:rsid w:val="00663E43"/>
    <w:rsid w:val="0066463C"/>
    <w:rsid w:val="00664B0E"/>
    <w:rsid w:val="0066627F"/>
    <w:rsid w:val="006672F6"/>
    <w:rsid w:val="00671A4D"/>
    <w:rsid w:val="00672EF5"/>
    <w:rsid w:val="006738F9"/>
    <w:rsid w:val="0068085B"/>
    <w:rsid w:val="00684E9E"/>
    <w:rsid w:val="006854A1"/>
    <w:rsid w:val="00687BF6"/>
    <w:rsid w:val="00697FAF"/>
    <w:rsid w:val="006A4E1F"/>
    <w:rsid w:val="006A56E0"/>
    <w:rsid w:val="006A7B19"/>
    <w:rsid w:val="006B05DB"/>
    <w:rsid w:val="006B2AA3"/>
    <w:rsid w:val="006B39C4"/>
    <w:rsid w:val="006B7E2A"/>
    <w:rsid w:val="006D062C"/>
    <w:rsid w:val="006D0986"/>
    <w:rsid w:val="006D7185"/>
    <w:rsid w:val="006D7F07"/>
    <w:rsid w:val="006D7F5A"/>
    <w:rsid w:val="006E4CDC"/>
    <w:rsid w:val="006E528E"/>
    <w:rsid w:val="006F3EDD"/>
    <w:rsid w:val="006F5FC0"/>
    <w:rsid w:val="006F6204"/>
    <w:rsid w:val="007022EF"/>
    <w:rsid w:val="007031BB"/>
    <w:rsid w:val="0071182E"/>
    <w:rsid w:val="007225F9"/>
    <w:rsid w:val="00724776"/>
    <w:rsid w:val="0073174A"/>
    <w:rsid w:val="00740678"/>
    <w:rsid w:val="00740D6B"/>
    <w:rsid w:val="0074139D"/>
    <w:rsid w:val="00741D15"/>
    <w:rsid w:val="00743685"/>
    <w:rsid w:val="0074785C"/>
    <w:rsid w:val="007479F2"/>
    <w:rsid w:val="00747F6F"/>
    <w:rsid w:val="007570C7"/>
    <w:rsid w:val="00757C19"/>
    <w:rsid w:val="00757EA4"/>
    <w:rsid w:val="007603DA"/>
    <w:rsid w:val="00761A2D"/>
    <w:rsid w:val="007624CE"/>
    <w:rsid w:val="007643FF"/>
    <w:rsid w:val="00765454"/>
    <w:rsid w:val="007678D0"/>
    <w:rsid w:val="00770165"/>
    <w:rsid w:val="00771C4A"/>
    <w:rsid w:val="00774FDF"/>
    <w:rsid w:val="00775F19"/>
    <w:rsid w:val="007828C8"/>
    <w:rsid w:val="00783EA0"/>
    <w:rsid w:val="00786193"/>
    <w:rsid w:val="0079172C"/>
    <w:rsid w:val="00797E53"/>
    <w:rsid w:val="007A0A1D"/>
    <w:rsid w:val="007A1178"/>
    <w:rsid w:val="007A58F5"/>
    <w:rsid w:val="007B1976"/>
    <w:rsid w:val="007B1C36"/>
    <w:rsid w:val="007B458F"/>
    <w:rsid w:val="007B509D"/>
    <w:rsid w:val="007B6132"/>
    <w:rsid w:val="007B7FA0"/>
    <w:rsid w:val="007C347D"/>
    <w:rsid w:val="007C484D"/>
    <w:rsid w:val="007E1106"/>
    <w:rsid w:val="007E3BEC"/>
    <w:rsid w:val="007F7502"/>
    <w:rsid w:val="007F7A49"/>
    <w:rsid w:val="0080240F"/>
    <w:rsid w:val="008048CA"/>
    <w:rsid w:val="00805352"/>
    <w:rsid w:val="0080547F"/>
    <w:rsid w:val="00812152"/>
    <w:rsid w:val="00813BEA"/>
    <w:rsid w:val="008162B1"/>
    <w:rsid w:val="00817047"/>
    <w:rsid w:val="00817274"/>
    <w:rsid w:val="00821976"/>
    <w:rsid w:val="00824E81"/>
    <w:rsid w:val="00826861"/>
    <w:rsid w:val="00827AEF"/>
    <w:rsid w:val="00827C0B"/>
    <w:rsid w:val="00831CC7"/>
    <w:rsid w:val="00836861"/>
    <w:rsid w:val="008452DB"/>
    <w:rsid w:val="0084578C"/>
    <w:rsid w:val="00847739"/>
    <w:rsid w:val="00855681"/>
    <w:rsid w:val="00855766"/>
    <w:rsid w:val="00857938"/>
    <w:rsid w:val="00865452"/>
    <w:rsid w:val="00866715"/>
    <w:rsid w:val="008736B8"/>
    <w:rsid w:val="00877139"/>
    <w:rsid w:val="0088225C"/>
    <w:rsid w:val="0088464D"/>
    <w:rsid w:val="00885932"/>
    <w:rsid w:val="00885EB9"/>
    <w:rsid w:val="00886011"/>
    <w:rsid w:val="008865AF"/>
    <w:rsid w:val="00891E0F"/>
    <w:rsid w:val="008929EC"/>
    <w:rsid w:val="008948FD"/>
    <w:rsid w:val="008A0396"/>
    <w:rsid w:val="008A0F67"/>
    <w:rsid w:val="008B0D13"/>
    <w:rsid w:val="008B707B"/>
    <w:rsid w:val="008C369A"/>
    <w:rsid w:val="008D2D6B"/>
    <w:rsid w:val="008D338F"/>
    <w:rsid w:val="008F157F"/>
    <w:rsid w:val="008F1B4D"/>
    <w:rsid w:val="008F33E0"/>
    <w:rsid w:val="008F3D96"/>
    <w:rsid w:val="008F6DF0"/>
    <w:rsid w:val="008F74C8"/>
    <w:rsid w:val="0090005A"/>
    <w:rsid w:val="0090262A"/>
    <w:rsid w:val="0090268D"/>
    <w:rsid w:val="00904D37"/>
    <w:rsid w:val="009064A9"/>
    <w:rsid w:val="00910DD7"/>
    <w:rsid w:val="00915395"/>
    <w:rsid w:val="00916DC2"/>
    <w:rsid w:val="0091750C"/>
    <w:rsid w:val="00920191"/>
    <w:rsid w:val="00920A92"/>
    <w:rsid w:val="00926D7F"/>
    <w:rsid w:val="00935034"/>
    <w:rsid w:val="0093774A"/>
    <w:rsid w:val="00940076"/>
    <w:rsid w:val="009405AF"/>
    <w:rsid w:val="00951EC8"/>
    <w:rsid w:val="00952120"/>
    <w:rsid w:val="00952C09"/>
    <w:rsid w:val="009557B7"/>
    <w:rsid w:val="009562AD"/>
    <w:rsid w:val="009651DC"/>
    <w:rsid w:val="00977BA3"/>
    <w:rsid w:val="00981D1C"/>
    <w:rsid w:val="009929E9"/>
    <w:rsid w:val="00994A89"/>
    <w:rsid w:val="00995E17"/>
    <w:rsid w:val="009975D3"/>
    <w:rsid w:val="009A54D2"/>
    <w:rsid w:val="009A5F94"/>
    <w:rsid w:val="009A7063"/>
    <w:rsid w:val="009B68A8"/>
    <w:rsid w:val="009B7856"/>
    <w:rsid w:val="009C06B1"/>
    <w:rsid w:val="009C1D93"/>
    <w:rsid w:val="009C6646"/>
    <w:rsid w:val="009D0D42"/>
    <w:rsid w:val="009D30ED"/>
    <w:rsid w:val="009D7B30"/>
    <w:rsid w:val="009E0673"/>
    <w:rsid w:val="009E223F"/>
    <w:rsid w:val="009E5982"/>
    <w:rsid w:val="009E5DF9"/>
    <w:rsid w:val="009E62B0"/>
    <w:rsid w:val="009E690B"/>
    <w:rsid w:val="009F0036"/>
    <w:rsid w:val="009F01AB"/>
    <w:rsid w:val="009F7940"/>
    <w:rsid w:val="00A039C9"/>
    <w:rsid w:val="00A055E1"/>
    <w:rsid w:val="00A06740"/>
    <w:rsid w:val="00A0748C"/>
    <w:rsid w:val="00A130F5"/>
    <w:rsid w:val="00A153AD"/>
    <w:rsid w:val="00A15579"/>
    <w:rsid w:val="00A169E7"/>
    <w:rsid w:val="00A20935"/>
    <w:rsid w:val="00A2452A"/>
    <w:rsid w:val="00A366C8"/>
    <w:rsid w:val="00A37CFE"/>
    <w:rsid w:val="00A41E98"/>
    <w:rsid w:val="00A41FA1"/>
    <w:rsid w:val="00A42141"/>
    <w:rsid w:val="00A42E40"/>
    <w:rsid w:val="00A45738"/>
    <w:rsid w:val="00A46204"/>
    <w:rsid w:val="00A50EF1"/>
    <w:rsid w:val="00A52858"/>
    <w:rsid w:val="00A52FFF"/>
    <w:rsid w:val="00A54EBF"/>
    <w:rsid w:val="00A61F97"/>
    <w:rsid w:val="00A63FAF"/>
    <w:rsid w:val="00A640D6"/>
    <w:rsid w:val="00A64C7B"/>
    <w:rsid w:val="00A711B1"/>
    <w:rsid w:val="00A72A86"/>
    <w:rsid w:val="00A74E98"/>
    <w:rsid w:val="00A76B85"/>
    <w:rsid w:val="00A801D8"/>
    <w:rsid w:val="00A8471D"/>
    <w:rsid w:val="00A900D8"/>
    <w:rsid w:val="00A91221"/>
    <w:rsid w:val="00A93BA3"/>
    <w:rsid w:val="00A9611C"/>
    <w:rsid w:val="00AA6344"/>
    <w:rsid w:val="00AB2E6C"/>
    <w:rsid w:val="00AB564F"/>
    <w:rsid w:val="00AB75CD"/>
    <w:rsid w:val="00AC0D26"/>
    <w:rsid w:val="00AC0E5F"/>
    <w:rsid w:val="00AC4C76"/>
    <w:rsid w:val="00AC55F9"/>
    <w:rsid w:val="00AC6256"/>
    <w:rsid w:val="00AD1613"/>
    <w:rsid w:val="00AF0A9D"/>
    <w:rsid w:val="00AF2A9C"/>
    <w:rsid w:val="00AF7197"/>
    <w:rsid w:val="00AF7587"/>
    <w:rsid w:val="00B04495"/>
    <w:rsid w:val="00B0684D"/>
    <w:rsid w:val="00B06CA3"/>
    <w:rsid w:val="00B07206"/>
    <w:rsid w:val="00B11900"/>
    <w:rsid w:val="00B14A1F"/>
    <w:rsid w:val="00B15B64"/>
    <w:rsid w:val="00B15C70"/>
    <w:rsid w:val="00B234C7"/>
    <w:rsid w:val="00B3032F"/>
    <w:rsid w:val="00B306A1"/>
    <w:rsid w:val="00B31261"/>
    <w:rsid w:val="00B32994"/>
    <w:rsid w:val="00B440CC"/>
    <w:rsid w:val="00B470A5"/>
    <w:rsid w:val="00B47ECD"/>
    <w:rsid w:val="00B5428E"/>
    <w:rsid w:val="00B54C58"/>
    <w:rsid w:val="00B55968"/>
    <w:rsid w:val="00B6310C"/>
    <w:rsid w:val="00B63B13"/>
    <w:rsid w:val="00B72751"/>
    <w:rsid w:val="00B77572"/>
    <w:rsid w:val="00B80CE1"/>
    <w:rsid w:val="00B816BA"/>
    <w:rsid w:val="00B8184E"/>
    <w:rsid w:val="00B81A49"/>
    <w:rsid w:val="00B86C52"/>
    <w:rsid w:val="00B90BD0"/>
    <w:rsid w:val="00B92FAE"/>
    <w:rsid w:val="00B94263"/>
    <w:rsid w:val="00B97835"/>
    <w:rsid w:val="00BA15A3"/>
    <w:rsid w:val="00BA3A47"/>
    <w:rsid w:val="00BA42F2"/>
    <w:rsid w:val="00BA43E9"/>
    <w:rsid w:val="00BA5E04"/>
    <w:rsid w:val="00BA779C"/>
    <w:rsid w:val="00BB09A0"/>
    <w:rsid w:val="00BB1C52"/>
    <w:rsid w:val="00BB2480"/>
    <w:rsid w:val="00BB24E7"/>
    <w:rsid w:val="00BB6312"/>
    <w:rsid w:val="00BC3729"/>
    <w:rsid w:val="00BC3CDB"/>
    <w:rsid w:val="00BC3E39"/>
    <w:rsid w:val="00BC4554"/>
    <w:rsid w:val="00BD0751"/>
    <w:rsid w:val="00BD08F3"/>
    <w:rsid w:val="00BD2B2F"/>
    <w:rsid w:val="00BD4D4B"/>
    <w:rsid w:val="00BE26D0"/>
    <w:rsid w:val="00BE4B94"/>
    <w:rsid w:val="00BE6661"/>
    <w:rsid w:val="00BE693F"/>
    <w:rsid w:val="00BE7AA9"/>
    <w:rsid w:val="00BF028C"/>
    <w:rsid w:val="00BF174A"/>
    <w:rsid w:val="00BF2BD2"/>
    <w:rsid w:val="00BF3DC4"/>
    <w:rsid w:val="00BF4F39"/>
    <w:rsid w:val="00BF628E"/>
    <w:rsid w:val="00C06FF6"/>
    <w:rsid w:val="00C112E1"/>
    <w:rsid w:val="00C12936"/>
    <w:rsid w:val="00C134BF"/>
    <w:rsid w:val="00C13B75"/>
    <w:rsid w:val="00C1538E"/>
    <w:rsid w:val="00C212BC"/>
    <w:rsid w:val="00C21D4B"/>
    <w:rsid w:val="00C232C8"/>
    <w:rsid w:val="00C24249"/>
    <w:rsid w:val="00C32E34"/>
    <w:rsid w:val="00C354A9"/>
    <w:rsid w:val="00C40603"/>
    <w:rsid w:val="00C4376D"/>
    <w:rsid w:val="00C43F11"/>
    <w:rsid w:val="00C50A64"/>
    <w:rsid w:val="00C566AC"/>
    <w:rsid w:val="00C63E68"/>
    <w:rsid w:val="00C64829"/>
    <w:rsid w:val="00C67D8E"/>
    <w:rsid w:val="00C70469"/>
    <w:rsid w:val="00C71CAE"/>
    <w:rsid w:val="00C86727"/>
    <w:rsid w:val="00C86FC7"/>
    <w:rsid w:val="00C94099"/>
    <w:rsid w:val="00CA124A"/>
    <w:rsid w:val="00CA4ABE"/>
    <w:rsid w:val="00CA5160"/>
    <w:rsid w:val="00CA53F6"/>
    <w:rsid w:val="00CA7CD0"/>
    <w:rsid w:val="00CB1703"/>
    <w:rsid w:val="00CB2C7A"/>
    <w:rsid w:val="00CB46C4"/>
    <w:rsid w:val="00CB77F1"/>
    <w:rsid w:val="00CC042F"/>
    <w:rsid w:val="00CC574F"/>
    <w:rsid w:val="00CE705C"/>
    <w:rsid w:val="00CE761C"/>
    <w:rsid w:val="00CF2EC7"/>
    <w:rsid w:val="00CF33B3"/>
    <w:rsid w:val="00D02521"/>
    <w:rsid w:val="00D0506B"/>
    <w:rsid w:val="00D07324"/>
    <w:rsid w:val="00D07C17"/>
    <w:rsid w:val="00D11560"/>
    <w:rsid w:val="00D1186C"/>
    <w:rsid w:val="00D11F89"/>
    <w:rsid w:val="00D22C5D"/>
    <w:rsid w:val="00D3370D"/>
    <w:rsid w:val="00D34021"/>
    <w:rsid w:val="00D34203"/>
    <w:rsid w:val="00D375A8"/>
    <w:rsid w:val="00D46112"/>
    <w:rsid w:val="00D47F0B"/>
    <w:rsid w:val="00D47FFB"/>
    <w:rsid w:val="00D55CA4"/>
    <w:rsid w:val="00D62CE4"/>
    <w:rsid w:val="00D64B4C"/>
    <w:rsid w:val="00D657A9"/>
    <w:rsid w:val="00D67342"/>
    <w:rsid w:val="00D67858"/>
    <w:rsid w:val="00D73009"/>
    <w:rsid w:val="00D732BF"/>
    <w:rsid w:val="00D73AB5"/>
    <w:rsid w:val="00D73B2D"/>
    <w:rsid w:val="00D757B4"/>
    <w:rsid w:val="00D75EC6"/>
    <w:rsid w:val="00D764D6"/>
    <w:rsid w:val="00D7723B"/>
    <w:rsid w:val="00D84356"/>
    <w:rsid w:val="00D85E65"/>
    <w:rsid w:val="00D870A7"/>
    <w:rsid w:val="00D9215B"/>
    <w:rsid w:val="00D933F7"/>
    <w:rsid w:val="00DA190F"/>
    <w:rsid w:val="00DA50A0"/>
    <w:rsid w:val="00DA78C9"/>
    <w:rsid w:val="00DB3518"/>
    <w:rsid w:val="00DB4274"/>
    <w:rsid w:val="00DB50C7"/>
    <w:rsid w:val="00DC1926"/>
    <w:rsid w:val="00DC2268"/>
    <w:rsid w:val="00DC39AA"/>
    <w:rsid w:val="00DC4C57"/>
    <w:rsid w:val="00DC4FB5"/>
    <w:rsid w:val="00DC5942"/>
    <w:rsid w:val="00DC61BF"/>
    <w:rsid w:val="00DC79BD"/>
    <w:rsid w:val="00DD04C2"/>
    <w:rsid w:val="00DD05F3"/>
    <w:rsid w:val="00DD58F7"/>
    <w:rsid w:val="00DE08D7"/>
    <w:rsid w:val="00DE2FCA"/>
    <w:rsid w:val="00DE4790"/>
    <w:rsid w:val="00DE5D46"/>
    <w:rsid w:val="00DE6B77"/>
    <w:rsid w:val="00DE7BB8"/>
    <w:rsid w:val="00DF182C"/>
    <w:rsid w:val="00DF1C3D"/>
    <w:rsid w:val="00DF67E1"/>
    <w:rsid w:val="00E00B7E"/>
    <w:rsid w:val="00E00F28"/>
    <w:rsid w:val="00E04322"/>
    <w:rsid w:val="00E04A06"/>
    <w:rsid w:val="00E064E7"/>
    <w:rsid w:val="00E076BD"/>
    <w:rsid w:val="00E12931"/>
    <w:rsid w:val="00E15E58"/>
    <w:rsid w:val="00E222CC"/>
    <w:rsid w:val="00E247F6"/>
    <w:rsid w:val="00E32211"/>
    <w:rsid w:val="00E3276B"/>
    <w:rsid w:val="00E32F72"/>
    <w:rsid w:val="00E3391C"/>
    <w:rsid w:val="00E36B28"/>
    <w:rsid w:val="00E36C19"/>
    <w:rsid w:val="00E40896"/>
    <w:rsid w:val="00E5116D"/>
    <w:rsid w:val="00E55F60"/>
    <w:rsid w:val="00E60800"/>
    <w:rsid w:val="00E626D9"/>
    <w:rsid w:val="00E6400A"/>
    <w:rsid w:val="00E64A60"/>
    <w:rsid w:val="00E66157"/>
    <w:rsid w:val="00E71DEA"/>
    <w:rsid w:val="00E77A05"/>
    <w:rsid w:val="00E77B14"/>
    <w:rsid w:val="00E82A7B"/>
    <w:rsid w:val="00E84BC2"/>
    <w:rsid w:val="00E862B2"/>
    <w:rsid w:val="00E87B89"/>
    <w:rsid w:val="00E91C6B"/>
    <w:rsid w:val="00E93DC9"/>
    <w:rsid w:val="00E946C8"/>
    <w:rsid w:val="00E95664"/>
    <w:rsid w:val="00E96887"/>
    <w:rsid w:val="00EA1301"/>
    <w:rsid w:val="00EA4A18"/>
    <w:rsid w:val="00EB04DD"/>
    <w:rsid w:val="00EC4B81"/>
    <w:rsid w:val="00EC5576"/>
    <w:rsid w:val="00EC5705"/>
    <w:rsid w:val="00EC7CA0"/>
    <w:rsid w:val="00ED0A3F"/>
    <w:rsid w:val="00ED0DE7"/>
    <w:rsid w:val="00ED1518"/>
    <w:rsid w:val="00ED48AF"/>
    <w:rsid w:val="00ED4E96"/>
    <w:rsid w:val="00EE028C"/>
    <w:rsid w:val="00EE2151"/>
    <w:rsid w:val="00EE39D1"/>
    <w:rsid w:val="00EE53A4"/>
    <w:rsid w:val="00EE5E2D"/>
    <w:rsid w:val="00EF1D80"/>
    <w:rsid w:val="00EF3293"/>
    <w:rsid w:val="00EF60B4"/>
    <w:rsid w:val="00F002E1"/>
    <w:rsid w:val="00F0421F"/>
    <w:rsid w:val="00F04854"/>
    <w:rsid w:val="00F0494F"/>
    <w:rsid w:val="00F04AC2"/>
    <w:rsid w:val="00F119BD"/>
    <w:rsid w:val="00F17FDB"/>
    <w:rsid w:val="00F20E1B"/>
    <w:rsid w:val="00F21599"/>
    <w:rsid w:val="00F21ABB"/>
    <w:rsid w:val="00F22302"/>
    <w:rsid w:val="00F2384D"/>
    <w:rsid w:val="00F23A92"/>
    <w:rsid w:val="00F25C86"/>
    <w:rsid w:val="00F2645A"/>
    <w:rsid w:val="00F30B53"/>
    <w:rsid w:val="00F348D9"/>
    <w:rsid w:val="00F348E2"/>
    <w:rsid w:val="00F35078"/>
    <w:rsid w:val="00F377C8"/>
    <w:rsid w:val="00F40AA6"/>
    <w:rsid w:val="00F4463B"/>
    <w:rsid w:val="00F44854"/>
    <w:rsid w:val="00F4514B"/>
    <w:rsid w:val="00F45263"/>
    <w:rsid w:val="00F454CF"/>
    <w:rsid w:val="00F47DAA"/>
    <w:rsid w:val="00F6440D"/>
    <w:rsid w:val="00F72087"/>
    <w:rsid w:val="00F731B5"/>
    <w:rsid w:val="00F82A49"/>
    <w:rsid w:val="00F8502C"/>
    <w:rsid w:val="00F85CE4"/>
    <w:rsid w:val="00F92AA2"/>
    <w:rsid w:val="00F930D6"/>
    <w:rsid w:val="00FA63DA"/>
    <w:rsid w:val="00FA6BF4"/>
    <w:rsid w:val="00FA7451"/>
    <w:rsid w:val="00FB02A9"/>
    <w:rsid w:val="00FB05FE"/>
    <w:rsid w:val="00FB41E3"/>
    <w:rsid w:val="00FB4F74"/>
    <w:rsid w:val="00FB5DBA"/>
    <w:rsid w:val="00FB743A"/>
    <w:rsid w:val="00FB7A8A"/>
    <w:rsid w:val="00FC0F34"/>
    <w:rsid w:val="00FC5843"/>
    <w:rsid w:val="00FC5F87"/>
    <w:rsid w:val="00FC615B"/>
    <w:rsid w:val="00FD1125"/>
    <w:rsid w:val="00FD482A"/>
    <w:rsid w:val="00FD6F47"/>
    <w:rsid w:val="00FE0532"/>
    <w:rsid w:val="00FE3D93"/>
    <w:rsid w:val="00FE4412"/>
    <w:rsid w:val="00FE54F4"/>
    <w:rsid w:val="00FF39DC"/>
    <w:rsid w:val="00FF5F95"/>
    <w:rsid w:val="00FF7250"/>
    <w:rsid w:val="017D1CA0"/>
    <w:rsid w:val="0274489F"/>
    <w:rsid w:val="02DB4171"/>
    <w:rsid w:val="033D3705"/>
    <w:rsid w:val="038A7E04"/>
    <w:rsid w:val="046E693F"/>
    <w:rsid w:val="04A14985"/>
    <w:rsid w:val="04C503CF"/>
    <w:rsid w:val="05371329"/>
    <w:rsid w:val="056E7A9E"/>
    <w:rsid w:val="057B1E44"/>
    <w:rsid w:val="057E16EC"/>
    <w:rsid w:val="06154E0A"/>
    <w:rsid w:val="065208C4"/>
    <w:rsid w:val="066E4507"/>
    <w:rsid w:val="06757B39"/>
    <w:rsid w:val="068C7709"/>
    <w:rsid w:val="07377669"/>
    <w:rsid w:val="07B66C06"/>
    <w:rsid w:val="08C96B5F"/>
    <w:rsid w:val="092E1187"/>
    <w:rsid w:val="09CC076D"/>
    <w:rsid w:val="0AA874BE"/>
    <w:rsid w:val="0B263F58"/>
    <w:rsid w:val="0BB71E54"/>
    <w:rsid w:val="0CEF0719"/>
    <w:rsid w:val="0DF76049"/>
    <w:rsid w:val="10537FE4"/>
    <w:rsid w:val="13D37A05"/>
    <w:rsid w:val="15D24F12"/>
    <w:rsid w:val="166B72BB"/>
    <w:rsid w:val="18345E2F"/>
    <w:rsid w:val="19587D6D"/>
    <w:rsid w:val="1A412C2E"/>
    <w:rsid w:val="1AB52310"/>
    <w:rsid w:val="1B736498"/>
    <w:rsid w:val="1B8270C1"/>
    <w:rsid w:val="1C1075C6"/>
    <w:rsid w:val="1D1D63D2"/>
    <w:rsid w:val="21A5351C"/>
    <w:rsid w:val="21C52D32"/>
    <w:rsid w:val="21D96240"/>
    <w:rsid w:val="22FF5A48"/>
    <w:rsid w:val="231C4325"/>
    <w:rsid w:val="23EA5F68"/>
    <w:rsid w:val="23EE2308"/>
    <w:rsid w:val="24266244"/>
    <w:rsid w:val="24D837FE"/>
    <w:rsid w:val="24E3275C"/>
    <w:rsid w:val="25F30C8E"/>
    <w:rsid w:val="267A0097"/>
    <w:rsid w:val="26B36CF1"/>
    <w:rsid w:val="274D5DA2"/>
    <w:rsid w:val="2971733E"/>
    <w:rsid w:val="29AF2BB0"/>
    <w:rsid w:val="2A044026"/>
    <w:rsid w:val="2B4C466E"/>
    <w:rsid w:val="2B645CCA"/>
    <w:rsid w:val="2B6F3F78"/>
    <w:rsid w:val="2C1969AF"/>
    <w:rsid w:val="2C2C3DBD"/>
    <w:rsid w:val="2CD370D6"/>
    <w:rsid w:val="2D111F58"/>
    <w:rsid w:val="2E435AD7"/>
    <w:rsid w:val="2F00131E"/>
    <w:rsid w:val="2F29637E"/>
    <w:rsid w:val="2FDD42C0"/>
    <w:rsid w:val="2FEB77F3"/>
    <w:rsid w:val="30850760"/>
    <w:rsid w:val="30A237E4"/>
    <w:rsid w:val="31CD0D39"/>
    <w:rsid w:val="32271524"/>
    <w:rsid w:val="32FB7000"/>
    <w:rsid w:val="33E3454D"/>
    <w:rsid w:val="347C5B3E"/>
    <w:rsid w:val="35C45FCF"/>
    <w:rsid w:val="35E170C6"/>
    <w:rsid w:val="36312BBF"/>
    <w:rsid w:val="370B6750"/>
    <w:rsid w:val="377D2008"/>
    <w:rsid w:val="378E50F0"/>
    <w:rsid w:val="37CA558B"/>
    <w:rsid w:val="3848360C"/>
    <w:rsid w:val="38492264"/>
    <w:rsid w:val="38634513"/>
    <w:rsid w:val="38CE5C75"/>
    <w:rsid w:val="394B593B"/>
    <w:rsid w:val="394C5397"/>
    <w:rsid w:val="39AB2210"/>
    <w:rsid w:val="3B122AED"/>
    <w:rsid w:val="3C1A1B73"/>
    <w:rsid w:val="3C1A40EC"/>
    <w:rsid w:val="3CED228F"/>
    <w:rsid w:val="3D085313"/>
    <w:rsid w:val="3D214440"/>
    <w:rsid w:val="3D634470"/>
    <w:rsid w:val="3E694397"/>
    <w:rsid w:val="3EA3143A"/>
    <w:rsid w:val="3EAC7060"/>
    <w:rsid w:val="3EC0482B"/>
    <w:rsid w:val="3EC93137"/>
    <w:rsid w:val="3ECD6B38"/>
    <w:rsid w:val="3FC50AE9"/>
    <w:rsid w:val="40FB45E9"/>
    <w:rsid w:val="41243224"/>
    <w:rsid w:val="415707B8"/>
    <w:rsid w:val="422F47B3"/>
    <w:rsid w:val="426A5B2E"/>
    <w:rsid w:val="43427CEC"/>
    <w:rsid w:val="434D4E70"/>
    <w:rsid w:val="43C95E80"/>
    <w:rsid w:val="44852AA2"/>
    <w:rsid w:val="45CB2DB9"/>
    <w:rsid w:val="45E45CC4"/>
    <w:rsid w:val="46DC0B33"/>
    <w:rsid w:val="4777039E"/>
    <w:rsid w:val="486415F1"/>
    <w:rsid w:val="48F510E8"/>
    <w:rsid w:val="49824300"/>
    <w:rsid w:val="4A215901"/>
    <w:rsid w:val="4AE3598E"/>
    <w:rsid w:val="4B426CB0"/>
    <w:rsid w:val="4C186790"/>
    <w:rsid w:val="4CD268D3"/>
    <w:rsid w:val="4D475088"/>
    <w:rsid w:val="4DA63A89"/>
    <w:rsid w:val="4E300B1C"/>
    <w:rsid w:val="4EF82874"/>
    <w:rsid w:val="50541B58"/>
    <w:rsid w:val="509E1613"/>
    <w:rsid w:val="51B65B42"/>
    <w:rsid w:val="52492524"/>
    <w:rsid w:val="529104B6"/>
    <w:rsid w:val="53613581"/>
    <w:rsid w:val="53A90453"/>
    <w:rsid w:val="544A06FD"/>
    <w:rsid w:val="54903CEB"/>
    <w:rsid w:val="54EF07D8"/>
    <w:rsid w:val="55804B39"/>
    <w:rsid w:val="565C0C75"/>
    <w:rsid w:val="5704060C"/>
    <w:rsid w:val="572C49FD"/>
    <w:rsid w:val="574F3E1A"/>
    <w:rsid w:val="579960B6"/>
    <w:rsid w:val="59233ED8"/>
    <w:rsid w:val="59896953"/>
    <w:rsid w:val="5AB54281"/>
    <w:rsid w:val="5AD5067A"/>
    <w:rsid w:val="5BC16B4B"/>
    <w:rsid w:val="5C4941ED"/>
    <w:rsid w:val="5E096B75"/>
    <w:rsid w:val="5E502404"/>
    <w:rsid w:val="5ED0086D"/>
    <w:rsid w:val="5EF425A4"/>
    <w:rsid w:val="5FA52E1D"/>
    <w:rsid w:val="5FBA779F"/>
    <w:rsid w:val="5FE902E3"/>
    <w:rsid w:val="606743DD"/>
    <w:rsid w:val="60D655AC"/>
    <w:rsid w:val="61253EE7"/>
    <w:rsid w:val="617C45AB"/>
    <w:rsid w:val="63721E0E"/>
    <w:rsid w:val="63873E81"/>
    <w:rsid w:val="63A8155A"/>
    <w:rsid w:val="63E05965"/>
    <w:rsid w:val="640733BB"/>
    <w:rsid w:val="642E544F"/>
    <w:rsid w:val="64FF3D24"/>
    <w:rsid w:val="66B034F8"/>
    <w:rsid w:val="67B06457"/>
    <w:rsid w:val="68984ED7"/>
    <w:rsid w:val="68EE4B4C"/>
    <w:rsid w:val="694F4C9D"/>
    <w:rsid w:val="6A007BFF"/>
    <w:rsid w:val="6B5F58BB"/>
    <w:rsid w:val="6D0E6A60"/>
    <w:rsid w:val="6D8D0B59"/>
    <w:rsid w:val="6DAE61BF"/>
    <w:rsid w:val="6FE201E1"/>
    <w:rsid w:val="70C71E93"/>
    <w:rsid w:val="70E81230"/>
    <w:rsid w:val="71611567"/>
    <w:rsid w:val="71D1123E"/>
    <w:rsid w:val="724B7252"/>
    <w:rsid w:val="72776CBA"/>
    <w:rsid w:val="73E673A6"/>
    <w:rsid w:val="74F60E0C"/>
    <w:rsid w:val="75DF6988"/>
    <w:rsid w:val="762A69D5"/>
    <w:rsid w:val="76DF059E"/>
    <w:rsid w:val="76F17560"/>
    <w:rsid w:val="77034CD7"/>
    <w:rsid w:val="774353DC"/>
    <w:rsid w:val="77A472E5"/>
    <w:rsid w:val="77ED0B17"/>
    <w:rsid w:val="78503CB6"/>
    <w:rsid w:val="799C509D"/>
    <w:rsid w:val="7A831FA2"/>
    <w:rsid w:val="7ADC077E"/>
    <w:rsid w:val="7B021B55"/>
    <w:rsid w:val="7BD17912"/>
    <w:rsid w:val="7CD31F66"/>
    <w:rsid w:val="7D0B6EFD"/>
    <w:rsid w:val="7DAA6116"/>
    <w:rsid w:val="7E3F5E99"/>
    <w:rsid w:val="7EBF48EC"/>
    <w:rsid w:val="7EE240F3"/>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F7A7F2"/>
  <w15:docId w15:val="{CEE05AB7-0CBE-491F-B6A7-8F927664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unhideWhenUsed/>
    <w:qFormat/>
    <w:pPr>
      <w:keepNext/>
      <w:keepLines/>
      <w:spacing w:before="280" w:after="290" w:line="376" w:lineRule="auto"/>
      <w:outlineLvl w:val="4"/>
    </w:pPr>
    <w:rPr>
      <w:b/>
      <w:bCs/>
      <w:sz w:val="28"/>
      <w:szCs w:val="28"/>
    </w:rPr>
  </w:style>
  <w:style w:type="paragraph" w:styleId="6">
    <w:name w:val="heading 6"/>
    <w:basedOn w:val="a0"/>
    <w:next w:val="a0"/>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0"/>
    <w:uiPriority w:val="9"/>
    <w:unhideWhenUsed/>
    <w:qFormat/>
    <w:pPr>
      <w:keepNext/>
      <w:keepLines/>
      <w:spacing w:before="240" w:after="64" w:line="320" w:lineRule="auto"/>
      <w:outlineLvl w:val="6"/>
    </w:pPr>
    <w:rPr>
      <w:b/>
      <w:bCs/>
      <w:sz w:val="24"/>
      <w:szCs w:val="24"/>
    </w:rPr>
  </w:style>
  <w:style w:type="paragraph" w:styleId="8">
    <w:name w:val="heading 8"/>
    <w:basedOn w:val="a0"/>
    <w:next w:val="a0"/>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authorities"/>
    <w:basedOn w:val="a0"/>
    <w:next w:val="a0"/>
    <w:qFormat/>
    <w:pPr>
      <w:ind w:leftChars="200" w:left="420"/>
    </w:pPr>
  </w:style>
  <w:style w:type="paragraph" w:styleId="71">
    <w:name w:val="toc 7"/>
    <w:basedOn w:val="a0"/>
    <w:next w:val="a0"/>
    <w:uiPriority w:val="39"/>
    <w:unhideWhenUsed/>
    <w:qFormat/>
    <w:pPr>
      <w:ind w:left="1260"/>
      <w:jc w:val="left"/>
    </w:pPr>
    <w:rPr>
      <w:rFonts w:eastAsiaTheme="minorHAnsi"/>
      <w:sz w:val="18"/>
      <w:szCs w:val="18"/>
    </w:rPr>
  </w:style>
  <w:style w:type="paragraph" w:styleId="a5">
    <w:name w:val="Document Map"/>
    <w:basedOn w:val="a0"/>
    <w:link w:val="a6"/>
    <w:uiPriority w:val="99"/>
    <w:semiHidden/>
    <w:unhideWhenUsed/>
    <w:rPr>
      <w:rFonts w:ascii="宋体" w:eastAsia="宋体"/>
      <w:sz w:val="18"/>
      <w:szCs w:val="18"/>
    </w:rPr>
  </w:style>
  <w:style w:type="paragraph" w:styleId="a7">
    <w:name w:val="annotation text"/>
    <w:basedOn w:val="a0"/>
    <w:link w:val="a8"/>
    <w:uiPriority w:val="99"/>
    <w:semiHidden/>
    <w:unhideWhenUsed/>
    <w:qFormat/>
    <w:pPr>
      <w:jc w:val="left"/>
    </w:pPr>
  </w:style>
  <w:style w:type="paragraph" w:styleId="51">
    <w:name w:val="toc 5"/>
    <w:basedOn w:val="a0"/>
    <w:next w:val="a0"/>
    <w:uiPriority w:val="39"/>
    <w:unhideWhenUsed/>
    <w:qFormat/>
    <w:pPr>
      <w:ind w:left="840"/>
      <w:jc w:val="left"/>
    </w:pPr>
    <w:rPr>
      <w:rFonts w:eastAsiaTheme="minorHAnsi"/>
      <w:sz w:val="18"/>
      <w:szCs w:val="18"/>
    </w:rPr>
  </w:style>
  <w:style w:type="paragraph" w:styleId="30">
    <w:name w:val="toc 3"/>
    <w:basedOn w:val="a0"/>
    <w:next w:val="a0"/>
    <w:uiPriority w:val="39"/>
    <w:unhideWhenUsed/>
    <w:qFormat/>
    <w:pPr>
      <w:tabs>
        <w:tab w:val="right" w:leader="dot" w:pos="8296"/>
      </w:tabs>
      <w:ind w:left="420"/>
      <w:jc w:val="left"/>
    </w:pPr>
    <w:rPr>
      <w:rFonts w:ascii="Times New Roman" w:eastAsia="仿宋_GB2312" w:hAnsi="Times New Roman" w:cs="Times New Roman"/>
      <w:iCs/>
      <w:kern w:val="0"/>
      <w:sz w:val="20"/>
      <w:szCs w:val="20"/>
    </w:rPr>
  </w:style>
  <w:style w:type="paragraph" w:styleId="81">
    <w:name w:val="toc 8"/>
    <w:basedOn w:val="a0"/>
    <w:next w:val="a0"/>
    <w:uiPriority w:val="39"/>
    <w:unhideWhenUsed/>
    <w:pPr>
      <w:ind w:left="1470"/>
      <w:jc w:val="left"/>
    </w:pPr>
    <w:rPr>
      <w:rFonts w:eastAsiaTheme="minorHAnsi"/>
      <w:sz w:val="18"/>
      <w:szCs w:val="18"/>
    </w:rPr>
  </w:style>
  <w:style w:type="paragraph" w:styleId="a9">
    <w:name w:val="Balloon Text"/>
    <w:basedOn w:val="a0"/>
    <w:link w:val="aa"/>
    <w:uiPriority w:val="99"/>
    <w:semiHidden/>
    <w:unhideWhenUsed/>
    <w:qFormat/>
    <w:rPr>
      <w:sz w:val="18"/>
      <w:szCs w:val="18"/>
    </w:rPr>
  </w:style>
  <w:style w:type="paragraph" w:styleId="ab">
    <w:name w:val="footer"/>
    <w:basedOn w:val="a0"/>
    <w:link w:val="ac"/>
    <w:uiPriority w:val="99"/>
    <w:unhideWhenUsed/>
    <w:qFormat/>
    <w:pPr>
      <w:tabs>
        <w:tab w:val="center" w:pos="4153"/>
        <w:tab w:val="right" w:pos="8306"/>
      </w:tabs>
      <w:snapToGrid w:val="0"/>
      <w:jc w:val="left"/>
    </w:pPr>
    <w:rPr>
      <w:sz w:val="18"/>
      <w:szCs w:val="18"/>
    </w:rPr>
  </w:style>
  <w:style w:type="paragraph" w:styleId="ad">
    <w:name w:val="header"/>
    <w:basedOn w:val="a0"/>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pPr>
      <w:tabs>
        <w:tab w:val="right" w:leader="dot" w:pos="8296"/>
      </w:tabs>
      <w:spacing w:before="120" w:after="120"/>
      <w:jc w:val="center"/>
    </w:pPr>
    <w:rPr>
      <w:rFonts w:ascii="黑体" w:eastAsia="黑体" w:hAnsi="黑体" w:cs="Times New Roman"/>
      <w:b/>
      <w:bCs/>
      <w:caps/>
      <w:kern w:val="0"/>
      <w:sz w:val="18"/>
      <w:szCs w:val="18"/>
    </w:rPr>
  </w:style>
  <w:style w:type="paragraph" w:styleId="41">
    <w:name w:val="toc 4"/>
    <w:basedOn w:val="a0"/>
    <w:next w:val="a0"/>
    <w:uiPriority w:val="39"/>
    <w:unhideWhenUsed/>
    <w:qFormat/>
    <w:pPr>
      <w:ind w:left="630"/>
      <w:jc w:val="left"/>
    </w:pPr>
    <w:rPr>
      <w:rFonts w:eastAsiaTheme="minorHAnsi"/>
      <w:sz w:val="18"/>
      <w:szCs w:val="18"/>
    </w:rPr>
  </w:style>
  <w:style w:type="paragraph" w:styleId="61">
    <w:name w:val="toc 6"/>
    <w:basedOn w:val="a0"/>
    <w:next w:val="a0"/>
    <w:uiPriority w:val="39"/>
    <w:unhideWhenUsed/>
    <w:qFormat/>
    <w:pPr>
      <w:ind w:left="1050"/>
      <w:jc w:val="left"/>
    </w:pPr>
    <w:rPr>
      <w:rFonts w:eastAsiaTheme="minorHAnsi"/>
      <w:sz w:val="18"/>
      <w:szCs w:val="18"/>
    </w:rPr>
  </w:style>
  <w:style w:type="paragraph" w:styleId="21">
    <w:name w:val="toc 2"/>
    <w:basedOn w:val="a0"/>
    <w:next w:val="a0"/>
    <w:uiPriority w:val="39"/>
    <w:unhideWhenUsed/>
    <w:pPr>
      <w:tabs>
        <w:tab w:val="left" w:pos="1050"/>
        <w:tab w:val="right" w:leader="dot" w:pos="8296"/>
      </w:tabs>
      <w:ind w:left="210"/>
      <w:jc w:val="left"/>
    </w:pPr>
    <w:rPr>
      <w:rFonts w:ascii="Times New Roman" w:eastAsia="楷体_GB2312" w:hAnsi="Times New Roman" w:cs="Times New Roman"/>
      <w:smallCaps/>
      <w:kern w:val="0"/>
      <w:sz w:val="20"/>
      <w:szCs w:val="20"/>
    </w:rPr>
  </w:style>
  <w:style w:type="paragraph" w:styleId="9">
    <w:name w:val="toc 9"/>
    <w:basedOn w:val="a0"/>
    <w:next w:val="a0"/>
    <w:uiPriority w:val="39"/>
    <w:unhideWhenUsed/>
    <w:pPr>
      <w:ind w:left="1680"/>
      <w:jc w:val="left"/>
    </w:pPr>
    <w:rPr>
      <w:rFonts w:eastAsiaTheme="minorHAnsi"/>
      <w:sz w:val="18"/>
      <w:szCs w:val="18"/>
    </w:rPr>
  </w:style>
  <w:style w:type="paragraph" w:styleId="HTML">
    <w:name w:val="HTML Preformatted"/>
    <w:basedOn w:val="a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f">
    <w:name w:val="annotation subject"/>
    <w:basedOn w:val="a7"/>
    <w:next w:val="a7"/>
    <w:link w:val="af0"/>
    <w:uiPriority w:val="99"/>
    <w:semiHidden/>
    <w:unhideWhenUsed/>
    <w:qFormat/>
    <w:rPr>
      <w:b/>
      <w:bCs/>
    </w:rPr>
  </w:style>
  <w:style w:type="table" w:styleId="af1">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2"/>
    <w:uiPriority w:val="22"/>
    <w:qFormat/>
    <w:rPr>
      <w:b/>
    </w:rPr>
  </w:style>
  <w:style w:type="character" w:styleId="af3">
    <w:name w:val="FollowedHyperlink"/>
    <w:basedOn w:val="a2"/>
    <w:uiPriority w:val="99"/>
    <w:semiHidden/>
    <w:unhideWhenUsed/>
    <w:qFormat/>
    <w:rPr>
      <w:color w:val="954F72" w:themeColor="followedHyperlink"/>
      <w:u w:val="single"/>
    </w:rPr>
  </w:style>
  <w:style w:type="character" w:styleId="af4">
    <w:name w:val="Emphasis"/>
    <w:uiPriority w:val="20"/>
    <w:qFormat/>
    <w:rPr>
      <w:i/>
      <w:iCs/>
    </w:rPr>
  </w:style>
  <w:style w:type="character" w:styleId="af5">
    <w:name w:val="Hyperlink"/>
    <w:basedOn w:val="a2"/>
    <w:uiPriority w:val="99"/>
    <w:unhideWhenUsed/>
    <w:rPr>
      <w:color w:val="0563C1" w:themeColor="hyperlink"/>
      <w:u w:val="single"/>
    </w:rPr>
  </w:style>
  <w:style w:type="character" w:styleId="af6">
    <w:name w:val="annotation reference"/>
    <w:basedOn w:val="a2"/>
    <w:uiPriority w:val="99"/>
    <w:semiHidden/>
    <w:unhideWhenUsed/>
    <w:qFormat/>
    <w:rPr>
      <w:sz w:val="21"/>
      <w:szCs w:val="21"/>
    </w:rPr>
  </w:style>
  <w:style w:type="paragraph" w:customStyle="1" w:styleId="12">
    <w:name w:val="列表段落1"/>
    <w:basedOn w:val="a0"/>
    <w:uiPriority w:val="34"/>
    <w:qFormat/>
    <w:pPr>
      <w:ind w:firstLineChars="200" w:firstLine="420"/>
    </w:pPr>
  </w:style>
  <w:style w:type="character" w:customStyle="1" w:styleId="ae">
    <w:name w:val="页眉 字符"/>
    <w:basedOn w:val="a2"/>
    <w:link w:val="ad"/>
    <w:uiPriority w:val="99"/>
    <w:qFormat/>
    <w:rPr>
      <w:kern w:val="2"/>
      <w:sz w:val="18"/>
      <w:szCs w:val="18"/>
    </w:rPr>
  </w:style>
  <w:style w:type="character" w:customStyle="1" w:styleId="ac">
    <w:name w:val="页脚 字符"/>
    <w:basedOn w:val="a2"/>
    <w:link w:val="ab"/>
    <w:uiPriority w:val="99"/>
    <w:qFormat/>
    <w:rPr>
      <w:kern w:val="2"/>
      <w:sz w:val="18"/>
      <w:szCs w:val="18"/>
    </w:rPr>
  </w:style>
  <w:style w:type="paragraph" w:customStyle="1" w:styleId="22">
    <w:name w:val="列表段落2"/>
    <w:basedOn w:val="a0"/>
    <w:uiPriority w:val="99"/>
    <w:qFormat/>
    <w:pPr>
      <w:ind w:firstLineChars="200" w:firstLine="420"/>
    </w:pPr>
  </w:style>
  <w:style w:type="paragraph" w:styleId="af7">
    <w:name w:val="List Paragraph"/>
    <w:basedOn w:val="a0"/>
    <w:uiPriority w:val="34"/>
    <w:qFormat/>
    <w:pPr>
      <w:ind w:firstLineChars="200" w:firstLine="420"/>
    </w:pPr>
  </w:style>
  <w:style w:type="character" w:customStyle="1" w:styleId="aa">
    <w:name w:val="批注框文本 字符"/>
    <w:basedOn w:val="a2"/>
    <w:link w:val="a9"/>
    <w:uiPriority w:val="99"/>
    <w:semiHidden/>
    <w:qFormat/>
    <w:rPr>
      <w:rFonts w:asciiTheme="minorHAnsi" w:eastAsiaTheme="minorEastAsia" w:hAnsiTheme="minorHAnsi" w:cstheme="minorBidi"/>
      <w:kern w:val="2"/>
      <w:sz w:val="18"/>
      <w:szCs w:val="18"/>
    </w:rPr>
  </w:style>
  <w:style w:type="character" w:customStyle="1" w:styleId="a8">
    <w:name w:val="批注文字 字符"/>
    <w:basedOn w:val="a2"/>
    <w:link w:val="a7"/>
    <w:uiPriority w:val="99"/>
    <w:semiHidden/>
    <w:qFormat/>
    <w:rPr>
      <w:rFonts w:asciiTheme="minorHAnsi" w:eastAsiaTheme="minorEastAsia" w:hAnsiTheme="minorHAnsi" w:cstheme="minorBidi"/>
      <w:kern w:val="2"/>
      <w:sz w:val="21"/>
      <w:szCs w:val="22"/>
    </w:rPr>
  </w:style>
  <w:style w:type="character" w:customStyle="1" w:styleId="af0">
    <w:name w:val="批注主题 字符"/>
    <w:basedOn w:val="a8"/>
    <w:link w:val="af"/>
    <w:uiPriority w:val="99"/>
    <w:semiHidden/>
    <w:qFormat/>
    <w:rPr>
      <w:rFonts w:asciiTheme="minorHAnsi" w:eastAsiaTheme="minorEastAsia" w:hAnsiTheme="minorHAnsi" w:cstheme="minorBidi"/>
      <w:b/>
      <w:bCs/>
      <w:kern w:val="2"/>
      <w:sz w:val="21"/>
      <w:szCs w:val="22"/>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3">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f9">
    <w:name w:val="二级条标题"/>
    <w:basedOn w:val="afa"/>
    <w:next w:val="af8"/>
    <w:qFormat/>
    <w:pPr>
      <w:spacing w:before="50" w:after="50"/>
      <w:outlineLvl w:val="3"/>
    </w:pPr>
  </w:style>
  <w:style w:type="paragraph" w:customStyle="1" w:styleId="afa">
    <w:name w:val="一级条标题"/>
    <w:next w:val="af8"/>
    <w:qFormat/>
    <w:pPr>
      <w:tabs>
        <w:tab w:val="left" w:pos="360"/>
      </w:tabs>
      <w:spacing w:beforeLines="50" w:afterLines="50"/>
      <w:outlineLvl w:val="2"/>
    </w:pPr>
    <w:rPr>
      <w:rFonts w:ascii="黑体" w:eastAsia="黑体" w:hAnsiTheme="minorHAnsi" w:cstheme="minorBidi"/>
      <w:kern w:val="2"/>
      <w:sz w:val="21"/>
      <w:szCs w:val="21"/>
    </w:rPr>
  </w:style>
  <w:style w:type="paragraph" w:customStyle="1" w:styleId="a">
    <w:name w:val="标准文件_二级条标题"/>
    <w:next w:val="afb"/>
    <w:qFormat/>
    <w:pPr>
      <w:widowControl w:val="0"/>
      <w:numPr>
        <w:ilvl w:val="3"/>
        <w:numId w:val="1"/>
      </w:numPr>
      <w:spacing w:beforeLines="50" w:afterLines="50"/>
      <w:jc w:val="both"/>
      <w:outlineLvl w:val="2"/>
    </w:pPr>
    <w:rPr>
      <w:rFonts w:ascii="黑体" w:eastAsia="黑体"/>
      <w:sz w:val="21"/>
    </w:rPr>
  </w:style>
  <w:style w:type="paragraph" w:customStyle="1" w:styleId="afb">
    <w:name w:val="标准文件_段"/>
    <w:qFormat/>
    <w:pPr>
      <w:autoSpaceDE w:val="0"/>
      <w:autoSpaceDN w:val="0"/>
      <w:ind w:firstLineChars="200" w:firstLine="200"/>
      <w:jc w:val="both"/>
    </w:pPr>
    <w:rPr>
      <w:rFonts w:ascii="宋体"/>
      <w:sz w:val="21"/>
    </w:rPr>
  </w:style>
  <w:style w:type="paragraph" w:customStyle="1" w:styleId="42">
    <w:name w:val="修订4"/>
    <w:hidden/>
    <w:uiPriority w:val="99"/>
    <w:semiHidden/>
    <w:qFormat/>
    <w:rPr>
      <w:rFonts w:asciiTheme="minorHAnsi" w:eastAsiaTheme="minorEastAsia" w:hAnsiTheme="minorHAnsi" w:cstheme="minorBidi"/>
      <w:kern w:val="2"/>
      <w:sz w:val="21"/>
      <w:szCs w:val="22"/>
    </w:rPr>
  </w:style>
  <w:style w:type="paragraph" w:customStyle="1" w:styleId="52">
    <w:name w:val="修订5"/>
    <w:hidden/>
    <w:uiPriority w:val="99"/>
    <w:semiHidden/>
    <w:qFormat/>
    <w:rPr>
      <w:rFonts w:asciiTheme="minorHAnsi" w:eastAsiaTheme="minorEastAsia" w:hAnsiTheme="minorHAnsi" w:cstheme="minorBidi"/>
      <w:kern w:val="2"/>
      <w:sz w:val="21"/>
      <w:szCs w:val="22"/>
    </w:rPr>
  </w:style>
  <w:style w:type="character" w:customStyle="1" w:styleId="40">
    <w:name w:val="标题 4 字符"/>
    <w:basedOn w:val="a2"/>
    <w:link w:val="4"/>
    <w:uiPriority w:val="9"/>
    <w:qFormat/>
    <w:rPr>
      <w:rFonts w:asciiTheme="majorHAnsi" w:eastAsiaTheme="majorEastAsia" w:hAnsiTheme="majorHAnsi" w:cstheme="majorBidi"/>
      <w:b/>
      <w:bCs/>
      <w:kern w:val="2"/>
      <w:sz w:val="28"/>
      <w:szCs w:val="28"/>
    </w:rPr>
  </w:style>
  <w:style w:type="character" w:customStyle="1" w:styleId="20">
    <w:name w:val="标题 2 字符"/>
    <w:basedOn w:val="a2"/>
    <w:link w:val="2"/>
    <w:uiPriority w:val="9"/>
    <w:qFormat/>
    <w:rPr>
      <w:rFonts w:asciiTheme="majorHAnsi" w:eastAsiaTheme="majorEastAsia" w:hAnsiTheme="majorHAnsi" w:cstheme="majorBidi"/>
      <w:b/>
      <w:bCs/>
      <w:kern w:val="2"/>
      <w:sz w:val="32"/>
      <w:szCs w:val="32"/>
    </w:rPr>
  </w:style>
  <w:style w:type="character" w:customStyle="1" w:styleId="10">
    <w:name w:val="标题 1 字符"/>
    <w:basedOn w:val="a2"/>
    <w:link w:val="1"/>
    <w:uiPriority w:val="9"/>
    <w:qFormat/>
    <w:rPr>
      <w:rFonts w:asciiTheme="minorHAnsi" w:eastAsiaTheme="minorEastAsia" w:hAnsiTheme="minorHAnsi" w:cstheme="minorBidi"/>
      <w:b/>
      <w:bCs/>
      <w:kern w:val="44"/>
      <w:sz w:val="44"/>
      <w:szCs w:val="44"/>
    </w:rPr>
  </w:style>
  <w:style w:type="character" w:customStyle="1" w:styleId="50">
    <w:name w:val="标题 5 字符"/>
    <w:basedOn w:val="a2"/>
    <w:link w:val="5"/>
    <w:uiPriority w:val="9"/>
    <w:qFormat/>
    <w:rPr>
      <w:rFonts w:asciiTheme="minorHAnsi" w:eastAsiaTheme="minorEastAsia" w:hAnsiTheme="minorHAnsi" w:cstheme="minorBidi"/>
      <w:b/>
      <w:bCs/>
      <w:kern w:val="2"/>
      <w:sz w:val="28"/>
      <w:szCs w:val="28"/>
    </w:rPr>
  </w:style>
  <w:style w:type="character" w:customStyle="1" w:styleId="60">
    <w:name w:val="标题 6 字符"/>
    <w:basedOn w:val="a2"/>
    <w:link w:val="6"/>
    <w:uiPriority w:val="9"/>
    <w:qFormat/>
    <w:rPr>
      <w:rFonts w:asciiTheme="majorHAnsi" w:eastAsiaTheme="majorEastAsia" w:hAnsiTheme="majorHAnsi" w:cstheme="majorBidi"/>
      <w:b/>
      <w:bCs/>
      <w:kern w:val="2"/>
      <w:sz w:val="24"/>
      <w:szCs w:val="24"/>
    </w:rPr>
  </w:style>
  <w:style w:type="character" w:customStyle="1" w:styleId="70">
    <w:name w:val="标题 7 字符"/>
    <w:basedOn w:val="a2"/>
    <w:link w:val="7"/>
    <w:uiPriority w:val="9"/>
    <w:qFormat/>
    <w:rPr>
      <w:rFonts w:asciiTheme="minorHAnsi" w:eastAsiaTheme="minorEastAsia" w:hAnsiTheme="minorHAnsi" w:cstheme="minorBidi"/>
      <w:b/>
      <w:bCs/>
      <w:kern w:val="2"/>
      <w:sz w:val="24"/>
      <w:szCs w:val="24"/>
    </w:rPr>
  </w:style>
  <w:style w:type="character" w:customStyle="1" w:styleId="80">
    <w:name w:val="标题 8 字符"/>
    <w:basedOn w:val="a2"/>
    <w:link w:val="8"/>
    <w:uiPriority w:val="9"/>
    <w:qFormat/>
    <w:rPr>
      <w:rFonts w:asciiTheme="majorHAnsi" w:eastAsiaTheme="majorEastAsia" w:hAnsiTheme="majorHAnsi" w:cstheme="majorBidi"/>
      <w:kern w:val="2"/>
      <w:sz w:val="24"/>
      <w:szCs w:val="2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6">
    <w:name w:val="文档结构图 字符"/>
    <w:basedOn w:val="a2"/>
    <w:link w:val="a5"/>
    <w:uiPriority w:val="99"/>
    <w:semiHidden/>
    <w:rPr>
      <w:rFonts w:ascii="宋体" w:hAnsiTheme="minorHAnsi" w:cstheme="minorBidi"/>
      <w:kern w:val="2"/>
      <w:sz w:val="18"/>
      <w:szCs w:val="18"/>
    </w:rPr>
  </w:style>
  <w:style w:type="paragraph" w:styleId="afc">
    <w:name w:val="Revision"/>
    <w:hidden/>
    <w:uiPriority w:val="99"/>
    <w:semiHidden/>
    <w:rsid w:val="00D34203"/>
    <w:rPr>
      <w:rFonts w:asciiTheme="minorHAnsi" w:eastAsiaTheme="minorEastAsia" w:hAnsiTheme="minorHAnsi" w:cstheme="minorBidi"/>
      <w:kern w:val="2"/>
      <w:sz w:val="21"/>
      <w:szCs w:val="22"/>
    </w:rPr>
  </w:style>
  <w:style w:type="character" w:styleId="afd">
    <w:name w:val="line number"/>
    <w:basedOn w:val="a2"/>
    <w:uiPriority w:val="99"/>
    <w:semiHidden/>
    <w:unhideWhenUsed/>
    <w:rsid w:val="004F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7179">
      <w:bodyDiv w:val="1"/>
      <w:marLeft w:val="0"/>
      <w:marRight w:val="0"/>
      <w:marTop w:val="0"/>
      <w:marBottom w:val="0"/>
      <w:divBdr>
        <w:top w:val="none" w:sz="0" w:space="0" w:color="auto"/>
        <w:left w:val="none" w:sz="0" w:space="0" w:color="auto"/>
        <w:bottom w:val="none" w:sz="0" w:space="0" w:color="auto"/>
        <w:right w:val="none" w:sz="0" w:space="0" w:color="auto"/>
      </w:divBdr>
    </w:div>
    <w:div w:id="114801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Visio_2003-2010___.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51976-99BC-4BF5-AF9B-4A673021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4349</Words>
  <Characters>24795</Characters>
  <Application>Microsoft Office Word</Application>
  <DocSecurity>0</DocSecurity>
  <Lines>206</Lines>
  <Paragraphs>58</Paragraphs>
  <ScaleCrop>false</ScaleCrop>
  <Company>神州网信技术有限公司</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飘 红</dc:creator>
  <cp:lastModifiedBy>屈贝贝</cp:lastModifiedBy>
  <cp:revision>3</cp:revision>
  <cp:lastPrinted>2022-08-03T03:54:00Z</cp:lastPrinted>
  <dcterms:created xsi:type="dcterms:W3CDTF">2022-11-02T08:29:00Z</dcterms:created>
  <dcterms:modified xsi:type="dcterms:W3CDTF">2022-11-07T00:51:00Z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50F6B85D46564006969164FA21C29448</vt:lpwstr>
  </property>
</Properties>
</file>