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eastAsia="zh-CN" w:bidi="ar"/>
        </w:rPr>
        <w:t>3</w:t>
      </w:r>
      <w:r>
        <w:rPr>
          <w:rFonts w:hint="eastAsia" w:ascii="Times New Roman" w:hAnsi="Times New Roman" w:eastAsia="方正小标宋_GBK" w:cs="方正小标宋_GBK"/>
          <w:b w:val="0"/>
          <w:bCs/>
          <w:spacing w:val="-23"/>
          <w:kern w:val="0"/>
          <w:sz w:val="44"/>
          <w:szCs w:val="44"/>
          <w:lang w:val="en-US" w:eastAsia="zh-CN" w:bidi="ar"/>
        </w:rPr>
        <w:t>年《职业病防治法》宣传周活动情况统计表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单位：</w:t>
      </w:r>
    </w:p>
    <w:tbl>
      <w:tblPr>
        <w:tblStyle w:val="3"/>
        <w:tblW w:w="0" w:type="auto"/>
        <w:tblInd w:w="-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  <w:lang w:val="en-US" w:eastAsia="zh-CN" w:bidi="ar"/>
              </w:rPr>
              <w:t>形式（次数/人数）</w:t>
            </w:r>
          </w:p>
        </w:tc>
        <w:tc>
          <w:tcPr>
            <w:tcW w:w="28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0"/>
                <w:szCs w:val="3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8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开展主题宣讲活动次数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开展宣传咨询活动次数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开展警示教育活动次数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开展专题讲座（网络公开课）次数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“天津职业健康”微信公众号投稿件数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职业健康微信答题人数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《职业病防治法》宣传周网上培训人数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印发宣传材料份数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制作宣传视频份数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制作宣传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标语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份数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出动宣传人员数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宣传受众人数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（单位盖章）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default" w:asci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DB86E"/>
    <w:rsid w:val="4AFDB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2023-04-25T09:38:00Z</dcterms:created>
  <dc:creator>雨熹 Cisia</dc:creator>
  <cp:lastModifiedBy>雨熹 Cisia</cp:lastModifiedBy>
  <dcterms:modified xsi:type="dcterms:W3CDTF">2023-04-25T09:38:47Z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60AFADBBF9274861FB2E476465770889_41</vt:lpwstr>
  </property>
</Properties>
</file>